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7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Washington, D.C. 20549</w:t>
      </w:r>
    </w:p>
    <w:p>
      <w:pPr>
        <w:spacing w:after="0" w:line="100"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SCHEDULE 14A</w:t>
      </w:r>
    </w:p>
    <w:p>
      <w:pPr>
        <w:spacing w:after="0" w:line="118"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32"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the Securities Exchange Act of 1934 (Amendment No.    )</w:t>
      </w:r>
    </w:p>
    <w:p>
      <w:pPr>
        <w:spacing w:after="0" w:line="62" w:lineRule="exact"/>
        <w:rPr>
          <w:sz w:val="24"/>
          <w:szCs w:val="24"/>
          <w:color w:val="auto"/>
        </w:rPr>
      </w:pPr>
    </w:p>
    <w:p>
      <w:pPr>
        <w:ind w:left="6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98" w:lineRule="exact"/>
        <w:rPr>
          <w:sz w:val="24"/>
          <w:szCs w:val="24"/>
          <w:color w:val="auto"/>
        </w:rPr>
      </w:pPr>
    </w:p>
    <w:p>
      <w:pPr>
        <w:ind w:left="62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74" w:lineRule="exact"/>
        <w:rPr>
          <w:sz w:val="24"/>
          <w:szCs w:val="24"/>
          <w:color w:val="auto"/>
        </w:rPr>
      </w:pPr>
    </w:p>
    <w:p>
      <w:pPr>
        <w:ind w:left="620"/>
        <w:spacing w:after="0"/>
        <w:rPr>
          <w:sz w:val="20"/>
          <w:szCs w:val="20"/>
          <w:color w:val="auto"/>
        </w:rPr>
      </w:pPr>
      <w:r>
        <w:rPr>
          <w:rFonts w:ascii="Arial" w:cs="Arial" w:eastAsia="Arial" w:hAnsi="Arial"/>
          <w:sz w:val="17"/>
          <w:szCs w:val="17"/>
          <w:color w:val="auto"/>
        </w:rPr>
        <w:t>Check the appropriate box:</w:t>
      </w:r>
    </w:p>
    <w:p>
      <w:pPr>
        <w:spacing w:after="0" w:line="66" w:lineRule="exact"/>
        <w:rPr>
          <w:sz w:val="24"/>
          <w:szCs w:val="24"/>
          <w:color w:val="auto"/>
        </w:rPr>
      </w:pPr>
    </w:p>
    <w:p>
      <w:pPr>
        <w:ind w:left="980" w:hanging="355"/>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65" w:lineRule="exact"/>
        <w:rPr>
          <w:rFonts w:ascii="MS PGothic" w:cs="MS PGothic" w:eastAsia="MS PGothic" w:hAnsi="MS PGothic"/>
          <w:sz w:val="17"/>
          <w:szCs w:val="17"/>
          <w:color w:val="auto"/>
        </w:rPr>
      </w:pPr>
    </w:p>
    <w:p>
      <w:pPr>
        <w:ind w:left="620" w:right="2679" w:firstLine="5"/>
        <w:spacing w:after="0" w:line="258" w:lineRule="exact"/>
        <w:tabs>
          <w:tab w:leader="none" w:pos="96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7" w:lineRule="exact"/>
        <w:rPr>
          <w:rFonts w:ascii="MS PGothic" w:cs="MS PGothic" w:eastAsia="MS PGothic" w:hAnsi="MS PGothic"/>
          <w:sz w:val="17"/>
          <w:szCs w:val="17"/>
          <w:color w:val="auto"/>
        </w:rPr>
      </w:pPr>
    </w:p>
    <w:p>
      <w:pPr>
        <w:ind w:left="980" w:hanging="355"/>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65" w:lineRule="exact"/>
        <w:rPr>
          <w:rFonts w:ascii="MS PGothic" w:cs="MS PGothic" w:eastAsia="MS PGothic" w:hAnsi="MS PGothic"/>
          <w:sz w:val="17"/>
          <w:szCs w:val="17"/>
          <w:color w:val="auto"/>
        </w:rPr>
      </w:pPr>
    </w:p>
    <w:p>
      <w:pPr>
        <w:ind w:left="980" w:hanging="355"/>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47" w:lineRule="exact"/>
        <w:rPr>
          <w:sz w:val="24"/>
          <w:szCs w:val="24"/>
          <w:color w:val="auto"/>
        </w:rPr>
      </w:pPr>
    </w:p>
    <w:p>
      <w:pPr>
        <w:ind w:left="3400"/>
        <w:spacing w:after="0"/>
        <w:rPr>
          <w:sz w:val="20"/>
          <w:szCs w:val="20"/>
          <w:color w:val="auto"/>
        </w:rPr>
      </w:pPr>
      <w:r>
        <w:rPr>
          <w:rFonts w:ascii="Arial" w:cs="Arial" w:eastAsia="Arial" w:hAnsi="Arial"/>
          <w:sz w:val="28"/>
          <w:szCs w:val="28"/>
          <w:b w:val="1"/>
          <w:bCs w:val="1"/>
          <w:color w:val="auto"/>
        </w:rPr>
        <w:t>CrowdStrike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31750</wp:posOffset>
            </wp:positionV>
            <wp:extent cx="5784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4215" cy="8255"/>
                    </a:xfrm>
                    <a:prstGeom prst="rect">
                      <a:avLst/>
                    </a:prstGeom>
                    <a:noFill/>
                  </pic:spPr>
                </pic:pic>
              </a:graphicData>
            </a:graphic>
          </wp:anchor>
        </w:drawing>
      </w:r>
    </w:p>
    <w:p>
      <w:pPr>
        <w:spacing w:after="0" w:line="52"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(Name of Registrant as Specified In Its Charter)</w:t>
      </w:r>
    </w:p>
    <w:p>
      <w:pPr>
        <w:spacing w:after="0" w:line="66"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52705</wp:posOffset>
            </wp:positionV>
            <wp:extent cx="5784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4215" cy="8255"/>
                    </a:xfrm>
                    <a:prstGeom prst="rect">
                      <a:avLst/>
                    </a:prstGeom>
                    <a:noFill/>
                  </pic:spPr>
                </pic:pic>
              </a:graphicData>
            </a:graphic>
          </wp:anchor>
        </w:drawing>
      </w:r>
    </w:p>
    <w:p>
      <w:pPr>
        <w:spacing w:after="0" w:line="85" w:lineRule="exact"/>
        <w:rPr>
          <w:sz w:val="24"/>
          <w:szCs w:val="24"/>
          <w:color w:val="auto"/>
        </w:rPr>
      </w:pPr>
    </w:p>
    <w:p>
      <w:pPr>
        <w:ind w:left="24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66" w:lineRule="exact"/>
        <w:rPr>
          <w:sz w:val="24"/>
          <w:szCs w:val="24"/>
          <w:color w:val="auto"/>
        </w:rPr>
      </w:pPr>
    </w:p>
    <w:p>
      <w:pPr>
        <w:ind w:left="620"/>
        <w:spacing w:after="0"/>
        <w:rPr>
          <w:sz w:val="20"/>
          <w:szCs w:val="20"/>
          <w:color w:val="auto"/>
        </w:rPr>
      </w:pPr>
      <w:r>
        <w:rPr>
          <w:rFonts w:ascii="Arial" w:cs="Arial" w:eastAsia="Arial" w:hAnsi="Arial"/>
          <w:sz w:val="17"/>
          <w:szCs w:val="17"/>
          <w:color w:val="auto"/>
        </w:rPr>
        <w:t>Payment of Filing Fee (Check the appropriate box):</w:t>
      </w:r>
    </w:p>
    <w:p>
      <w:pPr>
        <w:spacing w:after="0" w:line="66" w:lineRule="exact"/>
        <w:rPr>
          <w:sz w:val="24"/>
          <w:szCs w:val="24"/>
          <w:color w:val="auto"/>
        </w:rPr>
      </w:pPr>
    </w:p>
    <w:p>
      <w:pPr>
        <w:ind w:left="980" w:hanging="355"/>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66" w:lineRule="exact"/>
        <w:rPr>
          <w:sz w:val="24"/>
          <w:szCs w:val="24"/>
          <w:color w:val="auto"/>
        </w:rPr>
      </w:pPr>
    </w:p>
    <w:p>
      <w:pPr>
        <w:ind w:left="980" w:hanging="355"/>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65" w:lineRule="exact"/>
        <w:rPr>
          <w:rFonts w:ascii="MS PGothic" w:cs="MS PGothic" w:eastAsia="MS PGothic" w:hAnsi="MS PGothic"/>
          <w:sz w:val="17"/>
          <w:szCs w:val="17"/>
          <w:color w:val="auto"/>
        </w:rPr>
      </w:pPr>
    </w:p>
    <w:p>
      <w:pPr>
        <w:ind w:left="980" w:hanging="355"/>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4189095</wp:posOffset>
            </wp:positionV>
            <wp:extent cx="66141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199"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186055</wp:posOffset>
            </wp:positionV>
            <wp:extent cx="2962275" cy="53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227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w:t>
      </w:r>
    </w:p>
    <w:p>
      <w:pPr>
        <w:ind w:left="4400"/>
        <w:spacing w:after="0"/>
        <w:rPr>
          <w:sz w:val="20"/>
          <w:szCs w:val="20"/>
          <w:color w:val="auto"/>
        </w:rPr>
      </w:pPr>
      <w:r>
        <w:rPr>
          <w:rFonts w:ascii="Arial" w:cs="Arial" w:eastAsia="Arial" w:hAnsi="Arial"/>
          <w:sz w:val="17"/>
          <w:szCs w:val="17"/>
          <w:color w:val="auto"/>
        </w:rPr>
        <w:t>Austin, Texas 78701</w:t>
      </w:r>
    </w:p>
    <w:p>
      <w:pPr>
        <w:spacing w:after="0" w:line="189" w:lineRule="exact"/>
        <w:rPr>
          <w:sz w:val="20"/>
          <w:szCs w:val="20"/>
          <w:color w:val="auto"/>
        </w:rPr>
      </w:pPr>
    </w:p>
    <w:p>
      <w:pPr>
        <w:ind w:left="620" w:right="3540"/>
        <w:spacing w:after="0" w:line="266" w:lineRule="auto"/>
        <w:rPr>
          <w:sz w:val="20"/>
          <w:szCs w:val="20"/>
          <w:color w:val="auto"/>
        </w:rPr>
      </w:pPr>
      <w:r>
        <w:rPr>
          <w:rFonts w:ascii="Arial" w:cs="Arial" w:eastAsia="Arial" w:hAnsi="Arial"/>
          <w:sz w:val="49"/>
          <w:szCs w:val="49"/>
          <w:b w:val="1"/>
          <w:bCs w:val="1"/>
          <w:color w:val="auto"/>
        </w:rPr>
        <w:t>Notice of Annual Meeting of Stockholders</w:t>
      </w:r>
    </w:p>
    <w:tbl>
      <w:tblPr>
        <w:tblLayout w:type="fixed"/>
        <w:tblInd w:w="620" w:type="dxa"/>
        <w:tblCellMar>
          <w:top w:w="0" w:type="dxa"/>
          <w:left w:w="0" w:type="dxa"/>
          <w:bottom w:w="0" w:type="dxa"/>
          <w:right w:w="0" w:type="dxa"/>
        </w:tblCellMar>
      </w:tblPr>
      <w:tr>
        <w:trPr>
          <w:trHeight w:val="131"/>
        </w:trPr>
        <w:tc>
          <w:tcPr>
            <w:tcW w:w="440" w:type="dxa"/>
            <w:vAlign w:val="bottom"/>
            <w:shd w:val="clear" w:color="auto" w:fill="D6515D"/>
          </w:tcPr>
          <w:p>
            <w:pPr>
              <w:spacing w:after="0"/>
              <w:rPr>
                <w:sz w:val="11"/>
                <w:szCs w:val="11"/>
                <w:color w:val="auto"/>
              </w:rPr>
            </w:pPr>
          </w:p>
        </w:tc>
        <w:tc>
          <w:tcPr>
            <w:tcW w:w="1680" w:type="dxa"/>
            <w:vAlign w:val="bottom"/>
            <w:shd w:val="clear" w:color="auto" w:fill="D6515D"/>
          </w:tcPr>
          <w:p>
            <w:pPr>
              <w:spacing w:after="0"/>
              <w:rPr>
                <w:sz w:val="11"/>
                <w:szCs w:val="11"/>
                <w:color w:val="auto"/>
              </w:rPr>
            </w:pPr>
          </w:p>
        </w:tc>
        <w:tc>
          <w:tcPr>
            <w:tcW w:w="500" w:type="dxa"/>
            <w:vAlign w:val="bottom"/>
            <w:shd w:val="clear" w:color="auto" w:fill="D6515D"/>
          </w:tcPr>
          <w:p>
            <w:pPr>
              <w:spacing w:after="0"/>
              <w:rPr>
                <w:sz w:val="11"/>
                <w:szCs w:val="11"/>
                <w:color w:val="auto"/>
              </w:rPr>
            </w:pPr>
          </w:p>
        </w:tc>
        <w:tc>
          <w:tcPr>
            <w:tcW w:w="4020" w:type="dxa"/>
            <w:vAlign w:val="bottom"/>
            <w:shd w:val="clear" w:color="auto" w:fill="D6515D"/>
          </w:tcPr>
          <w:p>
            <w:pPr>
              <w:spacing w:after="0"/>
              <w:rPr>
                <w:sz w:val="11"/>
                <w:szCs w:val="11"/>
                <w:color w:val="auto"/>
              </w:rPr>
            </w:pPr>
          </w:p>
        </w:tc>
        <w:tc>
          <w:tcPr>
            <w:tcW w:w="2480" w:type="dxa"/>
            <w:vAlign w:val="bottom"/>
            <w:shd w:val="clear" w:color="auto" w:fill="D6515D"/>
          </w:tcPr>
          <w:p>
            <w:pPr>
              <w:spacing w:after="0"/>
              <w:rPr>
                <w:sz w:val="11"/>
                <w:szCs w:val="11"/>
                <w:color w:val="auto"/>
              </w:rPr>
            </w:pPr>
          </w:p>
        </w:tc>
      </w:tr>
      <w:tr>
        <w:trPr>
          <w:trHeight w:val="360"/>
        </w:trPr>
        <w:tc>
          <w:tcPr>
            <w:tcW w:w="44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w:t>
            </w:r>
          </w:p>
        </w:tc>
        <w:tc>
          <w:tcPr>
            <w:tcW w:w="1680" w:type="dxa"/>
            <w:vAlign w:val="bottom"/>
            <w:shd w:val="clear" w:color="auto" w:fill="E5E5E5"/>
          </w:tcPr>
          <w:p>
            <w:pPr>
              <w:ind w:left="400"/>
              <w:spacing w:after="0" w:line="360" w:lineRule="exact"/>
              <w:rPr>
                <w:sz w:val="20"/>
                <w:szCs w:val="20"/>
                <w:color w:val="auto"/>
              </w:rPr>
            </w:pPr>
            <w:r>
              <w:rPr>
                <w:rFonts w:ascii="Arial" w:cs="Arial" w:eastAsia="Arial" w:hAnsi="Arial"/>
                <w:sz w:val="34"/>
                <w:szCs w:val="34"/>
                <w:b w:val="1"/>
                <w:bCs w:val="1"/>
                <w:color w:val="auto"/>
                <w:vertAlign w:val="superscript"/>
              </w:rPr>
              <w:t>​ ​</w:t>
            </w:r>
            <w:r>
              <w:rPr>
                <w:rFonts w:ascii="Arial" w:cs="Arial" w:eastAsia="Arial" w:hAnsi="Arial"/>
                <w:sz w:val="17"/>
                <w:szCs w:val="17"/>
                <w:b w:val="1"/>
                <w:bCs w:val="1"/>
                <w:color w:val="auto"/>
              </w:rPr>
              <w:t xml:space="preserve"> Time and</w:t>
            </w:r>
          </w:p>
        </w:tc>
        <w:tc>
          <w:tcPr>
            <w:tcW w:w="4520" w:type="dxa"/>
            <w:vAlign w:val="bottom"/>
            <w:gridSpan w:val="2"/>
            <w:shd w:val="clear" w:color="auto" w:fill="E5E5E5"/>
          </w:tcPr>
          <w:p>
            <w:pPr>
              <w:ind w:left="280"/>
              <w:spacing w:after="0" w:line="360" w:lineRule="exact"/>
              <w:rPr>
                <w:sz w:val="20"/>
                <w:szCs w:val="20"/>
                <w:color w:val="auto"/>
              </w:rPr>
            </w:pPr>
            <w:r>
              <w:rPr>
                <w:rFonts w:ascii="Arial" w:cs="Arial" w:eastAsia="Arial" w:hAnsi="Arial"/>
                <w:sz w:val="34"/>
                <w:szCs w:val="34"/>
                <w:b w:val="1"/>
                <w:bCs w:val="1"/>
                <w:color w:val="auto"/>
                <w:vertAlign w:val="superscript"/>
              </w:rPr>
              <w:t>​ ​</w:t>
            </w:r>
            <w:r>
              <w:rPr>
                <w:rFonts w:ascii="Arial" w:cs="Arial" w:eastAsia="Arial" w:hAnsi="Arial"/>
                <w:sz w:val="17"/>
                <w:szCs w:val="17"/>
                <w:b w:val="1"/>
                <w:bCs w:val="1"/>
                <w:color w:val="auto"/>
              </w:rPr>
              <w:t xml:space="preserve"> 8:00 a.m. Pacific Time</w:t>
            </w:r>
          </w:p>
        </w:tc>
        <w:tc>
          <w:tcPr>
            <w:tcW w:w="2480" w:type="dxa"/>
            <w:vAlign w:val="bottom"/>
            <w:shd w:val="clear" w:color="auto" w:fill="E5E5E5"/>
          </w:tcPr>
          <w:p>
            <w:pPr>
              <w:ind w:left="2360"/>
              <w:spacing w:after="0"/>
              <w:rPr>
                <w:sz w:val="20"/>
                <w:szCs w:val="20"/>
                <w:color w:val="auto"/>
              </w:rPr>
            </w:pPr>
            <w:r>
              <w:rPr>
                <w:rFonts w:ascii="Arial" w:cs="Arial" w:eastAsia="Arial" w:hAnsi="Arial"/>
                <w:sz w:val="17"/>
                <w:szCs w:val="17"/>
                <w:b w:val="1"/>
                <w:bCs w:val="1"/>
                <w:color w:val="auto"/>
              </w:rPr>
              <w:t>​</w:t>
            </w:r>
          </w:p>
        </w:tc>
      </w:tr>
      <w:tr>
        <w:trPr>
          <w:trHeight w:val="240"/>
        </w:trPr>
        <w:tc>
          <w:tcPr>
            <w:tcW w:w="440" w:type="dxa"/>
            <w:vAlign w:val="bottom"/>
            <w:shd w:val="clear" w:color="auto" w:fill="E5E5E5"/>
          </w:tcPr>
          <w:p>
            <w:pPr>
              <w:spacing w:after="0"/>
              <w:rPr>
                <w:sz w:val="20"/>
                <w:szCs w:val="20"/>
                <w:color w:val="auto"/>
              </w:rPr>
            </w:pPr>
          </w:p>
        </w:tc>
        <w:tc>
          <w:tcPr>
            <w:tcW w:w="1680" w:type="dxa"/>
            <w:vAlign w:val="bottom"/>
            <w:shd w:val="clear" w:color="auto" w:fill="E5E5E5"/>
          </w:tcPr>
          <w:p>
            <w:pPr>
              <w:ind w:left="620"/>
              <w:spacing w:after="0"/>
              <w:rPr>
                <w:sz w:val="20"/>
                <w:szCs w:val="20"/>
                <w:color w:val="auto"/>
              </w:rPr>
            </w:pPr>
            <w:r>
              <w:rPr>
                <w:rFonts w:ascii="Arial" w:cs="Arial" w:eastAsia="Arial" w:hAnsi="Arial"/>
                <w:sz w:val="17"/>
                <w:szCs w:val="17"/>
                <w:b w:val="1"/>
                <w:bCs w:val="1"/>
                <w:color w:val="auto"/>
              </w:rPr>
              <w:t>Date:</w:t>
            </w:r>
          </w:p>
        </w:tc>
        <w:tc>
          <w:tcPr>
            <w:tcW w:w="500" w:type="dxa"/>
            <w:vAlign w:val="bottom"/>
            <w:shd w:val="clear" w:color="auto" w:fill="E5E5E5"/>
          </w:tcPr>
          <w:p>
            <w:pPr>
              <w:spacing w:after="0"/>
              <w:rPr>
                <w:sz w:val="20"/>
                <w:szCs w:val="20"/>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Wednesday, June 17, 2026</w:t>
            </w:r>
          </w:p>
        </w:tc>
        <w:tc>
          <w:tcPr>
            <w:tcW w:w="2480" w:type="dxa"/>
            <w:vAlign w:val="bottom"/>
            <w:shd w:val="clear" w:color="auto" w:fill="E5E5E5"/>
          </w:tcPr>
          <w:p>
            <w:pPr>
              <w:spacing w:after="0"/>
              <w:rPr>
                <w:sz w:val="20"/>
                <w:szCs w:val="20"/>
                <w:color w:val="auto"/>
              </w:rPr>
            </w:pPr>
          </w:p>
        </w:tc>
      </w:tr>
      <w:tr>
        <w:trPr>
          <w:trHeight w:val="67"/>
        </w:trPr>
        <w:tc>
          <w:tcPr>
            <w:tcW w:w="440" w:type="dxa"/>
            <w:vAlign w:val="bottom"/>
            <w:shd w:val="clear" w:color="auto" w:fill="E5E5E5"/>
          </w:tcPr>
          <w:p>
            <w:pPr>
              <w:spacing w:after="0"/>
              <w:rPr>
                <w:sz w:val="5"/>
                <w:szCs w:val="5"/>
                <w:color w:val="auto"/>
              </w:rPr>
            </w:pPr>
          </w:p>
        </w:tc>
        <w:tc>
          <w:tcPr>
            <w:tcW w:w="2180" w:type="dxa"/>
            <w:vAlign w:val="bottom"/>
            <w:gridSpan w:val="2"/>
            <w:shd w:val="clear" w:color="auto" w:fill="E5E5E5"/>
          </w:tcPr>
          <w:p>
            <w:pPr>
              <w:spacing w:after="0"/>
              <w:rPr>
                <w:sz w:val="5"/>
                <w:szCs w:val="5"/>
                <w:color w:val="auto"/>
              </w:rPr>
            </w:pPr>
          </w:p>
        </w:tc>
        <w:tc>
          <w:tcPr>
            <w:tcW w:w="4020" w:type="dxa"/>
            <w:vAlign w:val="bottom"/>
            <w:shd w:val="clear" w:color="auto" w:fill="E5E5E5"/>
          </w:tcPr>
          <w:p>
            <w:pPr>
              <w:spacing w:after="0"/>
              <w:rPr>
                <w:sz w:val="5"/>
                <w:szCs w:val="5"/>
                <w:color w:val="auto"/>
              </w:rPr>
            </w:pPr>
          </w:p>
        </w:tc>
        <w:tc>
          <w:tcPr>
            <w:tcW w:w="2480" w:type="dxa"/>
            <w:vAlign w:val="bottom"/>
            <w:shd w:val="clear" w:color="auto" w:fill="E5E5E5"/>
          </w:tcPr>
          <w:p>
            <w:pPr>
              <w:spacing w:after="0"/>
              <w:rPr>
                <w:sz w:val="5"/>
                <w:szCs w:val="5"/>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0" w:type="dxa"/>
            <w:vAlign w:val="bottom"/>
            <w:gridSpan w:val="3"/>
          </w:tcPr>
          <w:p>
            <w:pPr>
              <w:ind w:left="400"/>
              <w:spacing w:after="0"/>
              <w:rPr>
                <w:sz w:val="20"/>
                <w:szCs w:val="20"/>
                <w:color w:val="auto"/>
              </w:rPr>
            </w:pPr>
            <w:r>
              <w:rPr>
                <w:rFonts w:ascii="Arial" w:cs="Arial" w:eastAsia="Arial" w:hAnsi="Arial"/>
                <w:sz w:val="17"/>
                <w:szCs w:val="17"/>
                <w:b w:val="1"/>
                <w:bCs w:val="1"/>
                <w:color w:val="auto"/>
              </w:rPr>
              <w:t>​ ​ Virtual Meeting: ​ ​ www.virtualshareholdermeeting.com/CRWD2026</w:t>
            </w:r>
          </w:p>
        </w:tc>
        <w:tc>
          <w:tcPr>
            <w:tcW w:w="2480" w:type="dxa"/>
            <w:vAlign w:val="bottom"/>
          </w:tcPr>
          <w:p>
            <w:pPr>
              <w:ind w:left="2360"/>
              <w:spacing w:after="0"/>
              <w:rPr>
                <w:sz w:val="20"/>
                <w:szCs w:val="20"/>
                <w:color w:val="auto"/>
              </w:rPr>
            </w:pPr>
            <w:r>
              <w:rPr>
                <w:rFonts w:ascii="Arial" w:cs="Arial" w:eastAsia="Arial" w:hAnsi="Arial"/>
                <w:sz w:val="17"/>
                <w:szCs w:val="17"/>
                <w:b w:val="1"/>
                <w:bCs w:val="1"/>
                <w:color w:val="auto"/>
              </w:rPr>
              <w:t>​</w:t>
            </w:r>
          </w:p>
        </w:tc>
      </w:tr>
      <w:tr>
        <w:trPr>
          <w:trHeight w:val="20"/>
        </w:trPr>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165735</wp:posOffset>
            </wp:positionV>
            <wp:extent cx="5784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421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-629920</wp:posOffset>
            </wp:positionV>
            <wp:extent cx="26543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-231775</wp:posOffset>
            </wp:positionV>
            <wp:extent cx="281940" cy="307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940" cy="3073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Dear Stockholder:</w:t>
      </w:r>
    </w:p>
    <w:p>
      <w:pPr>
        <w:spacing w:after="0" w:line="92" w:lineRule="exact"/>
        <w:rPr>
          <w:sz w:val="20"/>
          <w:szCs w:val="20"/>
          <w:color w:val="auto"/>
        </w:rPr>
      </w:pPr>
    </w:p>
    <w:p>
      <w:pPr>
        <w:ind w:left="620" w:right="780"/>
        <w:spacing w:after="0" w:line="263" w:lineRule="auto"/>
        <w:rPr>
          <w:sz w:val="20"/>
          <w:szCs w:val="20"/>
          <w:color w:val="auto"/>
        </w:rPr>
      </w:pPr>
      <w:r>
        <w:rPr>
          <w:rFonts w:ascii="Arial" w:cs="Arial" w:eastAsia="Arial" w:hAnsi="Arial"/>
          <w:sz w:val="17"/>
          <w:szCs w:val="17"/>
          <w:color w:val="auto"/>
        </w:rPr>
        <w:t xml:space="preserve">You are cordially invited to attend the Annual Meeting of Stockholders of CrowdStrike Holdings, Inc., a Delaware corporation (“CrowdStrike”), which will be held on </w:t>
      </w:r>
      <w:r>
        <w:rPr>
          <w:rFonts w:ascii="Arial" w:cs="Arial" w:eastAsia="Arial" w:hAnsi="Arial"/>
          <w:sz w:val="17"/>
          <w:szCs w:val="17"/>
          <w:b w:val="1"/>
          <w:bCs w:val="1"/>
          <w:color w:val="auto"/>
        </w:rPr>
        <w:t>Wednesday, June 17, 2026</w:t>
      </w:r>
      <w:r>
        <w:rPr>
          <w:rFonts w:ascii="Arial" w:cs="Arial" w:eastAsia="Arial" w:hAnsi="Arial"/>
          <w:sz w:val="17"/>
          <w:szCs w:val="17"/>
          <w:color w:val="auto"/>
        </w:rPr>
        <w:t xml:space="preserve"> at </w:t>
      </w:r>
      <w:r>
        <w:rPr>
          <w:rFonts w:ascii="Arial" w:cs="Arial" w:eastAsia="Arial" w:hAnsi="Arial"/>
          <w:sz w:val="17"/>
          <w:szCs w:val="17"/>
          <w:b w:val="1"/>
          <w:bCs w:val="1"/>
          <w:color w:val="auto"/>
        </w:rPr>
        <w:t>8:00 a.m. Pacific Time</w:t>
      </w:r>
      <w:r>
        <w:rPr>
          <w:rFonts w:ascii="Arial" w:cs="Arial" w:eastAsia="Arial" w:hAnsi="Arial"/>
          <w:sz w:val="17"/>
          <w:szCs w:val="17"/>
          <w:color w:val="auto"/>
        </w:rPr>
        <w:t xml:space="preserve">. The Annual Meeting will be a virtual meeting of stockholders, which will be conducted via a live audio webcast. You will be able to attend the Annual Meeting, submit your questions and vote online during the meeting by visiting </w:t>
      </w:r>
      <w:r>
        <w:rPr>
          <w:rFonts w:ascii="Arial" w:cs="Arial" w:eastAsia="Arial" w:hAnsi="Arial"/>
          <w:sz w:val="17"/>
          <w:szCs w:val="17"/>
          <w:u w:val="single" w:color="auto"/>
          <w:color w:val="auto"/>
        </w:rPr>
        <w:t>www.virtualshareholdermeeting.com/CRWD2026</w:t>
      </w:r>
      <w:r>
        <w:rPr>
          <w:rFonts w:ascii="Arial" w:cs="Arial" w:eastAsia="Arial" w:hAnsi="Arial"/>
          <w:sz w:val="17"/>
          <w:szCs w:val="17"/>
          <w:color w:val="auto"/>
        </w:rPr>
        <w:t>. We believe a virtual meeting provides expanded access, improves communication, enables increased stockholder attendance and participation, allows our stockholders around the world to attend the Annual Meeting and provides cost savings for our stockholders and CrowdStrike.</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our Annual Meeting, you will be asked to:</w:t>
      </w:r>
    </w:p>
    <w:p>
      <w:pPr>
        <w:spacing w:after="0" w:line="135"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100" w:type="dxa"/>
            <w:vAlign w:val="bottom"/>
            <w:shd w:val="clear" w:color="auto" w:fill="D6515D"/>
          </w:tcPr>
          <w:p>
            <w:pPr>
              <w:spacing w:after="0"/>
              <w:rPr>
                <w:sz w:val="19"/>
                <w:szCs w:val="19"/>
                <w:color w:val="auto"/>
              </w:rPr>
            </w:pPr>
          </w:p>
        </w:tc>
        <w:tc>
          <w:tcPr>
            <w:tcW w:w="80" w:type="dxa"/>
            <w:vAlign w:val="bottom"/>
            <w:shd w:val="clear" w:color="auto" w:fill="D6515D"/>
          </w:tcPr>
          <w:p>
            <w:pPr>
              <w:spacing w:after="0"/>
              <w:rPr>
                <w:sz w:val="19"/>
                <w:szCs w:val="19"/>
                <w:color w:val="auto"/>
              </w:rPr>
            </w:pPr>
          </w:p>
        </w:tc>
        <w:tc>
          <w:tcPr>
            <w:tcW w:w="480" w:type="dxa"/>
            <w:vAlign w:val="bottom"/>
            <w:shd w:val="clear" w:color="auto" w:fill="D6515D"/>
          </w:tcPr>
          <w:p>
            <w:pPr>
              <w:spacing w:after="0"/>
              <w:rPr>
                <w:sz w:val="19"/>
                <w:szCs w:val="19"/>
                <w:color w:val="auto"/>
              </w:rPr>
            </w:pPr>
          </w:p>
        </w:tc>
        <w:tc>
          <w:tcPr>
            <w:tcW w:w="120" w:type="dxa"/>
            <w:vAlign w:val="bottom"/>
            <w:shd w:val="clear" w:color="auto" w:fill="D6515D"/>
          </w:tcPr>
          <w:p>
            <w:pPr>
              <w:spacing w:after="0"/>
              <w:rPr>
                <w:sz w:val="19"/>
                <w:szCs w:val="19"/>
                <w:color w:val="auto"/>
              </w:rPr>
            </w:pPr>
          </w:p>
        </w:tc>
        <w:tc>
          <w:tcPr>
            <w:tcW w:w="4900" w:type="dxa"/>
            <w:vAlign w:val="bottom"/>
            <w:shd w:val="clear" w:color="auto" w:fill="D6515D"/>
          </w:tcPr>
          <w:p>
            <w:pPr>
              <w:spacing w:after="0"/>
              <w:rPr>
                <w:sz w:val="19"/>
                <w:szCs w:val="19"/>
                <w:color w:val="auto"/>
              </w:rPr>
            </w:pPr>
          </w:p>
        </w:tc>
        <w:tc>
          <w:tcPr>
            <w:tcW w:w="1580" w:type="dxa"/>
            <w:vAlign w:val="bottom"/>
            <w:shd w:val="clear" w:color="auto" w:fill="D6515D"/>
          </w:tcPr>
          <w:p>
            <w:pPr>
              <w:ind w:left="140"/>
              <w:spacing w:after="0"/>
              <w:rPr>
                <w:sz w:val="20"/>
                <w:szCs w:val="20"/>
                <w:color w:val="auto"/>
              </w:rPr>
            </w:pPr>
            <w:r>
              <w:rPr>
                <w:rFonts w:ascii="Arial" w:cs="Arial" w:eastAsia="Arial" w:hAnsi="Arial"/>
                <w:sz w:val="16"/>
                <w:szCs w:val="16"/>
                <w:b w:val="1"/>
                <w:bCs w:val="1"/>
                <w:color w:val="FFFFFF"/>
              </w:rPr>
              <w:t>Board</w:t>
            </w:r>
          </w:p>
        </w:tc>
        <w:tc>
          <w:tcPr>
            <w:tcW w:w="740" w:type="dxa"/>
            <w:vAlign w:val="bottom"/>
            <w:shd w:val="clear" w:color="auto" w:fill="D6515D"/>
          </w:tcPr>
          <w:p>
            <w:pPr>
              <w:spacing w:after="0"/>
              <w:rPr>
                <w:sz w:val="19"/>
                <w:szCs w:val="19"/>
                <w:color w:val="auto"/>
              </w:rPr>
            </w:pPr>
          </w:p>
        </w:tc>
        <w:tc>
          <w:tcPr>
            <w:tcW w:w="20" w:type="dxa"/>
            <w:vAlign w:val="bottom"/>
            <w:shd w:val="clear" w:color="auto" w:fill="D6515D"/>
          </w:tcPr>
          <w:p>
            <w:pPr>
              <w:spacing w:after="0"/>
              <w:rPr>
                <w:sz w:val="19"/>
                <w:szCs w:val="19"/>
                <w:color w:val="auto"/>
              </w:rPr>
            </w:pPr>
          </w:p>
        </w:tc>
        <w:tc>
          <w:tcPr>
            <w:tcW w:w="80" w:type="dxa"/>
            <w:vAlign w:val="bottom"/>
            <w:shd w:val="clear" w:color="auto" w:fill="D6515D"/>
          </w:tcPr>
          <w:p>
            <w:pPr>
              <w:spacing w:after="0"/>
              <w:rPr>
                <w:sz w:val="19"/>
                <w:szCs w:val="19"/>
                <w:color w:val="auto"/>
              </w:rPr>
            </w:pPr>
          </w:p>
        </w:tc>
        <w:tc>
          <w:tcPr>
            <w:tcW w:w="80" w:type="dxa"/>
            <w:vAlign w:val="bottom"/>
            <w:shd w:val="clear" w:color="auto" w:fill="D6515D"/>
          </w:tcPr>
          <w:p>
            <w:pPr>
              <w:spacing w:after="0"/>
              <w:rPr>
                <w:sz w:val="19"/>
                <w:szCs w:val="19"/>
                <w:color w:val="auto"/>
              </w:rPr>
            </w:pPr>
          </w:p>
        </w:tc>
        <w:tc>
          <w:tcPr>
            <w:tcW w:w="640" w:type="dxa"/>
            <w:vAlign w:val="bottom"/>
            <w:shd w:val="clear" w:color="auto" w:fill="D6515D"/>
          </w:tcPr>
          <w:p>
            <w:pPr>
              <w:spacing w:after="0"/>
              <w:rPr>
                <w:sz w:val="19"/>
                <w:szCs w:val="19"/>
                <w:color w:val="auto"/>
              </w:rPr>
            </w:pPr>
          </w:p>
        </w:tc>
        <w:tc>
          <w:tcPr>
            <w:tcW w:w="300" w:type="dxa"/>
            <w:vAlign w:val="bottom"/>
            <w:shd w:val="clear" w:color="auto" w:fill="D6515D"/>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00" w:type="dxa"/>
            <w:vAlign w:val="bottom"/>
            <w:shd w:val="clear" w:color="auto" w:fill="D6515D"/>
          </w:tcPr>
          <w:p>
            <w:pPr>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D6515D"/>
          </w:tcPr>
          <w:p>
            <w:pPr>
              <w:spacing w:after="0"/>
              <w:rPr>
                <w:sz w:val="20"/>
                <w:szCs w:val="20"/>
                <w:color w:val="auto"/>
              </w:rPr>
            </w:pPr>
            <w:r>
              <w:rPr>
                <w:rFonts w:ascii="Arial" w:cs="Arial" w:eastAsia="Arial" w:hAnsi="Arial"/>
                <w:sz w:val="16"/>
                <w:szCs w:val="16"/>
                <w:b w:val="1"/>
                <w:bCs w:val="1"/>
                <w:color w:val="FFFFFF"/>
              </w:rPr>
              <w:t>​</w:t>
            </w:r>
          </w:p>
        </w:tc>
        <w:tc>
          <w:tcPr>
            <w:tcW w:w="480" w:type="dxa"/>
            <w:vAlign w:val="bottom"/>
            <w:shd w:val="clear" w:color="auto" w:fill="D6515D"/>
          </w:tcPr>
          <w:p>
            <w:pPr>
              <w:spacing w:after="0"/>
              <w:rPr>
                <w:sz w:val="21"/>
                <w:szCs w:val="21"/>
                <w:color w:val="auto"/>
              </w:rPr>
            </w:pPr>
          </w:p>
        </w:tc>
        <w:tc>
          <w:tcPr>
            <w:tcW w:w="5020" w:type="dxa"/>
            <w:vAlign w:val="bottom"/>
            <w:gridSpan w:val="2"/>
            <w:shd w:val="clear" w:color="auto" w:fill="D6515D"/>
          </w:tcPr>
          <w:p>
            <w:pPr>
              <w:spacing w:after="0"/>
              <w:rPr>
                <w:sz w:val="20"/>
                <w:szCs w:val="20"/>
                <w:color w:val="auto"/>
              </w:rPr>
            </w:pPr>
            <w:r>
              <w:rPr>
                <w:rFonts w:ascii="Arial" w:cs="Arial" w:eastAsia="Arial" w:hAnsi="Arial"/>
                <w:sz w:val="16"/>
                <w:szCs w:val="16"/>
                <w:b w:val="1"/>
                <w:bCs w:val="1"/>
                <w:color w:val="FFFFFF"/>
              </w:rPr>
              <w:t>​​ Items of Business</w:t>
            </w:r>
          </w:p>
        </w:tc>
        <w:tc>
          <w:tcPr>
            <w:tcW w:w="1580" w:type="dxa"/>
            <w:vAlign w:val="bottom"/>
            <w:shd w:val="clear" w:color="auto" w:fill="D6515D"/>
          </w:tcPr>
          <w:p>
            <w:pPr>
              <w:spacing w:after="0" w:line="236"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4"/>
                <w:szCs w:val="14"/>
                <w:b w:val="1"/>
                <w:bCs w:val="1"/>
                <w:color w:val="FFFFFF"/>
              </w:rPr>
              <w:t xml:space="preserve"> Recommendation</w:t>
            </w:r>
          </w:p>
        </w:tc>
        <w:tc>
          <w:tcPr>
            <w:tcW w:w="1560" w:type="dxa"/>
            <w:vAlign w:val="bottom"/>
            <w:gridSpan w:val="5"/>
            <w:shd w:val="clear" w:color="auto" w:fill="D6515D"/>
          </w:tcPr>
          <w:p>
            <w:pPr>
              <w:ind w:left="140"/>
              <w:spacing w:after="0"/>
              <w:rPr>
                <w:sz w:val="20"/>
                <w:szCs w:val="20"/>
                <w:color w:val="auto"/>
              </w:rPr>
            </w:pPr>
            <w:r>
              <w:rPr>
                <w:rFonts w:ascii="Arial" w:cs="Arial" w:eastAsia="Arial" w:hAnsi="Arial"/>
                <w:sz w:val="16"/>
                <w:szCs w:val="16"/>
                <w:b w:val="1"/>
                <w:bCs w:val="1"/>
                <w:color w:val="FFFFFF"/>
              </w:rPr>
              <w:t>​​ Further Details</w:t>
            </w:r>
          </w:p>
        </w:tc>
        <w:tc>
          <w:tcPr>
            <w:tcW w:w="300" w:type="dxa"/>
            <w:vAlign w:val="bottom"/>
            <w:shd w:val="clear" w:color="auto" w:fill="D6515D"/>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shd w:val="clear" w:color="auto" w:fill="262626"/>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restart"/>
          </w:tcPr>
          <w:p>
            <w:pPr>
              <w:ind w:left="60"/>
              <w:spacing w:after="0"/>
              <w:rPr>
                <w:sz w:val="20"/>
                <w:szCs w:val="20"/>
                <w:color w:val="auto"/>
              </w:rPr>
            </w:pPr>
            <w:r>
              <w:rPr>
                <w:rFonts w:ascii="Arial" w:cs="Arial" w:eastAsia="Arial" w:hAnsi="Arial"/>
                <w:sz w:val="35"/>
                <w:szCs w:val="35"/>
                <w:b w:val="1"/>
                <w:bCs w:val="1"/>
                <w:color w:val="FFFFFF"/>
              </w:rPr>
              <w:t>1.</w:t>
            </w:r>
            <w:r>
              <w:rPr>
                <w:rFonts w:ascii="Arial" w:cs="Arial" w:eastAsia="Arial" w:hAnsi="Arial"/>
                <w:sz w:val="17"/>
                <w:szCs w:val="17"/>
                <w:color w:val="000000"/>
              </w:rPr>
              <w:t>​</w:t>
            </w:r>
          </w:p>
        </w:tc>
        <w:tc>
          <w:tcPr>
            <w:tcW w:w="1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Elect nominees Johanna Flower and Denis J. O’Leary to the</w:t>
            </w: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262626"/>
            </w:tcBorders>
            <w:vMerge w:val="restart"/>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7240" w:type="dxa"/>
            <w:vAlign w:val="bottom"/>
            <w:gridSpan w:val="4"/>
            <w:vMerge w:val="restart"/>
          </w:tcPr>
          <w:p>
            <w:pPr>
              <w:spacing w:after="0"/>
              <w:rPr>
                <w:sz w:val="20"/>
                <w:szCs w:val="20"/>
                <w:color w:val="auto"/>
              </w:rPr>
            </w:pPr>
            <w:r>
              <w:rPr>
                <w:rFonts w:ascii="Arial" w:cs="Arial" w:eastAsia="Arial" w:hAnsi="Arial"/>
                <w:sz w:val="17"/>
                <w:szCs w:val="17"/>
                <w:color w:val="auto"/>
              </w:rPr>
              <w:t xml:space="preserve">Board of Directors to hold office until the 2029 Annual Meeting of​​ </w:t>
            </w:r>
            <w:r>
              <w:rPr>
                <w:rFonts w:ascii="Arial" w:cs="Arial" w:eastAsia="Arial" w:hAnsi="Arial"/>
                <w:sz w:val="17"/>
                <w:szCs w:val="17"/>
                <w:b w:val="1"/>
                <w:bCs w:val="1"/>
                <w:color w:val="D6515D"/>
              </w:rPr>
              <w:t>“FOR”</w:t>
            </w:r>
            <w:r>
              <w:rPr>
                <w:rFonts w:ascii="Arial" w:cs="Arial" w:eastAsia="Arial" w:hAnsi="Arial"/>
                <w:sz w:val="17"/>
                <w:szCs w:val="17"/>
                <w:color w:val="auto"/>
              </w:rPr>
              <w:t xml:space="preserve"> all nominees​​ Page</w:t>
            </w:r>
          </w:p>
        </w:tc>
        <w:tc>
          <w:tcPr>
            <w:tcW w:w="80" w:type="dxa"/>
            <w:vAlign w:val="bottom"/>
            <w:tcBorders>
              <w:bottom w:val="single" w:sz="8" w:color="0000EE"/>
            </w:tcBorders>
          </w:tcPr>
          <w:p>
            <w:pPr>
              <w:spacing w:after="0" w:line="169" w:lineRule="exact"/>
              <w:rPr>
                <w:sz w:val="20"/>
                <w:szCs w:val="20"/>
                <w:color w:val="auto"/>
              </w:rPr>
            </w:pPr>
            <w:r>
              <w:rPr>
                <w:rFonts w:ascii="Arial" w:cs="Arial" w:eastAsia="Arial" w:hAnsi="Arial"/>
                <w:sz w:val="15"/>
                <w:szCs w:val="15"/>
                <w:b w:val="1"/>
                <w:bCs w:val="1"/>
                <w:color w:val="0000EE"/>
                <w:w w:val="71"/>
              </w:rPr>
              <w:t>5</w:t>
            </w:r>
          </w:p>
        </w:tc>
        <w:tc>
          <w:tcPr>
            <w:tcW w:w="80" w:type="dxa"/>
            <w:vAlign w:val="bottom"/>
            <w:vMerge w:val="restart"/>
          </w:tcPr>
          <w:p>
            <w:pPr>
              <w:spacing w:after="0"/>
              <w:rPr>
                <w:sz w:val="16"/>
                <w:szCs w:val="16"/>
                <w:color w:val="auto"/>
              </w:rPr>
            </w:pPr>
          </w:p>
        </w:tc>
        <w:tc>
          <w:tcPr>
            <w:tcW w:w="640" w:type="dxa"/>
            <w:vAlign w:val="bottom"/>
            <w:vMerge w:val="restart"/>
          </w:tcPr>
          <w:p>
            <w:pPr>
              <w:spacing w:after="0"/>
              <w:rPr>
                <w:sz w:val="16"/>
                <w:szCs w:val="16"/>
                <w:color w:val="auto"/>
              </w:rPr>
            </w:pPr>
          </w:p>
        </w:tc>
        <w:tc>
          <w:tcPr>
            <w:tcW w:w="300" w:type="dxa"/>
            <w:vAlign w:val="bottom"/>
            <w:vMerge w:val="restart"/>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
        </w:trPr>
        <w:tc>
          <w:tcPr>
            <w:tcW w:w="100" w:type="dxa"/>
            <w:vAlign w:val="bottom"/>
            <w:vMerge w:val="continue"/>
            <w:shd w:val="clear" w:color="auto" w:fill="262626"/>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72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262626"/>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Stockholders.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 w:type="dxa"/>
            <w:vAlign w:val="bottom"/>
            <w:vMerge w:val="restart"/>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262626"/>
          </w:tcPr>
          <w:p>
            <w:pPr>
              <w:spacing w:after="0"/>
              <w:rPr>
                <w:sz w:val="22"/>
                <w:szCs w:val="22"/>
                <w:color w:val="auto"/>
              </w:rPr>
            </w:pPr>
          </w:p>
        </w:tc>
        <w:tc>
          <w:tcPr>
            <w:tcW w:w="480" w:type="dxa"/>
            <w:vAlign w:val="bottom"/>
            <w:vMerge w:val="restart"/>
            <w:shd w:val="clear" w:color="auto" w:fill="262626"/>
          </w:tcPr>
          <w:p>
            <w:pPr>
              <w:ind w:left="60"/>
              <w:spacing w:after="0"/>
              <w:rPr>
                <w:sz w:val="20"/>
                <w:szCs w:val="20"/>
                <w:color w:val="auto"/>
              </w:rPr>
            </w:pPr>
            <w:r>
              <w:rPr>
                <w:rFonts w:ascii="Arial" w:cs="Arial" w:eastAsia="Arial" w:hAnsi="Arial"/>
                <w:sz w:val="35"/>
                <w:szCs w:val="35"/>
                <w:b w:val="1"/>
                <w:bCs w:val="1"/>
                <w:color w:val="FFFFFF"/>
              </w:rPr>
              <w:t>2.</w:t>
            </w:r>
            <w:r>
              <w:rPr>
                <w:rFonts w:ascii="Arial" w:cs="Arial" w:eastAsia="Arial" w:hAnsi="Arial"/>
                <w:sz w:val="17"/>
                <w:szCs w:val="17"/>
                <w:color w:val="000000"/>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Ratify the selection of PricewaterhouseCoopers LLP as</w:t>
            </w:r>
          </w:p>
        </w:tc>
        <w:tc>
          <w:tcPr>
            <w:tcW w:w="1580" w:type="dxa"/>
            <w:vAlign w:val="bottom"/>
            <w:vMerge w:val="restart"/>
            <w:shd w:val="clear" w:color="auto" w:fill="E5E5E5"/>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D6515D"/>
              </w:rPr>
              <w:t>“FOR”</w:t>
            </w:r>
          </w:p>
        </w:tc>
        <w:tc>
          <w:tcPr>
            <w:tcW w:w="740" w:type="dxa"/>
            <w:vAlign w:val="bottom"/>
            <w:vMerge w:val="restart"/>
            <w:shd w:val="clear" w:color="auto" w:fill="E5E5E5"/>
          </w:tcPr>
          <w:p>
            <w:pPr>
              <w:ind w:left="140"/>
              <w:spacing w:after="0"/>
              <w:rPr>
                <w:sz w:val="20"/>
                <w:szCs w:val="20"/>
                <w:color w:val="auto"/>
              </w:rPr>
            </w:pPr>
            <w:r>
              <w:rPr>
                <w:rFonts w:ascii="Arial" w:cs="Arial" w:eastAsia="Arial" w:hAnsi="Arial"/>
                <w:sz w:val="17"/>
                <w:szCs w:val="17"/>
                <w:color w:val="auto"/>
              </w:rPr>
              <w:t>​​ Page</w:t>
            </w:r>
          </w:p>
        </w:tc>
        <w:tc>
          <w:tcPr>
            <w:tcW w:w="180" w:type="dxa"/>
            <w:vAlign w:val="bottom"/>
            <w:gridSpan w:val="3"/>
            <w:vMerge w:val="restart"/>
            <w:shd w:val="clear" w:color="auto" w:fill="E5E5E5"/>
          </w:tcPr>
          <w:p>
            <w:pPr>
              <w:spacing w:after="0"/>
              <w:rPr>
                <w:sz w:val="20"/>
                <w:szCs w:val="20"/>
                <w:color w:val="auto"/>
              </w:rPr>
            </w:pPr>
            <w:r>
              <w:rPr>
                <w:rFonts w:ascii="Arial" w:cs="Arial" w:eastAsia="Arial" w:hAnsi="Arial"/>
                <w:sz w:val="17"/>
                <w:szCs w:val="17"/>
                <w:b w:val="1"/>
                <w:bCs w:val="1"/>
                <w:color w:val="0000EE"/>
                <w:w w:val="84"/>
              </w:rPr>
              <w:t>24</w:t>
            </w:r>
          </w:p>
        </w:tc>
        <w:tc>
          <w:tcPr>
            <w:tcW w:w="640" w:type="dxa"/>
            <w:vAlign w:val="bottom"/>
            <w:shd w:val="clear" w:color="auto" w:fill="E5E5E5"/>
          </w:tcPr>
          <w:p>
            <w:pPr>
              <w:spacing w:after="0"/>
              <w:rPr>
                <w:sz w:val="22"/>
                <w:szCs w:val="22"/>
                <w:color w:val="auto"/>
              </w:rPr>
            </w:pPr>
          </w:p>
        </w:tc>
        <w:tc>
          <w:tcPr>
            <w:tcW w:w="300" w:type="dxa"/>
            <w:vAlign w:val="bottom"/>
            <w:vMerge w:val="restart"/>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262626"/>
            </w:tcBorders>
            <w:vMerge w:val="continue"/>
            <w:shd w:val="clear" w:color="auto" w:fill="262626"/>
          </w:tcPr>
          <w:p>
            <w:pPr>
              <w:spacing w:after="0"/>
              <w:rPr>
                <w:sz w:val="13"/>
                <w:szCs w:val="13"/>
                <w:color w:val="auto"/>
              </w:rPr>
            </w:pPr>
          </w:p>
        </w:tc>
        <w:tc>
          <w:tcPr>
            <w:tcW w:w="80" w:type="dxa"/>
            <w:vAlign w:val="bottom"/>
            <w:tcBorders>
              <w:bottom w:val="single" w:sz="8" w:color="262626"/>
            </w:tcBorders>
            <w:shd w:val="clear" w:color="auto" w:fill="262626"/>
          </w:tcPr>
          <w:p>
            <w:pPr>
              <w:spacing w:after="0"/>
              <w:rPr>
                <w:sz w:val="13"/>
                <w:szCs w:val="13"/>
                <w:color w:val="auto"/>
              </w:rPr>
            </w:pPr>
          </w:p>
        </w:tc>
        <w:tc>
          <w:tcPr>
            <w:tcW w:w="480" w:type="dxa"/>
            <w:vAlign w:val="bottom"/>
            <w:tcBorders>
              <w:bottom w:val="single" w:sz="8" w:color="262626"/>
            </w:tcBorders>
            <w:vMerge w:val="continue"/>
            <w:shd w:val="clear" w:color="auto" w:fill="262626"/>
          </w:tcPr>
          <w:p>
            <w:pPr>
              <w:spacing w:after="0"/>
              <w:rPr>
                <w:sz w:val="13"/>
                <w:szCs w:val="13"/>
                <w:color w:val="auto"/>
              </w:rPr>
            </w:pPr>
          </w:p>
        </w:tc>
        <w:tc>
          <w:tcPr>
            <w:tcW w:w="120" w:type="dxa"/>
            <w:vAlign w:val="bottom"/>
            <w:vMerge w:val="continue"/>
          </w:tcPr>
          <w:p>
            <w:pPr>
              <w:spacing w:after="0"/>
              <w:rPr>
                <w:sz w:val="13"/>
                <w:szCs w:val="13"/>
                <w:color w:val="auto"/>
              </w:rPr>
            </w:pPr>
          </w:p>
        </w:tc>
        <w:tc>
          <w:tcPr>
            <w:tcW w:w="4900" w:type="dxa"/>
            <w:vAlign w:val="bottom"/>
            <w:tcBorders>
              <w:bottom w:val="single" w:sz="8" w:color="E5E5E5"/>
            </w:tcBorders>
            <w:vMerge w:val="restart"/>
            <w:shd w:val="clear" w:color="auto" w:fill="E5E5E5"/>
          </w:tcPr>
          <w:p>
            <w:pPr>
              <w:spacing w:after="0"/>
              <w:rPr>
                <w:sz w:val="20"/>
                <w:szCs w:val="20"/>
                <w:color w:val="auto"/>
              </w:rPr>
            </w:pPr>
            <w:r>
              <w:rPr>
                <w:rFonts w:ascii="Arial" w:cs="Arial" w:eastAsia="Arial" w:hAnsi="Arial"/>
                <w:sz w:val="17"/>
                <w:szCs w:val="17"/>
                <w:color w:val="auto"/>
              </w:rPr>
              <w:t>CrowdStrike’s independent registered public accounting firm for</w:t>
            </w:r>
          </w:p>
        </w:tc>
        <w:tc>
          <w:tcPr>
            <w:tcW w:w="1580" w:type="dxa"/>
            <w:vAlign w:val="bottom"/>
            <w:tcBorders>
              <w:bottom w:val="single" w:sz="8" w:color="E5E5E5"/>
            </w:tcBorders>
            <w:vMerge w:val="continue"/>
            <w:shd w:val="clear" w:color="auto" w:fill="E5E5E5"/>
          </w:tcPr>
          <w:p>
            <w:pPr>
              <w:spacing w:after="0"/>
              <w:rPr>
                <w:sz w:val="13"/>
                <w:szCs w:val="13"/>
                <w:color w:val="auto"/>
              </w:rPr>
            </w:pPr>
          </w:p>
        </w:tc>
        <w:tc>
          <w:tcPr>
            <w:tcW w:w="740" w:type="dxa"/>
            <w:vAlign w:val="bottom"/>
            <w:tcBorders>
              <w:bottom w:val="single" w:sz="8" w:color="E5E5E5"/>
            </w:tcBorders>
            <w:vMerge w:val="continue"/>
            <w:shd w:val="clear" w:color="auto" w:fill="E5E5E5"/>
          </w:tcPr>
          <w:p>
            <w:pPr>
              <w:spacing w:after="0"/>
              <w:rPr>
                <w:sz w:val="13"/>
                <w:szCs w:val="13"/>
                <w:color w:val="auto"/>
              </w:rPr>
            </w:pPr>
          </w:p>
        </w:tc>
        <w:tc>
          <w:tcPr>
            <w:tcW w:w="180" w:type="dxa"/>
            <w:vAlign w:val="bottom"/>
            <w:tcBorders>
              <w:bottom w:val="single" w:sz="8" w:color="0000EE"/>
            </w:tcBorders>
            <w:gridSpan w:val="3"/>
            <w:vMerge w:val="continue"/>
            <w:shd w:val="clear" w:color="auto" w:fill="E5E5E5"/>
          </w:tcPr>
          <w:p>
            <w:pPr>
              <w:spacing w:after="0"/>
              <w:rPr>
                <w:sz w:val="13"/>
                <w:szCs w:val="13"/>
                <w:color w:val="auto"/>
              </w:rPr>
            </w:pPr>
          </w:p>
        </w:tc>
        <w:tc>
          <w:tcPr>
            <w:tcW w:w="640" w:type="dxa"/>
            <w:vAlign w:val="bottom"/>
            <w:tcBorders>
              <w:bottom w:val="single" w:sz="8" w:color="E5E5E5"/>
            </w:tcBorders>
            <w:vMerge w:val="restart"/>
            <w:shd w:val="clear" w:color="auto" w:fill="E5E5E5"/>
          </w:tcPr>
          <w:p>
            <w:pPr>
              <w:spacing w:after="0"/>
              <w:rPr>
                <w:sz w:val="13"/>
                <w:szCs w:val="13"/>
                <w:color w:val="auto"/>
              </w:rPr>
            </w:pPr>
          </w:p>
        </w:tc>
        <w:tc>
          <w:tcPr>
            <w:tcW w:w="300" w:type="dxa"/>
            <w:vAlign w:val="bottom"/>
            <w:tcBorders>
              <w:bottom w:val="single" w:sz="8" w:color="E5E5E5"/>
            </w:tcBorders>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0" w:type="dxa"/>
            <w:vAlign w:val="bottom"/>
            <w:vMerge w:val="continue"/>
            <w:shd w:val="clear" w:color="auto" w:fill="262626"/>
          </w:tcPr>
          <w:p>
            <w:pPr>
              <w:spacing w:after="0"/>
              <w:rPr>
                <w:sz w:val="2"/>
                <w:szCs w:val="2"/>
                <w:color w:val="auto"/>
              </w:rPr>
            </w:pPr>
          </w:p>
        </w:tc>
        <w:tc>
          <w:tcPr>
            <w:tcW w:w="80" w:type="dxa"/>
            <w:vAlign w:val="bottom"/>
            <w:shd w:val="clear" w:color="auto" w:fill="262626"/>
          </w:tcPr>
          <w:p>
            <w:pPr>
              <w:spacing w:after="0"/>
              <w:rPr>
                <w:sz w:val="2"/>
                <w:szCs w:val="2"/>
                <w:color w:val="auto"/>
              </w:rPr>
            </w:pPr>
          </w:p>
        </w:tc>
        <w:tc>
          <w:tcPr>
            <w:tcW w:w="480" w:type="dxa"/>
            <w:vAlign w:val="bottom"/>
            <w:vMerge w:val="continue"/>
            <w:shd w:val="clear" w:color="auto" w:fill="262626"/>
          </w:tcPr>
          <w:p>
            <w:pPr>
              <w:spacing w:after="0"/>
              <w:rPr>
                <w:sz w:val="2"/>
                <w:szCs w:val="2"/>
                <w:color w:val="auto"/>
              </w:rPr>
            </w:pPr>
          </w:p>
        </w:tc>
        <w:tc>
          <w:tcPr>
            <w:tcW w:w="120" w:type="dxa"/>
            <w:vAlign w:val="bottom"/>
            <w:vMerge w:val="continue"/>
          </w:tcPr>
          <w:p>
            <w:pPr>
              <w:spacing w:after="0"/>
              <w:rPr>
                <w:sz w:val="2"/>
                <w:szCs w:val="2"/>
                <w:color w:val="auto"/>
              </w:rPr>
            </w:pPr>
          </w:p>
        </w:tc>
        <w:tc>
          <w:tcPr>
            <w:tcW w:w="4900" w:type="dxa"/>
            <w:vAlign w:val="bottom"/>
            <w:vMerge w:val="continue"/>
            <w:shd w:val="clear" w:color="auto" w:fill="E5E5E5"/>
          </w:tcPr>
          <w:p>
            <w:pPr>
              <w:spacing w:after="0"/>
              <w:rPr>
                <w:sz w:val="2"/>
                <w:szCs w:val="2"/>
                <w:color w:val="auto"/>
              </w:rPr>
            </w:pPr>
          </w:p>
        </w:tc>
        <w:tc>
          <w:tcPr>
            <w:tcW w:w="1580" w:type="dxa"/>
            <w:vAlign w:val="bottom"/>
            <w:vMerge w:val="continue"/>
            <w:shd w:val="clear" w:color="auto" w:fill="E5E5E5"/>
          </w:tcPr>
          <w:p>
            <w:pPr>
              <w:spacing w:after="0"/>
              <w:rPr>
                <w:sz w:val="2"/>
                <w:szCs w:val="2"/>
                <w:color w:val="auto"/>
              </w:rPr>
            </w:pPr>
          </w:p>
        </w:tc>
        <w:tc>
          <w:tcPr>
            <w:tcW w:w="740" w:type="dxa"/>
            <w:vAlign w:val="bottom"/>
            <w:vMerge w:val="continue"/>
            <w:shd w:val="clear" w:color="auto" w:fill="E5E5E5"/>
          </w:tcPr>
          <w:p>
            <w:pPr>
              <w:spacing w:after="0"/>
              <w:rPr>
                <w:sz w:val="2"/>
                <w:szCs w:val="2"/>
                <w:color w:val="auto"/>
              </w:rPr>
            </w:pPr>
          </w:p>
        </w:tc>
        <w:tc>
          <w:tcPr>
            <w:tcW w:w="180" w:type="dxa"/>
            <w:vAlign w:val="bottom"/>
            <w:gridSpan w:val="3"/>
            <w:shd w:val="clear" w:color="auto" w:fill="E5E5E5"/>
          </w:tcPr>
          <w:p>
            <w:pPr>
              <w:spacing w:after="0"/>
              <w:rPr>
                <w:sz w:val="2"/>
                <w:szCs w:val="2"/>
                <w:color w:val="auto"/>
              </w:rPr>
            </w:pPr>
          </w:p>
        </w:tc>
        <w:tc>
          <w:tcPr>
            <w:tcW w:w="640" w:type="dxa"/>
            <w:vAlign w:val="bottom"/>
            <w:vMerge w:val="continue"/>
            <w:shd w:val="clear" w:color="auto" w:fill="E5E5E5"/>
          </w:tcPr>
          <w:p>
            <w:pPr>
              <w:spacing w:after="0"/>
              <w:rPr>
                <w:sz w:val="2"/>
                <w:szCs w:val="2"/>
                <w:color w:val="auto"/>
              </w:rPr>
            </w:pPr>
          </w:p>
        </w:tc>
        <w:tc>
          <w:tcPr>
            <w:tcW w:w="300" w:type="dxa"/>
            <w:vAlign w:val="bottom"/>
            <w:vMerge w:val="continue"/>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shd w:val="clear" w:color="auto" w:fill="262626"/>
          </w:tcPr>
          <w:p>
            <w:pPr>
              <w:spacing w:after="0"/>
              <w:rPr>
                <w:sz w:val="19"/>
                <w:szCs w:val="19"/>
                <w:color w:val="auto"/>
              </w:rPr>
            </w:pPr>
          </w:p>
        </w:tc>
        <w:tc>
          <w:tcPr>
            <w:tcW w:w="80" w:type="dxa"/>
            <w:vAlign w:val="bottom"/>
            <w:shd w:val="clear" w:color="auto" w:fill="262626"/>
          </w:tcPr>
          <w:p>
            <w:pPr>
              <w:spacing w:after="0"/>
              <w:rPr>
                <w:sz w:val="19"/>
                <w:szCs w:val="19"/>
                <w:color w:val="auto"/>
              </w:rPr>
            </w:pPr>
          </w:p>
        </w:tc>
        <w:tc>
          <w:tcPr>
            <w:tcW w:w="480" w:type="dxa"/>
            <w:vAlign w:val="bottom"/>
            <w:shd w:val="clear" w:color="auto" w:fill="262626"/>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its fiscal year ending January 31, 2027.</w:t>
            </w:r>
          </w:p>
        </w:tc>
        <w:tc>
          <w:tcPr>
            <w:tcW w:w="158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00" w:type="dxa"/>
            <w:vAlign w:val="bottom"/>
            <w:vMerge w:val="restart"/>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262626"/>
          </w:tcPr>
          <w:p>
            <w:pPr>
              <w:spacing w:after="0"/>
              <w:rPr>
                <w:sz w:val="23"/>
                <w:szCs w:val="23"/>
                <w:color w:val="auto"/>
              </w:rPr>
            </w:pPr>
          </w:p>
        </w:tc>
        <w:tc>
          <w:tcPr>
            <w:tcW w:w="480" w:type="dxa"/>
            <w:vAlign w:val="bottom"/>
            <w:vMerge w:val="restart"/>
            <w:shd w:val="clear" w:color="auto" w:fill="262626"/>
          </w:tcPr>
          <w:p>
            <w:pPr>
              <w:ind w:left="60"/>
              <w:spacing w:after="0"/>
              <w:rPr>
                <w:sz w:val="20"/>
                <w:szCs w:val="20"/>
                <w:color w:val="auto"/>
              </w:rPr>
            </w:pPr>
            <w:r>
              <w:rPr>
                <w:rFonts w:ascii="Arial" w:cs="Arial" w:eastAsia="Arial" w:hAnsi="Arial"/>
                <w:sz w:val="35"/>
                <w:szCs w:val="35"/>
                <w:b w:val="1"/>
                <w:bCs w:val="1"/>
                <w:color w:val="FFFFFF"/>
              </w:rPr>
              <w:t>3.</w:t>
            </w:r>
            <w:r>
              <w:rPr>
                <w:rFonts w:ascii="Arial" w:cs="Arial" w:eastAsia="Arial" w:hAnsi="Arial"/>
                <w:sz w:val="17"/>
                <w:szCs w:val="17"/>
                <w:color w:val="000000"/>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Approve an amendment and restatement of our amended and</w:t>
            </w:r>
          </w:p>
        </w:tc>
        <w:tc>
          <w:tcPr>
            <w:tcW w:w="1580" w:type="dxa"/>
            <w:vAlign w:val="bottom"/>
            <w:vMerge w:val="restart"/>
            <w:shd w:val="clear" w:color="auto" w:fill="E5E5E5"/>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D6515D"/>
              </w:rPr>
              <w:t>“FOR”</w:t>
            </w:r>
          </w:p>
        </w:tc>
        <w:tc>
          <w:tcPr>
            <w:tcW w:w="740" w:type="dxa"/>
            <w:vAlign w:val="bottom"/>
            <w:vMerge w:val="restart"/>
            <w:shd w:val="clear" w:color="auto" w:fill="E5E5E5"/>
          </w:tcPr>
          <w:p>
            <w:pPr>
              <w:ind w:left="140"/>
              <w:spacing w:after="0"/>
              <w:rPr>
                <w:sz w:val="20"/>
                <w:szCs w:val="20"/>
                <w:color w:val="auto"/>
              </w:rPr>
            </w:pPr>
            <w:r>
              <w:rPr>
                <w:rFonts w:ascii="Arial" w:cs="Arial" w:eastAsia="Arial" w:hAnsi="Arial"/>
                <w:sz w:val="17"/>
                <w:szCs w:val="17"/>
                <w:color w:val="auto"/>
              </w:rPr>
              <w:t>​​ Page</w:t>
            </w:r>
          </w:p>
        </w:tc>
        <w:tc>
          <w:tcPr>
            <w:tcW w:w="180" w:type="dxa"/>
            <w:vAlign w:val="bottom"/>
            <w:gridSpan w:val="3"/>
            <w:vMerge w:val="restart"/>
            <w:shd w:val="clear" w:color="auto" w:fill="E5E5E5"/>
          </w:tcPr>
          <w:p>
            <w:pPr>
              <w:spacing w:after="0"/>
              <w:rPr>
                <w:sz w:val="20"/>
                <w:szCs w:val="20"/>
                <w:color w:val="auto"/>
              </w:rPr>
            </w:pPr>
            <w:r>
              <w:rPr>
                <w:rFonts w:ascii="Arial" w:cs="Arial" w:eastAsia="Arial" w:hAnsi="Arial"/>
                <w:sz w:val="17"/>
                <w:szCs w:val="17"/>
                <w:b w:val="1"/>
                <w:bCs w:val="1"/>
                <w:color w:val="0000EE"/>
                <w:w w:val="84"/>
              </w:rPr>
              <w:t>26</w:t>
            </w:r>
          </w:p>
        </w:tc>
        <w:tc>
          <w:tcPr>
            <w:tcW w:w="640" w:type="dxa"/>
            <w:vAlign w:val="bottom"/>
            <w:shd w:val="clear" w:color="auto" w:fill="E5E5E5"/>
          </w:tcPr>
          <w:p>
            <w:pPr>
              <w:spacing w:after="0"/>
              <w:rPr>
                <w:sz w:val="23"/>
                <w:szCs w:val="23"/>
                <w:color w:val="auto"/>
              </w:rPr>
            </w:pPr>
          </w:p>
        </w:tc>
        <w:tc>
          <w:tcPr>
            <w:tcW w:w="300" w:type="dxa"/>
            <w:vAlign w:val="bottom"/>
            <w:vMerge w:val="restart"/>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262626"/>
            </w:tcBorders>
            <w:vMerge w:val="continue"/>
            <w:shd w:val="clear" w:color="auto" w:fill="262626"/>
          </w:tcPr>
          <w:p>
            <w:pPr>
              <w:spacing w:after="0"/>
              <w:rPr>
                <w:sz w:val="13"/>
                <w:szCs w:val="13"/>
                <w:color w:val="auto"/>
              </w:rPr>
            </w:pPr>
          </w:p>
        </w:tc>
        <w:tc>
          <w:tcPr>
            <w:tcW w:w="80" w:type="dxa"/>
            <w:vAlign w:val="bottom"/>
            <w:tcBorders>
              <w:bottom w:val="single" w:sz="8" w:color="262626"/>
            </w:tcBorders>
            <w:shd w:val="clear" w:color="auto" w:fill="262626"/>
          </w:tcPr>
          <w:p>
            <w:pPr>
              <w:spacing w:after="0"/>
              <w:rPr>
                <w:sz w:val="13"/>
                <w:szCs w:val="13"/>
                <w:color w:val="auto"/>
              </w:rPr>
            </w:pPr>
          </w:p>
        </w:tc>
        <w:tc>
          <w:tcPr>
            <w:tcW w:w="480" w:type="dxa"/>
            <w:vAlign w:val="bottom"/>
            <w:tcBorders>
              <w:bottom w:val="single" w:sz="8" w:color="262626"/>
            </w:tcBorders>
            <w:vMerge w:val="continue"/>
            <w:shd w:val="clear" w:color="auto" w:fill="262626"/>
          </w:tcPr>
          <w:p>
            <w:pPr>
              <w:spacing w:after="0"/>
              <w:rPr>
                <w:sz w:val="13"/>
                <w:szCs w:val="13"/>
                <w:color w:val="auto"/>
              </w:rPr>
            </w:pPr>
          </w:p>
        </w:tc>
        <w:tc>
          <w:tcPr>
            <w:tcW w:w="120" w:type="dxa"/>
            <w:vAlign w:val="bottom"/>
            <w:vMerge w:val="continue"/>
          </w:tcPr>
          <w:p>
            <w:pPr>
              <w:spacing w:after="0"/>
              <w:rPr>
                <w:sz w:val="13"/>
                <w:szCs w:val="13"/>
                <w:color w:val="auto"/>
              </w:rPr>
            </w:pPr>
          </w:p>
        </w:tc>
        <w:tc>
          <w:tcPr>
            <w:tcW w:w="4900" w:type="dxa"/>
            <w:vAlign w:val="bottom"/>
            <w:tcBorders>
              <w:bottom w:val="single" w:sz="8" w:color="E5E5E5"/>
            </w:tcBorders>
            <w:vMerge w:val="restart"/>
            <w:shd w:val="clear" w:color="auto" w:fill="E5E5E5"/>
          </w:tcPr>
          <w:p>
            <w:pPr>
              <w:spacing w:after="0"/>
              <w:rPr>
                <w:sz w:val="20"/>
                <w:szCs w:val="20"/>
                <w:color w:val="auto"/>
              </w:rPr>
            </w:pPr>
            <w:r>
              <w:rPr>
                <w:rFonts w:ascii="Arial" w:cs="Arial" w:eastAsia="Arial" w:hAnsi="Arial"/>
                <w:sz w:val="17"/>
                <w:szCs w:val="17"/>
                <w:color w:val="auto"/>
              </w:rPr>
              <w:t>restated certificate of incorporation to limit officer liability as</w:t>
            </w:r>
          </w:p>
        </w:tc>
        <w:tc>
          <w:tcPr>
            <w:tcW w:w="1580" w:type="dxa"/>
            <w:vAlign w:val="bottom"/>
            <w:tcBorders>
              <w:bottom w:val="single" w:sz="8" w:color="E5E5E5"/>
            </w:tcBorders>
            <w:vMerge w:val="continue"/>
            <w:shd w:val="clear" w:color="auto" w:fill="E5E5E5"/>
          </w:tcPr>
          <w:p>
            <w:pPr>
              <w:spacing w:after="0"/>
              <w:rPr>
                <w:sz w:val="13"/>
                <w:szCs w:val="13"/>
                <w:color w:val="auto"/>
              </w:rPr>
            </w:pPr>
          </w:p>
        </w:tc>
        <w:tc>
          <w:tcPr>
            <w:tcW w:w="740" w:type="dxa"/>
            <w:vAlign w:val="bottom"/>
            <w:tcBorders>
              <w:bottom w:val="single" w:sz="8" w:color="E5E5E5"/>
            </w:tcBorders>
            <w:vMerge w:val="continue"/>
            <w:shd w:val="clear" w:color="auto" w:fill="E5E5E5"/>
          </w:tcPr>
          <w:p>
            <w:pPr>
              <w:spacing w:after="0"/>
              <w:rPr>
                <w:sz w:val="13"/>
                <w:szCs w:val="13"/>
                <w:color w:val="auto"/>
              </w:rPr>
            </w:pPr>
          </w:p>
        </w:tc>
        <w:tc>
          <w:tcPr>
            <w:tcW w:w="180" w:type="dxa"/>
            <w:vAlign w:val="bottom"/>
            <w:tcBorders>
              <w:bottom w:val="single" w:sz="8" w:color="0000EE"/>
            </w:tcBorders>
            <w:gridSpan w:val="3"/>
            <w:vMerge w:val="continue"/>
            <w:shd w:val="clear" w:color="auto" w:fill="E5E5E5"/>
          </w:tcPr>
          <w:p>
            <w:pPr>
              <w:spacing w:after="0"/>
              <w:rPr>
                <w:sz w:val="13"/>
                <w:szCs w:val="13"/>
                <w:color w:val="auto"/>
              </w:rPr>
            </w:pPr>
          </w:p>
        </w:tc>
        <w:tc>
          <w:tcPr>
            <w:tcW w:w="640" w:type="dxa"/>
            <w:vAlign w:val="bottom"/>
            <w:tcBorders>
              <w:bottom w:val="single" w:sz="8" w:color="E5E5E5"/>
            </w:tcBorders>
            <w:vMerge w:val="restart"/>
            <w:shd w:val="clear" w:color="auto" w:fill="E5E5E5"/>
          </w:tcPr>
          <w:p>
            <w:pPr>
              <w:spacing w:after="0"/>
              <w:rPr>
                <w:sz w:val="13"/>
                <w:szCs w:val="13"/>
                <w:color w:val="auto"/>
              </w:rPr>
            </w:pPr>
          </w:p>
        </w:tc>
        <w:tc>
          <w:tcPr>
            <w:tcW w:w="300" w:type="dxa"/>
            <w:vAlign w:val="bottom"/>
            <w:tcBorders>
              <w:bottom w:val="single" w:sz="8" w:color="E5E5E5"/>
            </w:tcBorders>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00" w:type="dxa"/>
            <w:vAlign w:val="bottom"/>
            <w:vMerge w:val="continue"/>
            <w:shd w:val="clear" w:color="auto" w:fill="262626"/>
          </w:tcPr>
          <w:p>
            <w:pPr>
              <w:spacing w:after="0"/>
              <w:rPr>
                <w:sz w:val="3"/>
                <w:szCs w:val="3"/>
                <w:color w:val="auto"/>
              </w:rPr>
            </w:pPr>
          </w:p>
        </w:tc>
        <w:tc>
          <w:tcPr>
            <w:tcW w:w="80" w:type="dxa"/>
            <w:vAlign w:val="bottom"/>
            <w:shd w:val="clear" w:color="auto" w:fill="262626"/>
          </w:tcPr>
          <w:p>
            <w:pPr>
              <w:spacing w:after="0"/>
              <w:rPr>
                <w:sz w:val="3"/>
                <w:szCs w:val="3"/>
                <w:color w:val="auto"/>
              </w:rPr>
            </w:pPr>
          </w:p>
        </w:tc>
        <w:tc>
          <w:tcPr>
            <w:tcW w:w="480" w:type="dxa"/>
            <w:vAlign w:val="bottom"/>
            <w:vMerge w:val="continue"/>
            <w:shd w:val="clear" w:color="auto" w:fill="262626"/>
          </w:tcPr>
          <w:p>
            <w:pPr>
              <w:spacing w:after="0"/>
              <w:rPr>
                <w:sz w:val="3"/>
                <w:szCs w:val="3"/>
                <w:color w:val="auto"/>
              </w:rPr>
            </w:pPr>
          </w:p>
        </w:tc>
        <w:tc>
          <w:tcPr>
            <w:tcW w:w="120" w:type="dxa"/>
            <w:vAlign w:val="bottom"/>
            <w:vMerge w:val="continue"/>
          </w:tcPr>
          <w:p>
            <w:pPr>
              <w:spacing w:after="0"/>
              <w:rPr>
                <w:sz w:val="3"/>
                <w:szCs w:val="3"/>
                <w:color w:val="auto"/>
              </w:rPr>
            </w:pPr>
          </w:p>
        </w:tc>
        <w:tc>
          <w:tcPr>
            <w:tcW w:w="4900" w:type="dxa"/>
            <w:vAlign w:val="bottom"/>
            <w:vMerge w:val="continue"/>
            <w:shd w:val="clear" w:color="auto" w:fill="E5E5E5"/>
          </w:tcPr>
          <w:p>
            <w:pPr>
              <w:spacing w:after="0"/>
              <w:rPr>
                <w:sz w:val="3"/>
                <w:szCs w:val="3"/>
                <w:color w:val="auto"/>
              </w:rPr>
            </w:pPr>
          </w:p>
        </w:tc>
        <w:tc>
          <w:tcPr>
            <w:tcW w:w="1580" w:type="dxa"/>
            <w:vAlign w:val="bottom"/>
            <w:vMerge w:val="continue"/>
            <w:shd w:val="clear" w:color="auto" w:fill="E5E5E5"/>
          </w:tcPr>
          <w:p>
            <w:pPr>
              <w:spacing w:after="0"/>
              <w:rPr>
                <w:sz w:val="3"/>
                <w:szCs w:val="3"/>
                <w:color w:val="auto"/>
              </w:rPr>
            </w:pPr>
          </w:p>
        </w:tc>
        <w:tc>
          <w:tcPr>
            <w:tcW w:w="740" w:type="dxa"/>
            <w:vAlign w:val="bottom"/>
            <w:vMerge w:val="continue"/>
            <w:shd w:val="clear" w:color="auto" w:fill="E5E5E5"/>
          </w:tcPr>
          <w:p>
            <w:pPr>
              <w:spacing w:after="0"/>
              <w:rPr>
                <w:sz w:val="3"/>
                <w:szCs w:val="3"/>
                <w:color w:val="auto"/>
              </w:rPr>
            </w:pPr>
          </w:p>
        </w:tc>
        <w:tc>
          <w:tcPr>
            <w:tcW w:w="180" w:type="dxa"/>
            <w:vAlign w:val="bottom"/>
            <w:gridSpan w:val="3"/>
            <w:shd w:val="clear" w:color="auto" w:fill="E5E5E5"/>
          </w:tcPr>
          <w:p>
            <w:pPr>
              <w:spacing w:after="0"/>
              <w:rPr>
                <w:sz w:val="3"/>
                <w:szCs w:val="3"/>
                <w:color w:val="auto"/>
              </w:rPr>
            </w:pPr>
          </w:p>
        </w:tc>
        <w:tc>
          <w:tcPr>
            <w:tcW w:w="640" w:type="dxa"/>
            <w:vAlign w:val="bottom"/>
            <w:vMerge w:val="continue"/>
            <w:shd w:val="clear" w:color="auto" w:fill="E5E5E5"/>
          </w:tcPr>
          <w:p>
            <w:pPr>
              <w:spacing w:after="0"/>
              <w:rPr>
                <w:sz w:val="3"/>
                <w:szCs w:val="3"/>
                <w:color w:val="auto"/>
              </w:rPr>
            </w:pPr>
          </w:p>
        </w:tc>
        <w:tc>
          <w:tcPr>
            <w:tcW w:w="300" w:type="dxa"/>
            <w:vAlign w:val="bottom"/>
            <w:vMerge w:val="continue"/>
            <w:shd w:val="clear" w:color="auto" w:fill="E5E5E5"/>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262626"/>
          </w:tcPr>
          <w:p>
            <w:pPr>
              <w:spacing w:after="0"/>
              <w:rPr>
                <w:sz w:val="19"/>
                <w:szCs w:val="19"/>
                <w:color w:val="auto"/>
              </w:rPr>
            </w:pPr>
          </w:p>
        </w:tc>
        <w:tc>
          <w:tcPr>
            <w:tcW w:w="80" w:type="dxa"/>
            <w:vAlign w:val="bottom"/>
            <w:shd w:val="clear" w:color="auto" w:fill="262626"/>
          </w:tcPr>
          <w:p>
            <w:pPr>
              <w:spacing w:after="0"/>
              <w:rPr>
                <w:sz w:val="19"/>
                <w:szCs w:val="19"/>
                <w:color w:val="auto"/>
              </w:rPr>
            </w:pPr>
          </w:p>
        </w:tc>
        <w:tc>
          <w:tcPr>
            <w:tcW w:w="480" w:type="dxa"/>
            <w:vAlign w:val="bottom"/>
            <w:shd w:val="clear" w:color="auto" w:fill="262626"/>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permitted by Delaware law.</w:t>
            </w:r>
          </w:p>
        </w:tc>
        <w:tc>
          <w:tcPr>
            <w:tcW w:w="158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 w:type="dxa"/>
            <w:vAlign w:val="bottom"/>
            <w:shd w:val="clear" w:color="auto" w:fill="262626"/>
          </w:tcPr>
          <w:p>
            <w:pPr>
              <w:spacing w:after="0"/>
              <w:rPr>
                <w:sz w:val="22"/>
                <w:szCs w:val="22"/>
                <w:color w:val="auto"/>
              </w:rPr>
            </w:pPr>
          </w:p>
        </w:tc>
        <w:tc>
          <w:tcPr>
            <w:tcW w:w="80" w:type="dxa"/>
            <w:vAlign w:val="bottom"/>
            <w:shd w:val="clear" w:color="auto" w:fill="262626"/>
          </w:tcPr>
          <w:p>
            <w:pPr>
              <w:spacing w:after="0"/>
              <w:rPr>
                <w:sz w:val="22"/>
                <w:szCs w:val="22"/>
                <w:color w:val="auto"/>
              </w:rPr>
            </w:pPr>
          </w:p>
        </w:tc>
        <w:tc>
          <w:tcPr>
            <w:tcW w:w="480" w:type="dxa"/>
            <w:vAlign w:val="bottom"/>
            <w:vMerge w:val="restart"/>
            <w:shd w:val="clear" w:color="auto" w:fill="262626"/>
          </w:tcPr>
          <w:p>
            <w:pPr>
              <w:ind w:left="60"/>
              <w:spacing w:after="0"/>
              <w:rPr>
                <w:sz w:val="20"/>
                <w:szCs w:val="20"/>
                <w:color w:val="auto"/>
              </w:rPr>
            </w:pPr>
            <w:r>
              <w:rPr>
                <w:rFonts w:ascii="Arial" w:cs="Arial" w:eastAsia="Arial" w:hAnsi="Arial"/>
                <w:sz w:val="35"/>
                <w:szCs w:val="35"/>
                <w:b w:val="1"/>
                <w:bCs w:val="1"/>
                <w:color w:val="FFFFFF"/>
              </w:rPr>
              <w:t>4.</w:t>
            </w:r>
            <w:r>
              <w:rPr>
                <w:rFonts w:ascii="Arial" w:cs="Arial" w:eastAsia="Arial" w:hAnsi="Arial"/>
                <w:sz w:val="17"/>
                <w:szCs w:val="17"/>
                <w:color w:val="000000"/>
              </w:rPr>
              <w:t>​</w:t>
            </w:r>
          </w:p>
        </w:tc>
        <w:tc>
          <w:tcPr>
            <w:tcW w:w="120" w:type="dxa"/>
            <w:vAlign w:val="bottom"/>
          </w:tcPr>
          <w:p>
            <w:pPr>
              <w:spacing w:after="0"/>
              <w:rPr>
                <w:sz w:val="22"/>
                <w:szCs w:val="22"/>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Ratify, on an advisory basis, supermajority voting provisions in</w:t>
            </w:r>
          </w:p>
        </w:tc>
        <w:tc>
          <w:tcPr>
            <w:tcW w:w="1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0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262626"/>
            </w:tcBorders>
            <w:shd w:val="clear" w:color="auto" w:fill="262626"/>
          </w:tcPr>
          <w:p>
            <w:pPr>
              <w:spacing w:after="0"/>
              <w:rPr>
                <w:sz w:val="18"/>
                <w:szCs w:val="18"/>
                <w:color w:val="auto"/>
              </w:rPr>
            </w:pPr>
          </w:p>
        </w:tc>
        <w:tc>
          <w:tcPr>
            <w:tcW w:w="480" w:type="dxa"/>
            <w:vAlign w:val="bottom"/>
            <w:tcBorders>
              <w:bottom w:val="single" w:sz="8" w:color="262626"/>
            </w:tcBorders>
            <w:vMerge w:val="continue"/>
            <w:shd w:val="clear" w:color="auto" w:fill="262626"/>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9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7"/>
                <w:szCs w:val="17"/>
                <w:color w:val="auto"/>
              </w:rPr>
              <w:t>our amended and restated certificate of incorporation and</w:t>
            </w:r>
          </w:p>
        </w:tc>
        <w:tc>
          <w:tcPr>
            <w:tcW w:w="1580" w:type="dxa"/>
            <w:vAlign w:val="bottom"/>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D6515D"/>
              </w:rPr>
              <w:t>“FOR”</w:t>
            </w:r>
          </w:p>
        </w:tc>
        <w:tc>
          <w:tcPr>
            <w:tcW w:w="740" w:type="dxa"/>
            <w:vAlign w:val="bottom"/>
          </w:tcPr>
          <w:p>
            <w:pPr>
              <w:ind w:left="140"/>
              <w:spacing w:after="0"/>
              <w:rPr>
                <w:sz w:val="20"/>
                <w:szCs w:val="20"/>
                <w:color w:val="auto"/>
              </w:rPr>
            </w:pPr>
            <w:r>
              <w:rPr>
                <w:rFonts w:ascii="Arial" w:cs="Arial" w:eastAsia="Arial" w:hAnsi="Arial"/>
                <w:sz w:val="17"/>
                <w:szCs w:val="17"/>
                <w:color w:val="auto"/>
              </w:rPr>
              <w:t>​​ Page</w:t>
            </w:r>
          </w:p>
        </w:tc>
        <w:tc>
          <w:tcPr>
            <w:tcW w:w="180" w:type="dxa"/>
            <w:vAlign w:val="bottom"/>
            <w:tcBorders>
              <w:bottom w:val="single" w:sz="8" w:color="0000EE"/>
            </w:tcBorders>
            <w:gridSpan w:val="3"/>
          </w:tcPr>
          <w:p>
            <w:pPr>
              <w:spacing w:after="0" w:line="193" w:lineRule="exact"/>
              <w:rPr>
                <w:sz w:val="20"/>
                <w:szCs w:val="20"/>
                <w:color w:val="auto"/>
              </w:rPr>
            </w:pPr>
            <w:r>
              <w:rPr>
                <w:rFonts w:ascii="Arial" w:cs="Arial" w:eastAsia="Arial" w:hAnsi="Arial"/>
                <w:sz w:val="17"/>
                <w:szCs w:val="17"/>
                <w:b w:val="1"/>
                <w:bCs w:val="1"/>
                <w:color w:val="0000EE"/>
                <w:w w:val="84"/>
              </w:rPr>
              <w:t>28</w:t>
            </w:r>
          </w:p>
        </w:tc>
        <w:tc>
          <w:tcPr>
            <w:tcW w:w="64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00" w:type="dxa"/>
            <w:vAlign w:val="bottom"/>
            <w:shd w:val="clear" w:color="auto" w:fill="262626"/>
          </w:tcPr>
          <w:p>
            <w:pPr>
              <w:spacing w:after="0"/>
              <w:rPr>
                <w:sz w:val="19"/>
                <w:szCs w:val="19"/>
                <w:color w:val="auto"/>
              </w:rPr>
            </w:pPr>
          </w:p>
        </w:tc>
        <w:tc>
          <w:tcPr>
            <w:tcW w:w="80" w:type="dxa"/>
            <w:vAlign w:val="bottom"/>
            <w:shd w:val="clear" w:color="auto" w:fill="262626"/>
          </w:tcPr>
          <w:p>
            <w:pPr>
              <w:spacing w:after="0"/>
              <w:rPr>
                <w:sz w:val="19"/>
                <w:szCs w:val="19"/>
                <w:color w:val="auto"/>
              </w:rPr>
            </w:pPr>
          </w:p>
        </w:tc>
        <w:tc>
          <w:tcPr>
            <w:tcW w:w="480" w:type="dxa"/>
            <w:vAlign w:val="bottom"/>
            <w:shd w:val="clear" w:color="auto" w:fill="262626"/>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Arial" w:cs="Arial" w:eastAsia="Arial" w:hAnsi="Arial"/>
                <w:sz w:val="17"/>
                <w:szCs w:val="17"/>
                <w:color w:val="auto"/>
              </w:rPr>
              <w:t>amended and restated bylaws.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100" w:type="dxa"/>
            <w:vAlign w:val="bottom"/>
            <w:shd w:val="clear" w:color="auto" w:fill="262626"/>
          </w:tcPr>
          <w:p>
            <w:pPr>
              <w:spacing w:after="0"/>
              <w:rPr>
                <w:sz w:val="7"/>
                <w:szCs w:val="7"/>
                <w:color w:val="auto"/>
              </w:rPr>
            </w:pPr>
          </w:p>
        </w:tc>
        <w:tc>
          <w:tcPr>
            <w:tcW w:w="80" w:type="dxa"/>
            <w:vAlign w:val="bottom"/>
            <w:shd w:val="clear" w:color="auto" w:fill="262626"/>
          </w:tcPr>
          <w:p>
            <w:pPr>
              <w:spacing w:after="0"/>
              <w:rPr>
                <w:sz w:val="7"/>
                <w:szCs w:val="7"/>
                <w:color w:val="auto"/>
              </w:rPr>
            </w:pPr>
          </w:p>
        </w:tc>
        <w:tc>
          <w:tcPr>
            <w:tcW w:w="480" w:type="dxa"/>
            <w:vAlign w:val="bottom"/>
            <w:shd w:val="clear" w:color="auto" w:fill="262626"/>
          </w:tcPr>
          <w:p>
            <w:pPr>
              <w:spacing w:after="0"/>
              <w:rPr>
                <w:sz w:val="7"/>
                <w:szCs w:val="7"/>
                <w:color w:val="auto"/>
              </w:rPr>
            </w:pPr>
          </w:p>
        </w:tc>
        <w:tc>
          <w:tcPr>
            <w:tcW w:w="120" w:type="dxa"/>
            <w:vAlign w:val="bottom"/>
          </w:tcPr>
          <w:p>
            <w:pPr>
              <w:spacing w:after="0"/>
              <w:rPr>
                <w:sz w:val="7"/>
                <w:szCs w:val="7"/>
                <w:color w:val="auto"/>
              </w:rPr>
            </w:pPr>
          </w:p>
        </w:tc>
        <w:tc>
          <w:tcPr>
            <w:tcW w:w="4900" w:type="dxa"/>
            <w:vAlign w:val="bottom"/>
            <w:shd w:val="clear" w:color="auto" w:fill="E5E5E5"/>
          </w:tcPr>
          <w:p>
            <w:pPr>
              <w:spacing w:after="0"/>
              <w:rPr>
                <w:sz w:val="7"/>
                <w:szCs w:val="7"/>
                <w:color w:val="auto"/>
              </w:rPr>
            </w:pPr>
          </w:p>
        </w:tc>
        <w:tc>
          <w:tcPr>
            <w:tcW w:w="1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-1849755</wp:posOffset>
            </wp:positionV>
            <wp:extent cx="5784215" cy="1850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215" cy="1850390"/>
                    </a:xfrm>
                    <a:prstGeom prst="rect">
                      <a:avLst/>
                    </a:prstGeom>
                    <a:noFill/>
                  </pic:spPr>
                </pic:pic>
              </a:graphicData>
            </a:graphic>
          </wp:anchor>
        </w:drawing>
      </w:r>
    </w:p>
    <w:p>
      <w:pPr>
        <w:spacing w:after="0" w:line="42" w:lineRule="exact"/>
        <w:rPr>
          <w:sz w:val="20"/>
          <w:szCs w:val="20"/>
          <w:color w:val="auto"/>
        </w:rPr>
      </w:pPr>
    </w:p>
    <w:p>
      <w:pPr>
        <w:jc w:val="both"/>
        <w:ind w:left="620" w:right="820"/>
        <w:spacing w:after="0" w:line="277" w:lineRule="auto"/>
        <w:rPr>
          <w:sz w:val="20"/>
          <w:szCs w:val="20"/>
          <w:color w:val="auto"/>
        </w:rPr>
      </w:pPr>
      <w:r>
        <w:rPr>
          <w:rFonts w:ascii="Arial" w:cs="Arial" w:eastAsia="Arial" w:hAnsi="Arial"/>
          <w:sz w:val="17"/>
          <w:szCs w:val="17"/>
          <w:color w:val="auto"/>
        </w:rPr>
        <w:t>You may also be asked to transact any other business that is properly brought before the meeting. The record date for the Annual Meeting is April 24, 2026. Only stockholders of record at the close of business on that date may vote at the meeting or any adjournment thereof.</w:t>
      </w:r>
    </w:p>
    <w:p>
      <w:pPr>
        <w:spacing w:after="0" w:line="197" w:lineRule="exact"/>
        <w:rPr>
          <w:sz w:val="20"/>
          <w:szCs w:val="20"/>
          <w:color w:val="auto"/>
        </w:rPr>
      </w:pPr>
    </w:p>
    <w:p>
      <w:pPr>
        <w:ind w:left="620" w:right="780"/>
        <w:spacing w:after="0" w:line="270" w:lineRule="auto"/>
        <w:rPr>
          <w:sz w:val="20"/>
          <w:szCs w:val="20"/>
          <w:color w:val="auto"/>
        </w:rPr>
      </w:pPr>
      <w:r>
        <w:rPr>
          <w:rFonts w:ascii="Arial" w:cs="Arial" w:eastAsia="Arial" w:hAnsi="Arial"/>
          <w:sz w:val="17"/>
          <w:szCs w:val="17"/>
          <w:b w:val="1"/>
          <w:bCs w:val="1"/>
          <w:color w:val="auto"/>
        </w:rPr>
        <w:t>Whether or not you expect to attend the Annual Meeting, please vote as promptly as possible to ensure your representation at the meeting. You may vote your shares by telephone or over the Internet as instructed in these materials. If you received a proxy card or voting instruction card by mail, you may submit your proxy card or voting instruction card by completing, signing, dating and mailing your proxy card or voting instruction card in the envelope provided.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20" w:type="dxa"/>
            <w:vAlign w:val="bottom"/>
          </w:tcPr>
          <w:p>
            <w:pPr>
              <w:ind w:left="620"/>
              <w:spacing w:after="0"/>
              <w:rPr>
                <w:sz w:val="20"/>
                <w:szCs w:val="20"/>
                <w:color w:val="auto"/>
              </w:rPr>
            </w:pPr>
            <w:r>
              <w:rPr>
                <w:rFonts w:ascii="Arial" w:cs="Arial" w:eastAsia="Arial" w:hAnsi="Arial"/>
                <w:sz w:val="17"/>
                <w:szCs w:val="17"/>
                <w:color w:val="auto"/>
              </w:rPr>
              <w:t>​</w:t>
            </w:r>
          </w:p>
        </w:tc>
        <w:tc>
          <w:tcPr>
            <w:tcW w:w="5940" w:type="dxa"/>
            <w:vAlign w:val="bottom"/>
          </w:tcPr>
          <w:p>
            <w:pPr>
              <w:ind w:left="1740"/>
              <w:spacing w:after="0"/>
              <w:rPr>
                <w:sz w:val="20"/>
                <w:szCs w:val="20"/>
                <w:color w:val="auto"/>
              </w:rPr>
            </w:pPr>
            <w:r>
              <w:rPr>
                <w:rFonts w:ascii="Arial" w:cs="Arial" w:eastAsia="Arial" w:hAnsi="Arial"/>
                <w:sz w:val="17"/>
                <w:szCs w:val="17"/>
                <w:color w:val="auto"/>
              </w:rPr>
              <w:t>​ ​ By Order of the Board of Directors</w:t>
            </w:r>
          </w:p>
        </w:tc>
        <w:tc>
          <w:tcPr>
            <w:tcW w:w="1120" w:type="dxa"/>
            <w:vAlign w:val="bottom"/>
          </w:tcPr>
          <w:p>
            <w:pPr>
              <w:ind w:left="460"/>
              <w:spacing w:after="0"/>
              <w:rPr>
                <w:sz w:val="20"/>
                <w:szCs w:val="20"/>
                <w:color w:val="auto"/>
              </w:rPr>
            </w:pPr>
            <w:r>
              <w:rPr>
                <w:rFonts w:ascii="Arial" w:cs="Arial" w:eastAsia="Arial" w:hAnsi="Arial"/>
                <w:sz w:val="17"/>
                <w:szCs w:val="17"/>
                <w:color w:val="auto"/>
              </w:rPr>
              <w:t>​</w:t>
            </w:r>
          </w:p>
        </w:tc>
      </w:tr>
      <w:tr>
        <w:trPr>
          <w:trHeight w:val="230"/>
        </w:trPr>
        <w:tc>
          <w:tcPr>
            <w:tcW w:w="3320" w:type="dxa"/>
            <w:vAlign w:val="bottom"/>
          </w:tcPr>
          <w:p>
            <w:pPr>
              <w:ind w:left="620"/>
              <w:spacing w:after="0"/>
              <w:rPr>
                <w:sz w:val="20"/>
                <w:szCs w:val="20"/>
                <w:color w:val="auto"/>
              </w:rPr>
            </w:pPr>
            <w:r>
              <w:rPr>
                <w:rFonts w:ascii="Arial" w:cs="Arial" w:eastAsia="Arial" w:hAnsi="Arial"/>
                <w:sz w:val="17"/>
                <w:szCs w:val="17"/>
                <w:color w:val="auto"/>
              </w:rPr>
              <w:t>​</w:t>
            </w:r>
          </w:p>
        </w:tc>
        <w:tc>
          <w:tcPr>
            <w:tcW w:w="5940" w:type="dxa"/>
            <w:vAlign w:val="bottom"/>
          </w:tcPr>
          <w:p>
            <w:pPr>
              <w:ind w:left="1740"/>
              <w:spacing w:after="0"/>
              <w:rPr>
                <w:sz w:val="20"/>
                <w:szCs w:val="20"/>
                <w:color w:val="auto"/>
              </w:rPr>
            </w:pPr>
            <w:r>
              <w:rPr>
                <w:rFonts w:ascii="Arial" w:cs="Arial" w:eastAsia="Arial" w:hAnsi="Arial"/>
                <w:sz w:val="17"/>
                <w:szCs w:val="17"/>
                <w:color w:val="auto"/>
              </w:rPr>
              <w:t>​ ​</w:t>
            </w:r>
          </w:p>
        </w:tc>
        <w:tc>
          <w:tcPr>
            <w:tcW w:w="1120" w:type="dxa"/>
            <w:vAlign w:val="bottom"/>
          </w:tcPr>
          <w:p>
            <w:pPr>
              <w:ind w:left="460"/>
              <w:spacing w:after="0"/>
              <w:rPr>
                <w:sz w:val="20"/>
                <w:szCs w:val="20"/>
                <w:color w:val="auto"/>
              </w:rPr>
            </w:pPr>
            <w:r>
              <w:rPr>
                <w:rFonts w:ascii="Arial" w:cs="Arial" w:eastAsia="Arial" w:hAnsi="Arial"/>
                <w:sz w:val="17"/>
                <w:szCs w:val="17"/>
                <w:color w:val="auto"/>
              </w:rPr>
              <w:t>​</w:t>
            </w:r>
          </w:p>
        </w:tc>
      </w:tr>
      <w:tr>
        <w:trPr>
          <w:trHeight w:val="541"/>
        </w:trPr>
        <w:tc>
          <w:tcPr>
            <w:tcW w:w="3320" w:type="dxa"/>
            <w:vAlign w:val="bottom"/>
          </w:tcPr>
          <w:p>
            <w:pPr>
              <w:spacing w:after="0"/>
              <w:rPr>
                <w:sz w:val="24"/>
                <w:szCs w:val="24"/>
                <w:color w:val="auto"/>
              </w:rPr>
            </w:pPr>
          </w:p>
        </w:tc>
        <w:tc>
          <w:tcPr>
            <w:tcW w:w="5940" w:type="dxa"/>
            <w:vAlign w:val="bottom"/>
          </w:tcPr>
          <w:p>
            <w:pPr>
              <w:ind w:left="1960"/>
              <w:spacing w:after="0"/>
              <w:rPr>
                <w:sz w:val="20"/>
                <w:szCs w:val="20"/>
                <w:color w:val="auto"/>
              </w:rPr>
            </w:pPr>
            <w:r>
              <w:rPr>
                <w:rFonts w:ascii="Arial" w:cs="Arial" w:eastAsia="Arial" w:hAnsi="Arial"/>
                <w:sz w:val="17"/>
                <w:szCs w:val="17"/>
                <w:color w:val="auto"/>
              </w:rPr>
              <w:t>George Kurtz</w:t>
            </w:r>
          </w:p>
        </w:tc>
        <w:tc>
          <w:tcPr>
            <w:tcW w:w="1120" w:type="dxa"/>
            <w:vAlign w:val="bottom"/>
          </w:tcPr>
          <w:p>
            <w:pPr>
              <w:spacing w:after="0"/>
              <w:rPr>
                <w:sz w:val="24"/>
                <w:szCs w:val="24"/>
                <w:color w:val="auto"/>
              </w:rPr>
            </w:pPr>
          </w:p>
        </w:tc>
      </w:tr>
      <w:tr>
        <w:trPr>
          <w:trHeight w:val="230"/>
        </w:trPr>
        <w:tc>
          <w:tcPr>
            <w:tcW w:w="3320" w:type="dxa"/>
            <w:vAlign w:val="bottom"/>
          </w:tcPr>
          <w:p>
            <w:pPr>
              <w:spacing w:after="0"/>
              <w:rPr>
                <w:sz w:val="19"/>
                <w:szCs w:val="19"/>
                <w:color w:val="auto"/>
              </w:rPr>
            </w:pPr>
          </w:p>
        </w:tc>
        <w:tc>
          <w:tcPr>
            <w:tcW w:w="5940" w:type="dxa"/>
            <w:vAlign w:val="bottom"/>
          </w:tcPr>
          <w:p>
            <w:pPr>
              <w:ind w:left="1960"/>
              <w:spacing w:after="0"/>
              <w:rPr>
                <w:sz w:val="20"/>
                <w:szCs w:val="20"/>
                <w:color w:val="auto"/>
              </w:rPr>
            </w:pPr>
            <w:r>
              <w:rPr>
                <w:rFonts w:ascii="Arial" w:cs="Arial" w:eastAsia="Arial" w:hAnsi="Arial"/>
                <w:sz w:val="17"/>
                <w:szCs w:val="17"/>
                <w:color w:val="auto"/>
              </w:rPr>
              <w:t>President, Chief Executive Officer and Director</w:t>
            </w:r>
          </w:p>
        </w:tc>
        <w:tc>
          <w:tcPr>
            <w:tcW w:w="1120" w:type="dxa"/>
            <w:vAlign w:val="bottom"/>
          </w:tcPr>
          <w:p>
            <w:pPr>
              <w:spacing w:after="0"/>
              <w:rPr>
                <w:sz w:val="19"/>
                <w:szCs w:val="19"/>
                <w:color w:val="auto"/>
              </w:rPr>
            </w:pPr>
          </w:p>
        </w:tc>
      </w:tr>
      <w:tr>
        <w:trPr>
          <w:trHeight w:val="301"/>
        </w:trPr>
        <w:tc>
          <w:tcPr>
            <w:tcW w:w="3320" w:type="dxa"/>
            <w:vAlign w:val="bottom"/>
          </w:tcPr>
          <w:p>
            <w:pPr>
              <w:ind w:left="620"/>
              <w:spacing w:after="0"/>
              <w:rPr>
                <w:sz w:val="20"/>
                <w:szCs w:val="20"/>
                <w:color w:val="auto"/>
              </w:rPr>
            </w:pPr>
            <w:r>
              <w:rPr>
                <w:rFonts w:ascii="Arial" w:cs="Arial" w:eastAsia="Arial" w:hAnsi="Arial"/>
                <w:sz w:val="17"/>
                <w:szCs w:val="17"/>
                <w:color w:val="auto"/>
              </w:rPr>
              <w:t>May 5, 2026</w:t>
            </w:r>
          </w:p>
        </w:tc>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2"/>
        </w:trPr>
        <w:tc>
          <w:tcPr>
            <w:tcW w:w="332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6565265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-1003300</wp:posOffset>
            </wp:positionV>
            <wp:extent cx="871220" cy="307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1220" cy="307340"/>
                    </a:xfrm>
                    <a:prstGeom prst="rect">
                      <a:avLst/>
                    </a:prstGeom>
                    <a:noFill/>
                  </pic:spPr>
                </pic:pic>
              </a:graphicData>
            </a:graphic>
          </wp:anchor>
        </w:drawing>
      </w:r>
    </w:p>
    <w:p>
      <w:pPr>
        <w:sectPr>
          <w:pgSz w:w="11900" w:h="16838" w:orient="portrait"/>
          <w:cols w:equalWidth="0" w:num="1">
            <w:col w:w="10380"/>
          </w:cols>
          <w:pgMar w:left="760" w:top="94" w:right="75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74" w:lineRule="exact"/>
        <w:rPr>
          <w:sz w:val="20"/>
          <w:szCs w:val="20"/>
          <w:color w:val="auto"/>
        </w:rPr>
      </w:pPr>
    </w:p>
    <w:p>
      <w:pPr>
        <w:jc w:val="center"/>
        <w:ind w:left="1560"/>
        <w:spacing w:after="0" w:line="283"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Stockholders’ Meeting to Be Held on Wednesday, June 17, 2026 at 8:00 a.m. Pacific Time online at </w:t>
      </w:r>
      <w:r>
        <w:rPr>
          <w:rFonts w:ascii="Arial" w:cs="Arial" w:eastAsia="Arial" w:hAnsi="Arial"/>
          <w:sz w:val="17"/>
          <w:szCs w:val="17"/>
          <w:b w:val="1"/>
          <w:bCs w:val="1"/>
          <w:u w:val="single" w:color="auto"/>
          <w:color w:val="auto"/>
        </w:rPr>
        <w:t>www.virtualshareholdermeeting.com/CRWD2026</w:t>
      </w:r>
      <w:r>
        <w:rPr>
          <w:rFonts w:ascii="Arial" w:cs="Arial" w:eastAsia="Arial" w:hAnsi="Arial"/>
          <w:sz w:val="17"/>
          <w:szCs w:val="17"/>
          <w:b w:val="1"/>
          <w:bCs w:val="1"/>
          <w:color w:val="auto"/>
        </w:rPr>
        <w:t>.</w:t>
      </w:r>
    </w:p>
    <w:p>
      <w:pPr>
        <w:spacing w:after="0" w:line="145"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The Proxy Statement and Annual Report to Stockholders</w:t>
      </w:r>
    </w:p>
    <w:p>
      <w:pPr>
        <w:spacing w:after="0" w:line="3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7216140</wp:posOffset>
            </wp:positionV>
            <wp:extent cx="66141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680"/>
        <w:spacing w:after="0"/>
        <w:rPr>
          <w:sz w:val="20"/>
          <w:szCs w:val="20"/>
          <w:color w:val="auto"/>
        </w:rPr>
      </w:pPr>
      <w:r>
        <w:rPr>
          <w:rFonts w:ascii="Arial" w:cs="Arial" w:eastAsia="Arial" w:hAnsi="Arial"/>
          <w:sz w:val="45"/>
          <w:szCs w:val="45"/>
          <w:color w:val="auto"/>
        </w:rPr>
        <w:t>Summary Information</w:t>
      </w:r>
    </w:p>
    <w:p>
      <w:pPr>
        <w:spacing w:after="0" w:line="116" w:lineRule="exact"/>
        <w:rPr>
          <w:sz w:val="20"/>
          <w:szCs w:val="20"/>
          <w:color w:val="auto"/>
        </w:rPr>
      </w:pPr>
    </w:p>
    <w:p>
      <w:pPr>
        <w:ind w:left="800" w:right="259"/>
        <w:spacing w:after="0" w:line="265" w:lineRule="auto"/>
        <w:rPr>
          <w:sz w:val="20"/>
          <w:szCs w:val="20"/>
          <w:color w:val="auto"/>
        </w:rPr>
      </w:pPr>
      <w:r>
        <w:rPr>
          <w:rFonts w:ascii="Arial" w:cs="Arial" w:eastAsia="Arial" w:hAnsi="Arial"/>
          <w:sz w:val="17"/>
          <w:szCs w:val="17"/>
          <w:color w:val="auto"/>
        </w:rPr>
        <w:t>We are providing you with these proxy materials because the Board of Directors of CrowdStrike Holdings, Inc. (the “Board”) is soliciting your proxy to vote at CrowdStrike’s 2026 Annual Meeting of Stockholders (the “Annual Meeting”), including at any adjournments or postponements thereof, to be held via a live audio webcast on Wednesday, June 17, 2026 at 8:00 a.m. Pacific Time. The Annual Meeting can be accessed by visiting www.virtualshareholdermeeting.com/CRWD2026 where you will be able to listen to the meeting live, submit questions and vote online.</w:t>
      </w:r>
    </w:p>
    <w:p>
      <w:pPr>
        <w:spacing w:after="0" w:line="169" w:lineRule="exact"/>
        <w:rPr>
          <w:sz w:val="20"/>
          <w:szCs w:val="20"/>
          <w:color w:val="auto"/>
        </w:rPr>
      </w:pPr>
    </w:p>
    <w:p>
      <w:pPr>
        <w:jc w:val="both"/>
        <w:ind w:left="800" w:right="259"/>
        <w:spacing w:after="0" w:line="270" w:lineRule="auto"/>
        <w:rPr>
          <w:sz w:val="20"/>
          <w:szCs w:val="20"/>
          <w:color w:val="auto"/>
        </w:rPr>
      </w:pPr>
      <w:r>
        <w:rPr>
          <w:rFonts w:ascii="Arial" w:cs="Arial" w:eastAsia="Arial" w:hAnsi="Arial"/>
          <w:sz w:val="17"/>
          <w:szCs w:val="17"/>
          <w:color w:val="auto"/>
        </w:rPr>
        <w:t>You are invited to attend the Annual Meeting to vote on the proposals described in this Proxy Statement. However, you do not need to attend the Annual Meeting to vote your shares. Instead, you may simply follow the instructions below to submit your proxy. The proxy materials, including this Proxy Statement and our 2026 Annual Report, are first being distributed and made available on or about May 5, 2026.</w:t>
      </w:r>
    </w:p>
    <w:p>
      <w:pPr>
        <w:spacing w:after="0" w:line="166" w:lineRule="exact"/>
        <w:rPr>
          <w:sz w:val="20"/>
          <w:szCs w:val="20"/>
          <w:color w:val="auto"/>
        </w:rPr>
      </w:pPr>
    </w:p>
    <w:p>
      <w:pPr>
        <w:ind w:left="800" w:right="699"/>
        <w:spacing w:after="0" w:line="267" w:lineRule="auto"/>
        <w:rPr>
          <w:sz w:val="20"/>
          <w:szCs w:val="20"/>
          <w:color w:val="auto"/>
        </w:rPr>
      </w:pPr>
      <w:r>
        <w:rPr>
          <w:rFonts w:ascii="Arial" w:cs="Arial" w:eastAsia="Arial" w:hAnsi="Arial"/>
          <w:sz w:val="17"/>
          <w:szCs w:val="17"/>
          <w:color w:val="auto"/>
        </w:rPr>
        <w:t>As used in this Proxy Statement, references to “we,” “us,” “our,” “CrowdStrike” and the “Company” refer to CrowdStrike Holdings, Inc. and its subsidiaries. Our fiscal year end is on January 31 and our year ended January 31, 2026 is referred to herein as “fiscal 2026” or “FY2026.”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7" w:lineRule="exact"/>
        <w:rPr>
          <w:sz w:val="20"/>
          <w:szCs w:val="20"/>
          <w:color w:val="auto"/>
        </w:rPr>
      </w:pPr>
    </w:p>
    <w:p>
      <w:pPr>
        <w:ind w:left="800" w:right="679"/>
        <w:spacing w:after="0" w:line="298" w:lineRule="auto"/>
        <w:rPr>
          <w:sz w:val="20"/>
          <w:szCs w:val="20"/>
          <w:color w:val="auto"/>
        </w:rPr>
      </w:pPr>
      <w:r>
        <w:rPr>
          <w:rFonts w:ascii="Arial" w:cs="Arial" w:eastAsia="Arial" w:hAnsi="Arial"/>
          <w:sz w:val="17"/>
          <w:szCs w:val="17"/>
          <w:color w:val="auto"/>
        </w:rPr>
        <w:t>To assist you in reviewing the proposals to be acted upon at the Annual Meeting, we call your attention to the following information. The following description is only a summary.</w:t>
      </w:r>
    </w:p>
    <w:p>
      <w:pPr>
        <w:spacing w:after="0" w:line="136" w:lineRule="exact"/>
        <w:rPr>
          <w:sz w:val="20"/>
          <w:szCs w:val="20"/>
          <w:color w:val="auto"/>
        </w:rPr>
      </w:pPr>
    </w:p>
    <w:p>
      <w:pPr>
        <w:ind w:left="2580"/>
        <w:spacing w:after="0"/>
        <w:rPr>
          <w:sz w:val="20"/>
          <w:szCs w:val="20"/>
          <w:color w:val="auto"/>
        </w:rPr>
      </w:pPr>
      <w:r>
        <w:rPr>
          <w:rFonts w:ascii="Arial" w:cs="Arial" w:eastAsia="Arial" w:hAnsi="Arial"/>
          <w:sz w:val="45"/>
          <w:szCs w:val="45"/>
          <w:color w:val="auto"/>
        </w:rPr>
        <w:t>Annual Meeting Proposals</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235"/>
        </w:trPr>
        <w:tc>
          <w:tcPr>
            <w:tcW w:w="6640" w:type="dxa"/>
            <w:vAlign w:val="bottom"/>
            <w:gridSpan w:val="2"/>
            <w:shd w:val="clear" w:color="auto" w:fill="D6515D"/>
          </w:tcPr>
          <w:p>
            <w:pPr>
              <w:ind w:left="100"/>
              <w:spacing w:after="0"/>
              <w:rPr>
                <w:sz w:val="20"/>
                <w:szCs w:val="20"/>
                <w:color w:val="auto"/>
              </w:rPr>
            </w:pPr>
            <w:r>
              <w:rPr>
                <w:rFonts w:ascii="Arial" w:cs="Arial" w:eastAsia="Arial" w:hAnsi="Arial"/>
                <w:sz w:val="14"/>
                <w:szCs w:val="14"/>
                <w:b w:val="1"/>
                <w:bCs w:val="1"/>
                <w:color w:val="FFFFFF"/>
              </w:rPr>
              <w:t>Proposal</w:t>
            </w:r>
          </w:p>
        </w:tc>
        <w:tc>
          <w:tcPr>
            <w:tcW w:w="2140" w:type="dxa"/>
            <w:vAlign w:val="bottom"/>
            <w:shd w:val="clear" w:color="auto" w:fill="D6515D"/>
          </w:tcPr>
          <w:p>
            <w:pPr>
              <w:ind w:left="140"/>
              <w:spacing w:after="0"/>
              <w:rPr>
                <w:sz w:val="20"/>
                <w:szCs w:val="20"/>
                <w:color w:val="auto"/>
              </w:rPr>
            </w:pPr>
            <w:r>
              <w:rPr>
                <w:rFonts w:ascii="Arial" w:cs="Arial" w:eastAsia="Arial" w:hAnsi="Arial"/>
                <w:sz w:val="14"/>
                <w:szCs w:val="14"/>
                <w:b w:val="1"/>
                <w:bCs w:val="1"/>
                <w:color w:val="FFFFFF"/>
              </w:rPr>
              <w:t>Board Recommendation</w:t>
            </w:r>
          </w:p>
        </w:tc>
      </w:tr>
      <w:tr>
        <w:trPr>
          <w:trHeight w:val="218"/>
        </w:trPr>
        <w:tc>
          <w:tcPr>
            <w:tcW w:w="380" w:type="dxa"/>
            <w:vAlign w:val="bottom"/>
          </w:tcPr>
          <w:p>
            <w:pPr>
              <w:ind w:left="100"/>
              <w:spacing w:after="0"/>
              <w:rPr>
                <w:sz w:val="20"/>
                <w:szCs w:val="20"/>
                <w:color w:val="auto"/>
              </w:rPr>
            </w:pPr>
            <w:r>
              <w:rPr>
                <w:rFonts w:ascii="Arial" w:cs="Arial" w:eastAsia="Arial" w:hAnsi="Arial"/>
                <w:sz w:val="17"/>
                <w:szCs w:val="17"/>
                <w:color w:val="auto"/>
              </w:rPr>
              <w:t>1.</w:t>
            </w:r>
          </w:p>
        </w:tc>
        <w:tc>
          <w:tcPr>
            <w:tcW w:w="6260" w:type="dxa"/>
            <w:vAlign w:val="bottom"/>
          </w:tcPr>
          <w:p>
            <w:pPr>
              <w:ind w:left="140"/>
              <w:spacing w:after="0"/>
              <w:rPr>
                <w:sz w:val="20"/>
                <w:szCs w:val="20"/>
                <w:color w:val="auto"/>
              </w:rPr>
            </w:pPr>
            <w:r>
              <w:rPr>
                <w:rFonts w:ascii="Arial" w:cs="Arial" w:eastAsia="Arial" w:hAnsi="Arial"/>
                <w:sz w:val="17"/>
                <w:szCs w:val="17"/>
                <w:color w:val="auto"/>
              </w:rPr>
              <w:t>Elect nominees Johanna Flower and Denis J. O’Leary to the Board of Directors</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 xml:space="preserve">FOR </w:t>
            </w:r>
            <w:r>
              <w:rPr>
                <w:rFonts w:ascii="Arial" w:cs="Arial" w:eastAsia="Arial" w:hAnsi="Arial"/>
                <w:sz w:val="17"/>
                <w:szCs w:val="17"/>
                <w:color w:val="000000"/>
              </w:rPr>
              <w:t>all nominees</w:t>
            </w: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to hold office until the 2029 Annual Meeting of Stockholders.</w:t>
            </w:r>
          </w:p>
        </w:tc>
        <w:tc>
          <w:tcPr>
            <w:tcW w:w="2140" w:type="dxa"/>
            <w:vAlign w:val="bottom"/>
          </w:tcPr>
          <w:p>
            <w:pPr>
              <w:spacing w:after="0"/>
              <w:rPr>
                <w:sz w:val="19"/>
                <w:szCs w:val="19"/>
                <w:color w:val="auto"/>
              </w:rPr>
            </w:pPr>
          </w:p>
        </w:tc>
      </w:tr>
      <w:tr>
        <w:trPr>
          <w:trHeight w:val="228"/>
        </w:trPr>
        <w:tc>
          <w:tcPr>
            <w:tcW w:w="380" w:type="dxa"/>
            <w:vAlign w:val="bottom"/>
          </w:tcPr>
          <w:p>
            <w:pPr>
              <w:ind w:left="100"/>
              <w:spacing w:after="0"/>
              <w:rPr>
                <w:sz w:val="20"/>
                <w:szCs w:val="20"/>
                <w:color w:val="auto"/>
              </w:rPr>
            </w:pPr>
            <w:r>
              <w:rPr>
                <w:rFonts w:ascii="Arial" w:cs="Arial" w:eastAsia="Arial" w:hAnsi="Arial"/>
                <w:sz w:val="17"/>
                <w:szCs w:val="17"/>
                <w:color w:val="auto"/>
              </w:rPr>
              <w:t>2.</w:t>
            </w:r>
          </w:p>
        </w:tc>
        <w:tc>
          <w:tcPr>
            <w:tcW w:w="6260" w:type="dxa"/>
            <w:vAlign w:val="bottom"/>
          </w:tcPr>
          <w:p>
            <w:pPr>
              <w:ind w:left="140"/>
              <w:spacing w:after="0"/>
              <w:rPr>
                <w:sz w:val="20"/>
                <w:szCs w:val="20"/>
                <w:color w:val="auto"/>
              </w:rPr>
            </w:pPr>
            <w:r>
              <w:rPr>
                <w:rFonts w:ascii="Arial" w:cs="Arial" w:eastAsia="Arial" w:hAnsi="Arial"/>
                <w:sz w:val="17"/>
                <w:szCs w:val="17"/>
                <w:color w:val="auto"/>
              </w:rPr>
              <w:t>Ratify the selection of PricewaterhouseCoopers LLP as CrowdStrike’s</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FOR</w:t>
            </w:r>
          </w:p>
        </w:tc>
      </w:tr>
      <w:tr>
        <w:trPr>
          <w:trHeight w:val="209"/>
        </w:trPr>
        <w:tc>
          <w:tcPr>
            <w:tcW w:w="38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independent registered public accounting firm for its fiscal year ending</w:t>
            </w:r>
          </w:p>
        </w:tc>
        <w:tc>
          <w:tcPr>
            <w:tcW w:w="214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January 31, 2027.</w:t>
            </w:r>
          </w:p>
        </w:tc>
        <w:tc>
          <w:tcPr>
            <w:tcW w:w="2140" w:type="dxa"/>
            <w:vAlign w:val="bottom"/>
          </w:tcPr>
          <w:p>
            <w:pPr>
              <w:spacing w:after="0"/>
              <w:rPr>
                <w:sz w:val="19"/>
                <w:szCs w:val="19"/>
                <w:color w:val="auto"/>
              </w:rPr>
            </w:pPr>
          </w:p>
        </w:tc>
      </w:tr>
      <w:tr>
        <w:trPr>
          <w:trHeight w:val="228"/>
        </w:trPr>
        <w:tc>
          <w:tcPr>
            <w:tcW w:w="380" w:type="dxa"/>
            <w:vAlign w:val="bottom"/>
          </w:tcPr>
          <w:p>
            <w:pPr>
              <w:ind w:left="100"/>
              <w:spacing w:after="0"/>
              <w:rPr>
                <w:sz w:val="20"/>
                <w:szCs w:val="20"/>
                <w:color w:val="auto"/>
              </w:rPr>
            </w:pPr>
            <w:r>
              <w:rPr>
                <w:rFonts w:ascii="Arial" w:cs="Arial" w:eastAsia="Arial" w:hAnsi="Arial"/>
                <w:sz w:val="17"/>
                <w:szCs w:val="17"/>
                <w:color w:val="auto"/>
              </w:rPr>
              <w:t>3.</w:t>
            </w:r>
          </w:p>
        </w:tc>
        <w:tc>
          <w:tcPr>
            <w:tcW w:w="6260" w:type="dxa"/>
            <w:vAlign w:val="bottom"/>
          </w:tcPr>
          <w:p>
            <w:pPr>
              <w:ind w:left="140"/>
              <w:spacing w:after="0"/>
              <w:rPr>
                <w:sz w:val="20"/>
                <w:szCs w:val="20"/>
                <w:color w:val="auto"/>
              </w:rPr>
            </w:pPr>
            <w:r>
              <w:rPr>
                <w:rFonts w:ascii="Arial" w:cs="Arial" w:eastAsia="Arial" w:hAnsi="Arial"/>
                <w:sz w:val="17"/>
                <w:szCs w:val="17"/>
                <w:color w:val="auto"/>
              </w:rPr>
              <w:t>Approve an amendment and restatement of our amended and restated</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FOR</w:t>
            </w: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certificate of incorporation to limit officer liability as permitted by Delaware law.</w:t>
            </w:r>
          </w:p>
        </w:tc>
        <w:tc>
          <w:tcPr>
            <w:tcW w:w="2140" w:type="dxa"/>
            <w:vAlign w:val="bottom"/>
          </w:tcPr>
          <w:p>
            <w:pPr>
              <w:spacing w:after="0"/>
              <w:rPr>
                <w:sz w:val="19"/>
                <w:szCs w:val="19"/>
                <w:color w:val="auto"/>
              </w:rPr>
            </w:pPr>
          </w:p>
        </w:tc>
      </w:tr>
      <w:tr>
        <w:trPr>
          <w:trHeight w:val="228"/>
        </w:trPr>
        <w:tc>
          <w:tcPr>
            <w:tcW w:w="380" w:type="dxa"/>
            <w:vAlign w:val="bottom"/>
          </w:tcPr>
          <w:p>
            <w:pPr>
              <w:ind w:left="100"/>
              <w:spacing w:after="0"/>
              <w:rPr>
                <w:sz w:val="20"/>
                <w:szCs w:val="20"/>
                <w:color w:val="auto"/>
              </w:rPr>
            </w:pPr>
            <w:r>
              <w:rPr>
                <w:rFonts w:ascii="Arial" w:cs="Arial" w:eastAsia="Arial" w:hAnsi="Arial"/>
                <w:sz w:val="17"/>
                <w:szCs w:val="17"/>
                <w:color w:val="auto"/>
              </w:rPr>
              <w:t>4.</w:t>
            </w:r>
          </w:p>
        </w:tc>
        <w:tc>
          <w:tcPr>
            <w:tcW w:w="6260" w:type="dxa"/>
            <w:vAlign w:val="bottom"/>
          </w:tcPr>
          <w:p>
            <w:pPr>
              <w:ind w:left="140"/>
              <w:spacing w:after="0"/>
              <w:rPr>
                <w:sz w:val="20"/>
                <w:szCs w:val="20"/>
                <w:color w:val="auto"/>
              </w:rPr>
            </w:pPr>
            <w:r>
              <w:rPr>
                <w:rFonts w:ascii="Arial" w:cs="Arial" w:eastAsia="Arial" w:hAnsi="Arial"/>
                <w:sz w:val="17"/>
                <w:szCs w:val="17"/>
                <w:color w:val="auto"/>
              </w:rPr>
              <w:t>Ratify, on an advisory basis, supermajority voting provisions in our amended</w:t>
            </w:r>
          </w:p>
        </w:tc>
        <w:tc>
          <w:tcPr>
            <w:tcW w:w="2140" w:type="dxa"/>
            <w:vAlign w:val="bottom"/>
          </w:tcPr>
          <w:p>
            <w:pPr>
              <w:ind w:left="140"/>
              <w:spacing w:after="0"/>
              <w:rPr>
                <w:sz w:val="20"/>
                <w:szCs w:val="20"/>
                <w:color w:val="auto"/>
              </w:rPr>
            </w:pPr>
            <w:r>
              <w:rPr>
                <w:rFonts w:ascii="Arial" w:cs="Arial" w:eastAsia="Arial" w:hAnsi="Arial"/>
                <w:sz w:val="17"/>
                <w:szCs w:val="17"/>
                <w:b w:val="1"/>
                <w:bCs w:val="1"/>
                <w:color w:val="D6515D"/>
              </w:rPr>
              <w:t>FOR</w:t>
            </w:r>
          </w:p>
        </w:tc>
      </w:tr>
      <w:tr>
        <w:trPr>
          <w:trHeight w:val="230"/>
        </w:trPr>
        <w:tc>
          <w:tcPr>
            <w:tcW w:w="38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and restated certificate of incorporation and amended and restated bylaws.</w:t>
            </w:r>
          </w:p>
        </w:tc>
        <w:tc>
          <w:tcPr>
            <w:tcW w:w="2140" w:type="dxa"/>
            <w:vAlign w:val="bottom"/>
          </w:tcPr>
          <w:p>
            <w:pPr>
              <w:spacing w:after="0"/>
              <w:rPr>
                <w:sz w:val="19"/>
                <w:szCs w:val="19"/>
                <w:color w:val="auto"/>
              </w:rPr>
            </w:pPr>
          </w:p>
        </w:tc>
      </w:tr>
    </w:tbl>
    <w:p>
      <w:pPr>
        <w:spacing w:after="0" w:line="196" w:lineRule="exact"/>
        <w:rPr>
          <w:sz w:val="20"/>
          <w:szCs w:val="20"/>
          <w:color w:val="auto"/>
        </w:rPr>
      </w:pPr>
    </w:p>
    <w:p>
      <w:pPr>
        <w:ind w:left="2100"/>
        <w:spacing w:after="0"/>
        <w:rPr>
          <w:sz w:val="20"/>
          <w:szCs w:val="20"/>
          <w:color w:val="auto"/>
        </w:rPr>
      </w:pPr>
      <w:r>
        <w:rPr>
          <w:rFonts w:ascii="Arial" w:cs="Arial" w:eastAsia="Arial" w:hAnsi="Arial"/>
          <w:sz w:val="45"/>
          <w:szCs w:val="45"/>
          <w:color w:val="auto"/>
        </w:rPr>
        <w:t>CrowdStrike’s 2026 Fiscal Year</w:t>
      </w:r>
    </w:p>
    <w:p>
      <w:pPr>
        <w:spacing w:after="0" w:line="116"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CrowdStrike, a global cybersecurity leader that has redefined modern security with the world’s most advanced cloud-native platform for protecting critical areas of enterprise risk, including endpoints and cloud workloads, identity and data, delivered strong fiscal 2026 results, demonstrating our continued platform consolidation momentum. Business highlights include:</w:t>
      </w:r>
    </w:p>
    <w:p>
      <w:pPr>
        <w:spacing w:after="0" w:line="61" w:lineRule="exact"/>
        <w:rPr>
          <w:sz w:val="20"/>
          <w:szCs w:val="20"/>
          <w:color w:val="auto"/>
        </w:rPr>
      </w:pPr>
    </w:p>
    <w:p>
      <w:pPr>
        <w:ind w:left="1320" w:hanging="179"/>
        <w:spacing w:after="0"/>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22% year-over-year increase in total revenue, reaching $4.81 billion;</w:t>
      </w:r>
    </w:p>
    <w:p>
      <w:pPr>
        <w:spacing w:after="0" w:line="83" w:lineRule="exact"/>
        <w:rPr>
          <w:rFonts w:ascii="Arial" w:cs="Arial" w:eastAsia="Arial" w:hAnsi="Arial"/>
          <w:sz w:val="17"/>
          <w:szCs w:val="17"/>
          <w:color w:val="auto"/>
        </w:rPr>
      </w:pPr>
    </w:p>
    <w:p>
      <w:pPr>
        <w:ind w:left="1320" w:right="379" w:hanging="179"/>
        <w:spacing w:after="0" w:line="236" w:lineRule="auto"/>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a 24% year-over-year increase in ending annual recurring revenue (“ARR”), </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reaching $5.25 billion as of January 31, 2026;</w:t>
      </w:r>
    </w:p>
    <w:p>
      <w:pPr>
        <w:spacing w:after="0" w:line="84" w:lineRule="exact"/>
        <w:rPr>
          <w:rFonts w:ascii="Arial" w:cs="Arial" w:eastAsia="Arial" w:hAnsi="Arial"/>
          <w:sz w:val="17"/>
          <w:szCs w:val="17"/>
          <w:color w:val="auto"/>
        </w:rPr>
      </w:pPr>
    </w:p>
    <w:p>
      <w:pPr>
        <w:ind w:left="1320" w:right="219" w:hanging="179"/>
        <w:spacing w:after="0" w:line="260" w:lineRule="auto"/>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generating $1.61 billion in net cash provided by operating activities or 34% of revenue, and free cash flow of $1.24 billion to deliver free cash flow margin of 26%; </w:t>
      </w:r>
      <w:r>
        <w:rPr>
          <w:rFonts w:ascii="Arial" w:cs="Arial" w:eastAsia="Arial" w:hAnsi="Arial"/>
          <w:sz w:val="26"/>
          <w:szCs w:val="26"/>
          <w:color w:val="auto"/>
          <w:vertAlign w:val="superscript"/>
        </w:rPr>
        <w:t>(2)</w:t>
      </w:r>
    </w:p>
    <w:p>
      <w:pPr>
        <w:spacing w:after="0" w:line="1" w:lineRule="exact"/>
        <w:rPr>
          <w:rFonts w:ascii="Arial" w:cs="Arial" w:eastAsia="Arial" w:hAnsi="Arial"/>
          <w:sz w:val="17"/>
          <w:szCs w:val="17"/>
          <w:color w:val="auto"/>
        </w:rPr>
      </w:pPr>
    </w:p>
    <w:p>
      <w:pPr>
        <w:ind w:left="1320" w:hanging="179"/>
        <w:spacing w:after="0"/>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maintaining a gross retention rate of 97% in each quarter of fiscal 2026;</w:t>
      </w:r>
    </w:p>
    <w:p>
      <w:pPr>
        <w:spacing w:after="0" w:line="117" w:lineRule="exact"/>
        <w:rPr>
          <w:rFonts w:ascii="Arial" w:cs="Arial" w:eastAsia="Arial" w:hAnsi="Arial"/>
          <w:sz w:val="17"/>
          <w:szCs w:val="17"/>
          <w:color w:val="auto"/>
        </w:rPr>
      </w:pPr>
    </w:p>
    <w:p>
      <w:pPr>
        <w:ind w:left="1320" w:hanging="179"/>
        <w:spacing w:after="0"/>
        <w:tabs>
          <w:tab w:leader="none" w:pos="1320" w:val="left"/>
        </w:tabs>
        <w:numPr>
          <w:ilvl w:val="1"/>
          <w:numId w:val="4"/>
        </w:numPr>
        <w:rPr>
          <w:rFonts w:ascii="Arial" w:cs="Arial" w:eastAsia="Arial" w:hAnsi="Arial"/>
          <w:sz w:val="17"/>
          <w:szCs w:val="17"/>
          <w:color w:val="auto"/>
        </w:rPr>
      </w:pPr>
      <w:r>
        <w:rPr>
          <w:rFonts w:ascii="Arial" w:cs="Arial" w:eastAsia="Arial" w:hAnsi="Arial"/>
          <w:sz w:val="17"/>
          <w:szCs w:val="17"/>
          <w:color w:val="auto"/>
        </w:rPr>
        <w:t>reaching $1.69 billion in ending ARR from Falcon Flex accounts, up over 120% year-over-year;</w:t>
      </w:r>
    </w:p>
    <w:p>
      <w:pPr>
        <w:spacing w:after="0" w:line="274" w:lineRule="exact"/>
        <w:rPr>
          <w:rFonts w:ascii="Arial" w:cs="Arial" w:eastAsia="Arial" w:hAnsi="Arial"/>
          <w:sz w:val="17"/>
          <w:szCs w:val="17"/>
          <w:color w:val="auto"/>
        </w:rPr>
      </w:pPr>
    </w:p>
    <w:p>
      <w:pPr>
        <w:ind w:left="1140" w:right="179" w:hanging="347"/>
        <w:spacing w:after="0" w:line="267"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36" w:lineRule="exact"/>
        <w:rPr>
          <w:rFonts w:ascii="Arial" w:cs="Arial" w:eastAsia="Arial" w:hAnsi="Arial"/>
          <w:sz w:val="17"/>
          <w:szCs w:val="17"/>
          <w:color w:val="auto"/>
        </w:rPr>
      </w:pPr>
    </w:p>
    <w:p>
      <w:pPr>
        <w:ind w:left="1140" w:right="299" w:hanging="347"/>
        <w:spacing w:after="0" w:line="298"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 Appendix A of this Proxy Statement for a reconciliation of free cash flow and free cash flow margin to the most directly comparable financial measure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-1101725</wp:posOffset>
            </wp:positionV>
            <wp:extent cx="1195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38"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320" w:right="380" w:hanging="179"/>
        <w:spacing w:after="0" w:line="277"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expanding in the endpoint security market as well as success growing ARR from our cloud security, next-gen identity protection and LogScale next-gen SIEM solutions, together surpassing $1.9 billion of ending ARR; and</w:t>
      </w:r>
    </w:p>
    <w:p>
      <w:pPr>
        <w:spacing w:after="0" w:line="55" w:lineRule="exact"/>
        <w:rPr>
          <w:rFonts w:ascii="Arial" w:cs="Arial" w:eastAsia="Arial" w:hAnsi="Arial"/>
          <w:sz w:val="17"/>
          <w:szCs w:val="17"/>
          <w:color w:val="auto"/>
        </w:rPr>
      </w:pPr>
    </w:p>
    <w:p>
      <w:pPr>
        <w:ind w:left="1320" w:right="380" w:hanging="179"/>
        <w:spacing w:after="0" w:line="259"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increasing customer adoption of our modules: 50% of our customer base had adopted six or more modules, 34% of our customer base had adopted seven or more modules and 24% of our customer base had adopted eight or more modules, as of January 31, 2026 (in each case, excluding customers who subscribed with the Falcon Go bundle, a package designed for organizations with 100 endpoints or less). </w:t>
      </w:r>
      <w:r>
        <w:rPr>
          <w:rFonts w:ascii="Arial" w:cs="Arial" w:eastAsia="Arial" w:hAnsi="Arial"/>
          <w:sz w:val="26"/>
          <w:szCs w:val="26"/>
          <w:color w:val="auto"/>
          <w:vertAlign w:val="superscript"/>
        </w:rPr>
        <w:t>(3)</w:t>
      </w:r>
    </w:p>
    <w:p>
      <w:pPr>
        <w:spacing w:after="0" w:line="103" w:lineRule="exact"/>
        <w:rPr>
          <w:sz w:val="20"/>
          <w:szCs w:val="20"/>
          <w:color w:val="auto"/>
        </w:rPr>
      </w:pPr>
    </w:p>
    <w:p>
      <w:pPr>
        <w:ind w:left="800" w:right="700"/>
        <w:spacing w:after="0" w:line="267" w:lineRule="auto"/>
        <w:rPr>
          <w:sz w:val="20"/>
          <w:szCs w:val="20"/>
          <w:color w:val="auto"/>
        </w:rPr>
      </w:pPr>
      <w:r>
        <w:rPr>
          <w:rFonts w:ascii="Arial" w:cs="Arial" w:eastAsia="Arial" w:hAnsi="Arial"/>
          <w:sz w:val="17"/>
          <w:szCs w:val="17"/>
          <w:color w:val="auto"/>
        </w:rPr>
        <w:t>In fiscal 2026, we continued to support our local communities through the CrowdStrike Foundation (managed through our donor advised fund at Charities Aid Foundation), corporate-directed giving, corporate-matching and other efforts, supporting more than 400 nonprofits globally during the fiscal year. Additionally, we continued the CrowdStrike NextGen scholarship program, offering scholarship opportunities to students at a broad range of academic institutions.</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45"/>
          <w:szCs w:val="45"/>
          <w:color w:val="auto"/>
        </w:rPr>
        <w:t>Members of the Board of Directors and</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45"/>
          <w:szCs w:val="45"/>
          <w:color w:val="auto"/>
        </w:rPr>
        <w:t>Committees</w:t>
      </w:r>
    </w:p>
    <w:tbl>
      <w:tblPr>
        <w:tblLayout w:type="fixed"/>
        <w:tblInd w:w="800" w:type="dxa"/>
        <w:tblCellMar>
          <w:top w:w="0" w:type="dxa"/>
          <w:left w:w="0" w:type="dxa"/>
          <w:bottom w:w="0" w:type="dxa"/>
          <w:right w:w="0" w:type="dxa"/>
        </w:tblCellMar>
      </w:tblPr>
      <w:tr>
        <w:trPr>
          <w:trHeight w:val="310"/>
        </w:trPr>
        <w:tc>
          <w:tcPr>
            <w:tcW w:w="2540" w:type="dxa"/>
            <w:vAlign w:val="bottom"/>
            <w:shd w:val="clear" w:color="auto" w:fill="D6515D"/>
          </w:tcPr>
          <w:p>
            <w:pPr>
              <w:ind w:left="80"/>
              <w:spacing w:after="0"/>
              <w:rPr>
                <w:sz w:val="20"/>
                <w:szCs w:val="20"/>
                <w:color w:val="auto"/>
              </w:rPr>
            </w:pPr>
            <w:r>
              <w:rPr>
                <w:rFonts w:ascii="Arial" w:cs="Arial" w:eastAsia="Arial" w:hAnsi="Arial"/>
                <w:sz w:val="16"/>
                <w:szCs w:val="16"/>
                <w:b w:val="1"/>
                <w:bCs w:val="1"/>
                <w:color w:val="FFFFFF"/>
              </w:rPr>
              <w:t>Name</w:t>
            </w:r>
          </w:p>
        </w:tc>
        <w:tc>
          <w:tcPr>
            <w:tcW w:w="1140" w:type="dxa"/>
            <w:vAlign w:val="bottom"/>
            <w:gridSpan w:val="2"/>
            <w:shd w:val="clear" w:color="auto" w:fill="D6515D"/>
          </w:tcPr>
          <w:p>
            <w:pPr>
              <w:ind w:left="200"/>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Age</w:t>
            </w: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Director</w:t>
            </w:r>
          </w:p>
        </w:tc>
        <w:tc>
          <w:tcPr>
            <w:tcW w:w="640" w:type="dxa"/>
            <w:vAlign w:val="bottom"/>
            <w:shd w:val="clear" w:color="auto" w:fill="D6515D"/>
          </w:tcPr>
          <w:p>
            <w:pPr>
              <w:jc w:val="right"/>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Current</w:t>
            </w:r>
          </w:p>
        </w:tc>
        <w:tc>
          <w:tcPr>
            <w:tcW w:w="1800" w:type="dxa"/>
            <w:vAlign w:val="bottom"/>
            <w:gridSpan w:val="3"/>
            <w:shd w:val="clear" w:color="auto" w:fill="D6515D"/>
          </w:tcPr>
          <w:p>
            <w:pPr>
              <w:ind w:left="20"/>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Independent</w:t>
            </w: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 xml:space="preserve">  Audit</w:t>
            </w:r>
          </w:p>
        </w:tc>
        <w:tc>
          <w:tcPr>
            <w:tcW w:w="2080" w:type="dxa"/>
            <w:vAlign w:val="bottom"/>
            <w:gridSpan w:val="4"/>
            <w:shd w:val="clear" w:color="auto" w:fill="D6515D"/>
          </w:tcPr>
          <w:p>
            <w:pPr>
              <w:spacing w:after="0" w:line="309" w:lineRule="exact"/>
              <w:rPr>
                <w:sz w:val="20"/>
                <w:szCs w:val="20"/>
                <w:color w:val="auto"/>
              </w:rPr>
            </w:pP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 xml:space="preserve">Compensation </w:t>
            </w:r>
            <w:r>
              <w:rPr>
                <w:rFonts w:ascii="Arial" w:cs="Arial" w:eastAsia="Arial" w:hAnsi="Arial"/>
                <w:sz w:val="31"/>
                <w:szCs w:val="31"/>
                <w:b w:val="1"/>
                <w:bCs w:val="1"/>
                <w:color w:val="FFFFFF"/>
                <w:vertAlign w:val="superscript"/>
              </w:rPr>
              <w:t>​</w:t>
            </w:r>
            <w:r>
              <w:rPr>
                <w:rFonts w:ascii="Arial" w:cs="Arial" w:eastAsia="Arial" w:hAnsi="Arial"/>
                <w:sz w:val="16"/>
                <w:szCs w:val="16"/>
                <w:b w:val="1"/>
                <w:bCs w:val="1"/>
                <w:color w:val="FFFFFF"/>
              </w:rPr>
              <w:t>Nominating</w:t>
            </w:r>
          </w:p>
        </w:tc>
        <w:tc>
          <w:tcPr>
            <w:tcW w:w="920" w:type="dxa"/>
            <w:vAlign w:val="bottom"/>
            <w:gridSpan w:val="2"/>
            <w:shd w:val="clear" w:color="auto" w:fill="D6515D"/>
          </w:tcPr>
          <w:p>
            <w:pPr>
              <w:ind w:left="40"/>
              <w:spacing w:after="0" w:line="309" w:lineRule="exact"/>
              <w:rPr>
                <w:sz w:val="20"/>
                <w:szCs w:val="20"/>
                <w:color w:val="auto"/>
              </w:rPr>
            </w:pPr>
            <w:r>
              <w:rPr>
                <w:rFonts w:ascii="Arial" w:cs="Arial" w:eastAsia="Arial" w:hAnsi="Arial"/>
                <w:sz w:val="31"/>
                <w:szCs w:val="31"/>
                <w:b w:val="1"/>
                <w:bCs w:val="1"/>
                <w:color w:val="FFFFFF"/>
                <w:w w:val="94"/>
                <w:vertAlign w:val="superscript"/>
              </w:rPr>
              <w:t>​</w:t>
            </w:r>
            <w:r>
              <w:rPr>
                <w:rFonts w:ascii="Arial" w:cs="Arial" w:eastAsia="Arial" w:hAnsi="Arial"/>
                <w:sz w:val="16"/>
                <w:szCs w:val="16"/>
                <w:b w:val="1"/>
                <w:bCs w:val="1"/>
                <w:color w:val="FFFFFF"/>
                <w:w w:val="94"/>
              </w:rPr>
              <w:t>Transaction</w:t>
            </w:r>
          </w:p>
        </w:tc>
        <w:tc>
          <w:tcPr>
            <w:tcW w:w="0" w:type="dxa"/>
            <w:vAlign w:val="bottom"/>
          </w:tcPr>
          <w:p>
            <w:pPr>
              <w:spacing w:after="0"/>
              <w:rPr>
                <w:sz w:val="1"/>
                <w:szCs w:val="1"/>
                <w:color w:val="auto"/>
              </w:rPr>
            </w:pPr>
          </w:p>
        </w:tc>
      </w:tr>
      <w:tr>
        <w:trPr>
          <w:trHeight w:val="170"/>
        </w:trPr>
        <w:tc>
          <w:tcPr>
            <w:tcW w:w="2540" w:type="dxa"/>
            <w:vAlign w:val="bottom"/>
            <w:shd w:val="clear" w:color="auto" w:fill="D6515D"/>
          </w:tcPr>
          <w:p>
            <w:pPr>
              <w:spacing w:after="0"/>
              <w:rPr>
                <w:sz w:val="14"/>
                <w:szCs w:val="14"/>
                <w:color w:val="auto"/>
              </w:rPr>
            </w:pPr>
          </w:p>
        </w:tc>
        <w:tc>
          <w:tcPr>
            <w:tcW w:w="480" w:type="dxa"/>
            <w:vAlign w:val="bottom"/>
            <w:shd w:val="clear" w:color="auto" w:fill="D6515D"/>
          </w:tcPr>
          <w:p>
            <w:pPr>
              <w:spacing w:after="0"/>
              <w:rPr>
                <w:sz w:val="14"/>
                <w:szCs w:val="14"/>
                <w:color w:val="auto"/>
              </w:rPr>
            </w:pPr>
          </w:p>
        </w:tc>
        <w:tc>
          <w:tcPr>
            <w:tcW w:w="660" w:type="dxa"/>
            <w:vAlign w:val="bottom"/>
            <w:shd w:val="clear" w:color="auto" w:fill="D6515D"/>
          </w:tcPr>
          <w:p>
            <w:pPr>
              <w:ind w:left="140"/>
              <w:spacing w:after="0" w:line="170" w:lineRule="exact"/>
              <w:rPr>
                <w:sz w:val="20"/>
                <w:szCs w:val="20"/>
                <w:color w:val="auto"/>
              </w:rPr>
            </w:pPr>
            <w:r>
              <w:rPr>
                <w:rFonts w:ascii="Arial" w:cs="Arial" w:eastAsia="Arial" w:hAnsi="Arial"/>
                <w:sz w:val="16"/>
                <w:szCs w:val="16"/>
                <w:b w:val="1"/>
                <w:bCs w:val="1"/>
                <w:color w:val="FFFFFF"/>
              </w:rPr>
              <w:t>Since</w:t>
            </w:r>
          </w:p>
        </w:tc>
        <w:tc>
          <w:tcPr>
            <w:tcW w:w="640" w:type="dxa"/>
            <w:vAlign w:val="bottom"/>
            <w:shd w:val="clear" w:color="auto" w:fill="D6515D"/>
          </w:tcPr>
          <w:p>
            <w:pPr>
              <w:jc w:val="right"/>
              <w:ind w:right="59"/>
              <w:spacing w:after="0" w:line="170" w:lineRule="exact"/>
              <w:rPr>
                <w:sz w:val="20"/>
                <w:szCs w:val="20"/>
                <w:color w:val="auto"/>
              </w:rPr>
            </w:pPr>
            <w:r>
              <w:rPr>
                <w:rFonts w:ascii="Arial" w:cs="Arial" w:eastAsia="Arial" w:hAnsi="Arial"/>
                <w:sz w:val="16"/>
                <w:szCs w:val="16"/>
                <w:b w:val="1"/>
                <w:bCs w:val="1"/>
                <w:color w:val="FFFFFF"/>
              </w:rPr>
              <w:t>Term</w:t>
            </w:r>
          </w:p>
        </w:tc>
        <w:tc>
          <w:tcPr>
            <w:tcW w:w="220" w:type="dxa"/>
            <w:vAlign w:val="bottom"/>
            <w:shd w:val="clear" w:color="auto" w:fill="D6515D"/>
          </w:tcPr>
          <w:p>
            <w:pPr>
              <w:spacing w:after="0"/>
              <w:rPr>
                <w:sz w:val="14"/>
                <w:szCs w:val="14"/>
                <w:color w:val="auto"/>
              </w:rPr>
            </w:pPr>
          </w:p>
        </w:tc>
        <w:tc>
          <w:tcPr>
            <w:tcW w:w="580" w:type="dxa"/>
            <w:vAlign w:val="bottom"/>
            <w:shd w:val="clear" w:color="auto" w:fill="D6515D"/>
          </w:tcPr>
          <w:p>
            <w:pPr>
              <w:spacing w:after="0"/>
              <w:rPr>
                <w:sz w:val="14"/>
                <w:szCs w:val="14"/>
                <w:color w:val="auto"/>
              </w:rPr>
            </w:pPr>
          </w:p>
        </w:tc>
        <w:tc>
          <w:tcPr>
            <w:tcW w:w="1000" w:type="dxa"/>
            <w:vAlign w:val="bottom"/>
            <w:shd w:val="clear" w:color="auto" w:fill="D6515D"/>
          </w:tcPr>
          <w:p>
            <w:pPr>
              <w:ind w:left="180"/>
              <w:spacing w:after="0" w:line="170" w:lineRule="exact"/>
              <w:rPr>
                <w:sz w:val="20"/>
                <w:szCs w:val="20"/>
                <w:color w:val="auto"/>
              </w:rPr>
            </w:pPr>
            <w:r>
              <w:rPr>
                <w:rFonts w:ascii="Arial" w:cs="Arial" w:eastAsia="Arial" w:hAnsi="Arial"/>
                <w:sz w:val="16"/>
                <w:szCs w:val="16"/>
                <w:b w:val="1"/>
                <w:bCs w:val="1"/>
                <w:color w:val="FFFFFF"/>
                <w:w w:val="96"/>
              </w:rPr>
              <w:t>Committee</w:t>
            </w:r>
          </w:p>
        </w:tc>
        <w:tc>
          <w:tcPr>
            <w:tcW w:w="100" w:type="dxa"/>
            <w:vAlign w:val="bottom"/>
            <w:shd w:val="clear" w:color="auto" w:fill="D6515D"/>
          </w:tcPr>
          <w:p>
            <w:pPr>
              <w:spacing w:after="0"/>
              <w:rPr>
                <w:sz w:val="14"/>
                <w:szCs w:val="14"/>
                <w:color w:val="auto"/>
              </w:rPr>
            </w:pPr>
          </w:p>
        </w:tc>
        <w:tc>
          <w:tcPr>
            <w:tcW w:w="960" w:type="dxa"/>
            <w:vAlign w:val="bottom"/>
            <w:shd w:val="clear" w:color="auto" w:fill="D6515D"/>
          </w:tcPr>
          <w:p>
            <w:pPr>
              <w:ind w:left="60"/>
              <w:spacing w:after="0" w:line="170" w:lineRule="exact"/>
              <w:rPr>
                <w:sz w:val="20"/>
                <w:szCs w:val="20"/>
                <w:color w:val="auto"/>
              </w:rPr>
            </w:pPr>
            <w:r>
              <w:rPr>
                <w:rFonts w:ascii="Arial" w:cs="Arial" w:eastAsia="Arial" w:hAnsi="Arial"/>
                <w:sz w:val="16"/>
                <w:szCs w:val="16"/>
                <w:b w:val="1"/>
                <w:bCs w:val="1"/>
                <w:color w:val="FFFFFF"/>
              </w:rPr>
              <w:t>Committee</w:t>
            </w:r>
          </w:p>
        </w:tc>
        <w:tc>
          <w:tcPr>
            <w:tcW w:w="140" w:type="dxa"/>
            <w:vAlign w:val="bottom"/>
            <w:shd w:val="clear" w:color="auto" w:fill="D6515D"/>
          </w:tcPr>
          <w:p>
            <w:pPr>
              <w:spacing w:after="0"/>
              <w:rPr>
                <w:sz w:val="14"/>
                <w:szCs w:val="14"/>
                <w:color w:val="auto"/>
              </w:rPr>
            </w:pPr>
          </w:p>
        </w:tc>
        <w:tc>
          <w:tcPr>
            <w:tcW w:w="880" w:type="dxa"/>
            <w:vAlign w:val="bottom"/>
            <w:shd w:val="clear" w:color="auto" w:fill="D6515D"/>
          </w:tcPr>
          <w:p>
            <w:pPr>
              <w:jc w:val="center"/>
              <w:spacing w:after="0" w:line="170" w:lineRule="exact"/>
              <w:rPr>
                <w:sz w:val="20"/>
                <w:szCs w:val="20"/>
                <w:color w:val="auto"/>
              </w:rPr>
            </w:pPr>
            <w:r>
              <w:rPr>
                <w:rFonts w:ascii="Arial" w:cs="Arial" w:eastAsia="Arial" w:hAnsi="Arial"/>
                <w:sz w:val="16"/>
                <w:szCs w:val="16"/>
                <w:b w:val="1"/>
                <w:bCs w:val="1"/>
                <w:color w:val="FFFFFF"/>
                <w:w w:val="98"/>
              </w:rPr>
              <w:t>and</w:t>
            </w:r>
          </w:p>
        </w:tc>
        <w:tc>
          <w:tcPr>
            <w:tcW w:w="920" w:type="dxa"/>
            <w:vAlign w:val="bottom"/>
            <w:gridSpan w:val="2"/>
            <w:shd w:val="clear" w:color="auto" w:fill="D6515D"/>
          </w:tcPr>
          <w:p>
            <w:pPr>
              <w:ind w:left="80"/>
              <w:spacing w:after="0" w:line="170" w:lineRule="exact"/>
              <w:rPr>
                <w:sz w:val="20"/>
                <w:szCs w:val="20"/>
                <w:color w:val="auto"/>
              </w:rPr>
            </w:pPr>
            <w:r>
              <w:rPr>
                <w:rFonts w:ascii="Arial" w:cs="Arial" w:eastAsia="Arial" w:hAnsi="Arial"/>
                <w:sz w:val="16"/>
                <w:szCs w:val="16"/>
                <w:b w:val="1"/>
                <w:bCs w:val="1"/>
                <w:color w:val="FFFFFF"/>
                <w:w w:val="99"/>
              </w:rPr>
              <w:t>Committee</w:t>
            </w:r>
          </w:p>
        </w:tc>
        <w:tc>
          <w:tcPr>
            <w:tcW w:w="0" w:type="dxa"/>
            <w:vAlign w:val="bottom"/>
          </w:tcPr>
          <w:p>
            <w:pPr>
              <w:spacing w:after="0"/>
              <w:rPr>
                <w:sz w:val="1"/>
                <w:szCs w:val="1"/>
                <w:color w:val="auto"/>
              </w:rPr>
            </w:pPr>
          </w:p>
        </w:tc>
      </w:tr>
      <w:tr>
        <w:trPr>
          <w:trHeight w:val="183"/>
        </w:trPr>
        <w:tc>
          <w:tcPr>
            <w:tcW w:w="2540" w:type="dxa"/>
            <w:vAlign w:val="bottom"/>
            <w:shd w:val="clear" w:color="auto" w:fill="D6515D"/>
          </w:tcPr>
          <w:p>
            <w:pPr>
              <w:spacing w:after="0"/>
              <w:rPr>
                <w:sz w:val="15"/>
                <w:szCs w:val="15"/>
                <w:color w:val="auto"/>
              </w:rPr>
            </w:pPr>
          </w:p>
        </w:tc>
        <w:tc>
          <w:tcPr>
            <w:tcW w:w="480" w:type="dxa"/>
            <w:vAlign w:val="bottom"/>
            <w:shd w:val="clear" w:color="auto" w:fill="D6515D"/>
          </w:tcPr>
          <w:p>
            <w:pPr>
              <w:spacing w:after="0"/>
              <w:rPr>
                <w:sz w:val="15"/>
                <w:szCs w:val="15"/>
                <w:color w:val="auto"/>
              </w:rPr>
            </w:pPr>
          </w:p>
        </w:tc>
        <w:tc>
          <w:tcPr>
            <w:tcW w:w="660" w:type="dxa"/>
            <w:vAlign w:val="bottom"/>
            <w:shd w:val="clear" w:color="auto" w:fill="D6515D"/>
          </w:tcPr>
          <w:p>
            <w:pPr>
              <w:spacing w:after="0"/>
              <w:rPr>
                <w:sz w:val="15"/>
                <w:szCs w:val="15"/>
                <w:color w:val="auto"/>
              </w:rPr>
            </w:pPr>
          </w:p>
        </w:tc>
        <w:tc>
          <w:tcPr>
            <w:tcW w:w="640" w:type="dxa"/>
            <w:vAlign w:val="bottom"/>
            <w:shd w:val="clear" w:color="auto" w:fill="D6515D"/>
          </w:tcPr>
          <w:p>
            <w:pPr>
              <w:jc w:val="right"/>
              <w:spacing w:after="0" w:line="183" w:lineRule="exact"/>
              <w:rPr>
                <w:sz w:val="20"/>
                <w:szCs w:val="20"/>
                <w:color w:val="auto"/>
              </w:rPr>
            </w:pPr>
            <w:r>
              <w:rPr>
                <w:rFonts w:ascii="Arial" w:cs="Arial" w:eastAsia="Arial" w:hAnsi="Arial"/>
                <w:sz w:val="16"/>
                <w:szCs w:val="16"/>
                <w:b w:val="1"/>
                <w:bCs w:val="1"/>
                <w:color w:val="FFFFFF"/>
              </w:rPr>
              <w:t>Expires</w:t>
            </w:r>
          </w:p>
        </w:tc>
        <w:tc>
          <w:tcPr>
            <w:tcW w:w="220" w:type="dxa"/>
            <w:vAlign w:val="bottom"/>
            <w:shd w:val="clear" w:color="auto" w:fill="D6515D"/>
          </w:tcPr>
          <w:p>
            <w:pPr>
              <w:spacing w:after="0"/>
              <w:rPr>
                <w:sz w:val="15"/>
                <w:szCs w:val="15"/>
                <w:color w:val="auto"/>
              </w:rPr>
            </w:pPr>
          </w:p>
        </w:tc>
        <w:tc>
          <w:tcPr>
            <w:tcW w:w="580" w:type="dxa"/>
            <w:vAlign w:val="bottom"/>
            <w:shd w:val="clear" w:color="auto" w:fill="D6515D"/>
          </w:tcPr>
          <w:p>
            <w:pPr>
              <w:spacing w:after="0"/>
              <w:rPr>
                <w:sz w:val="15"/>
                <w:szCs w:val="15"/>
                <w:color w:val="auto"/>
              </w:rPr>
            </w:pPr>
          </w:p>
        </w:tc>
        <w:tc>
          <w:tcPr>
            <w:tcW w:w="1000" w:type="dxa"/>
            <w:vAlign w:val="bottom"/>
            <w:shd w:val="clear" w:color="auto" w:fill="D6515D"/>
          </w:tcPr>
          <w:p>
            <w:pPr>
              <w:spacing w:after="0"/>
              <w:rPr>
                <w:sz w:val="15"/>
                <w:szCs w:val="15"/>
                <w:color w:val="auto"/>
              </w:rPr>
            </w:pPr>
          </w:p>
        </w:tc>
        <w:tc>
          <w:tcPr>
            <w:tcW w:w="100" w:type="dxa"/>
            <w:vAlign w:val="bottom"/>
            <w:shd w:val="clear" w:color="auto" w:fill="D6515D"/>
          </w:tcPr>
          <w:p>
            <w:pPr>
              <w:spacing w:after="0"/>
              <w:rPr>
                <w:sz w:val="15"/>
                <w:szCs w:val="15"/>
                <w:color w:val="auto"/>
              </w:rPr>
            </w:pPr>
          </w:p>
        </w:tc>
        <w:tc>
          <w:tcPr>
            <w:tcW w:w="960" w:type="dxa"/>
            <w:vAlign w:val="bottom"/>
            <w:shd w:val="clear" w:color="auto" w:fill="D6515D"/>
          </w:tcPr>
          <w:p>
            <w:pPr>
              <w:spacing w:after="0"/>
              <w:rPr>
                <w:sz w:val="15"/>
                <w:szCs w:val="15"/>
                <w:color w:val="auto"/>
              </w:rPr>
            </w:pPr>
          </w:p>
        </w:tc>
        <w:tc>
          <w:tcPr>
            <w:tcW w:w="140" w:type="dxa"/>
            <w:vAlign w:val="bottom"/>
            <w:shd w:val="clear" w:color="auto" w:fill="D6515D"/>
          </w:tcPr>
          <w:p>
            <w:pPr>
              <w:spacing w:after="0"/>
              <w:rPr>
                <w:sz w:val="15"/>
                <w:szCs w:val="15"/>
                <w:color w:val="auto"/>
              </w:rPr>
            </w:pPr>
          </w:p>
        </w:tc>
        <w:tc>
          <w:tcPr>
            <w:tcW w:w="880" w:type="dxa"/>
            <w:vAlign w:val="bottom"/>
            <w:shd w:val="clear" w:color="auto" w:fill="D6515D"/>
          </w:tcPr>
          <w:p>
            <w:pPr>
              <w:jc w:val="center"/>
              <w:spacing w:after="0" w:line="183" w:lineRule="exact"/>
              <w:rPr>
                <w:sz w:val="20"/>
                <w:szCs w:val="20"/>
                <w:color w:val="auto"/>
              </w:rPr>
            </w:pPr>
            <w:r>
              <w:rPr>
                <w:rFonts w:ascii="Arial" w:cs="Arial" w:eastAsia="Arial" w:hAnsi="Arial"/>
                <w:sz w:val="16"/>
                <w:szCs w:val="16"/>
                <w:b w:val="1"/>
                <w:bCs w:val="1"/>
                <w:color w:val="FFFFFF"/>
                <w:w w:val="96"/>
              </w:rPr>
              <w:t>Corporate</w:t>
            </w:r>
          </w:p>
        </w:tc>
        <w:tc>
          <w:tcPr>
            <w:tcW w:w="240" w:type="dxa"/>
            <w:vAlign w:val="bottom"/>
            <w:shd w:val="clear" w:color="auto" w:fill="D6515D"/>
          </w:tcPr>
          <w:p>
            <w:pPr>
              <w:spacing w:after="0"/>
              <w:rPr>
                <w:sz w:val="15"/>
                <w:szCs w:val="15"/>
                <w:color w:val="auto"/>
              </w:rPr>
            </w:pPr>
          </w:p>
        </w:tc>
        <w:tc>
          <w:tcPr>
            <w:tcW w:w="680" w:type="dxa"/>
            <w:vAlign w:val="bottom"/>
            <w:shd w:val="clear" w:color="auto" w:fill="D6515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40" w:type="dxa"/>
            <w:vAlign w:val="bottom"/>
            <w:shd w:val="clear" w:color="auto" w:fill="D6515D"/>
          </w:tcPr>
          <w:p>
            <w:pPr>
              <w:spacing w:after="0"/>
              <w:rPr>
                <w:sz w:val="14"/>
                <w:szCs w:val="14"/>
                <w:color w:val="auto"/>
              </w:rPr>
            </w:pPr>
          </w:p>
        </w:tc>
        <w:tc>
          <w:tcPr>
            <w:tcW w:w="480" w:type="dxa"/>
            <w:vAlign w:val="bottom"/>
            <w:shd w:val="clear" w:color="auto" w:fill="D6515D"/>
          </w:tcPr>
          <w:p>
            <w:pPr>
              <w:spacing w:after="0"/>
              <w:rPr>
                <w:sz w:val="14"/>
                <w:szCs w:val="14"/>
                <w:color w:val="auto"/>
              </w:rPr>
            </w:pPr>
          </w:p>
        </w:tc>
        <w:tc>
          <w:tcPr>
            <w:tcW w:w="660" w:type="dxa"/>
            <w:vAlign w:val="bottom"/>
            <w:shd w:val="clear" w:color="auto" w:fill="D6515D"/>
          </w:tcPr>
          <w:p>
            <w:pPr>
              <w:spacing w:after="0"/>
              <w:rPr>
                <w:sz w:val="14"/>
                <w:szCs w:val="14"/>
                <w:color w:val="auto"/>
              </w:rPr>
            </w:pPr>
          </w:p>
        </w:tc>
        <w:tc>
          <w:tcPr>
            <w:tcW w:w="640" w:type="dxa"/>
            <w:vAlign w:val="bottom"/>
            <w:shd w:val="clear" w:color="auto" w:fill="D6515D"/>
          </w:tcPr>
          <w:p>
            <w:pPr>
              <w:spacing w:after="0"/>
              <w:rPr>
                <w:sz w:val="14"/>
                <w:szCs w:val="14"/>
                <w:color w:val="auto"/>
              </w:rPr>
            </w:pPr>
          </w:p>
        </w:tc>
        <w:tc>
          <w:tcPr>
            <w:tcW w:w="220" w:type="dxa"/>
            <w:vAlign w:val="bottom"/>
            <w:shd w:val="clear" w:color="auto" w:fill="D6515D"/>
          </w:tcPr>
          <w:p>
            <w:pPr>
              <w:spacing w:after="0"/>
              <w:rPr>
                <w:sz w:val="14"/>
                <w:szCs w:val="14"/>
                <w:color w:val="auto"/>
              </w:rPr>
            </w:pPr>
          </w:p>
        </w:tc>
        <w:tc>
          <w:tcPr>
            <w:tcW w:w="580" w:type="dxa"/>
            <w:vAlign w:val="bottom"/>
            <w:shd w:val="clear" w:color="auto" w:fill="D6515D"/>
          </w:tcPr>
          <w:p>
            <w:pPr>
              <w:spacing w:after="0"/>
              <w:rPr>
                <w:sz w:val="14"/>
                <w:szCs w:val="14"/>
                <w:color w:val="auto"/>
              </w:rPr>
            </w:pPr>
          </w:p>
        </w:tc>
        <w:tc>
          <w:tcPr>
            <w:tcW w:w="1000" w:type="dxa"/>
            <w:vAlign w:val="bottom"/>
            <w:shd w:val="clear" w:color="auto" w:fill="D6515D"/>
          </w:tcPr>
          <w:p>
            <w:pPr>
              <w:spacing w:after="0"/>
              <w:rPr>
                <w:sz w:val="14"/>
                <w:szCs w:val="14"/>
                <w:color w:val="auto"/>
              </w:rPr>
            </w:pPr>
          </w:p>
        </w:tc>
        <w:tc>
          <w:tcPr>
            <w:tcW w:w="100" w:type="dxa"/>
            <w:vAlign w:val="bottom"/>
            <w:shd w:val="clear" w:color="auto" w:fill="D6515D"/>
          </w:tcPr>
          <w:p>
            <w:pPr>
              <w:spacing w:after="0"/>
              <w:rPr>
                <w:sz w:val="14"/>
                <w:szCs w:val="14"/>
                <w:color w:val="auto"/>
              </w:rPr>
            </w:pPr>
          </w:p>
        </w:tc>
        <w:tc>
          <w:tcPr>
            <w:tcW w:w="960" w:type="dxa"/>
            <w:vAlign w:val="bottom"/>
            <w:shd w:val="clear" w:color="auto" w:fill="D6515D"/>
          </w:tcPr>
          <w:p>
            <w:pPr>
              <w:spacing w:after="0"/>
              <w:rPr>
                <w:sz w:val="14"/>
                <w:szCs w:val="14"/>
                <w:color w:val="auto"/>
              </w:rPr>
            </w:pPr>
          </w:p>
        </w:tc>
        <w:tc>
          <w:tcPr>
            <w:tcW w:w="1020" w:type="dxa"/>
            <w:vAlign w:val="bottom"/>
            <w:gridSpan w:val="2"/>
            <w:shd w:val="clear" w:color="auto" w:fill="D6515D"/>
          </w:tcPr>
          <w:p>
            <w:pPr>
              <w:ind w:left="100"/>
              <w:spacing w:after="0" w:line="170" w:lineRule="exact"/>
              <w:rPr>
                <w:sz w:val="20"/>
                <w:szCs w:val="20"/>
                <w:color w:val="auto"/>
              </w:rPr>
            </w:pPr>
            <w:r>
              <w:rPr>
                <w:rFonts w:ascii="Arial" w:cs="Arial" w:eastAsia="Arial" w:hAnsi="Arial"/>
                <w:sz w:val="16"/>
                <w:szCs w:val="16"/>
                <w:b w:val="1"/>
                <w:bCs w:val="1"/>
                <w:color w:val="FFFFFF"/>
                <w:w w:val="97"/>
              </w:rPr>
              <w:t>Governance</w:t>
            </w:r>
          </w:p>
        </w:tc>
        <w:tc>
          <w:tcPr>
            <w:tcW w:w="240" w:type="dxa"/>
            <w:vAlign w:val="bottom"/>
            <w:shd w:val="clear" w:color="auto" w:fill="D6515D"/>
          </w:tcPr>
          <w:p>
            <w:pPr>
              <w:spacing w:after="0"/>
              <w:rPr>
                <w:sz w:val="14"/>
                <w:szCs w:val="14"/>
                <w:color w:val="auto"/>
              </w:rPr>
            </w:pPr>
          </w:p>
        </w:tc>
        <w:tc>
          <w:tcPr>
            <w:tcW w:w="680" w:type="dxa"/>
            <w:vAlign w:val="bottom"/>
            <w:shd w:val="clear" w:color="auto" w:fill="D6515D"/>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tcBorders>
              <w:bottom w:val="single" w:sz="8" w:color="D6515D"/>
            </w:tcBorders>
            <w:shd w:val="clear" w:color="auto" w:fill="D6515D"/>
          </w:tcPr>
          <w:p>
            <w:pPr>
              <w:spacing w:after="0"/>
              <w:rPr>
                <w:sz w:val="18"/>
                <w:szCs w:val="18"/>
                <w:color w:val="auto"/>
              </w:rPr>
            </w:pPr>
          </w:p>
        </w:tc>
        <w:tc>
          <w:tcPr>
            <w:tcW w:w="480" w:type="dxa"/>
            <w:vAlign w:val="bottom"/>
            <w:tcBorders>
              <w:bottom w:val="single" w:sz="8" w:color="D6515D"/>
            </w:tcBorders>
            <w:shd w:val="clear" w:color="auto" w:fill="D6515D"/>
          </w:tcPr>
          <w:p>
            <w:pPr>
              <w:spacing w:after="0"/>
              <w:rPr>
                <w:sz w:val="18"/>
                <w:szCs w:val="18"/>
                <w:color w:val="auto"/>
              </w:rPr>
            </w:pPr>
          </w:p>
        </w:tc>
        <w:tc>
          <w:tcPr>
            <w:tcW w:w="660" w:type="dxa"/>
            <w:vAlign w:val="bottom"/>
            <w:tcBorders>
              <w:bottom w:val="single" w:sz="8" w:color="D6515D"/>
            </w:tcBorders>
            <w:shd w:val="clear" w:color="auto" w:fill="D6515D"/>
          </w:tcPr>
          <w:p>
            <w:pPr>
              <w:spacing w:after="0"/>
              <w:rPr>
                <w:sz w:val="18"/>
                <w:szCs w:val="18"/>
                <w:color w:val="auto"/>
              </w:rPr>
            </w:pPr>
          </w:p>
        </w:tc>
        <w:tc>
          <w:tcPr>
            <w:tcW w:w="640" w:type="dxa"/>
            <w:vAlign w:val="bottom"/>
            <w:tcBorders>
              <w:bottom w:val="single" w:sz="8" w:color="D6515D"/>
            </w:tcBorders>
            <w:shd w:val="clear" w:color="auto" w:fill="D6515D"/>
          </w:tcPr>
          <w:p>
            <w:pPr>
              <w:spacing w:after="0"/>
              <w:rPr>
                <w:sz w:val="18"/>
                <w:szCs w:val="18"/>
                <w:color w:val="auto"/>
              </w:rPr>
            </w:pPr>
          </w:p>
        </w:tc>
        <w:tc>
          <w:tcPr>
            <w:tcW w:w="220" w:type="dxa"/>
            <w:vAlign w:val="bottom"/>
            <w:tcBorders>
              <w:bottom w:val="single" w:sz="8" w:color="D6515D"/>
            </w:tcBorders>
            <w:shd w:val="clear" w:color="auto" w:fill="D6515D"/>
          </w:tcPr>
          <w:p>
            <w:pPr>
              <w:spacing w:after="0"/>
              <w:rPr>
                <w:sz w:val="18"/>
                <w:szCs w:val="18"/>
                <w:color w:val="auto"/>
              </w:rPr>
            </w:pPr>
          </w:p>
        </w:tc>
        <w:tc>
          <w:tcPr>
            <w:tcW w:w="580" w:type="dxa"/>
            <w:vAlign w:val="bottom"/>
            <w:tcBorders>
              <w:bottom w:val="single" w:sz="8" w:color="D6515D"/>
            </w:tcBorders>
            <w:shd w:val="clear" w:color="auto" w:fill="D6515D"/>
          </w:tcPr>
          <w:p>
            <w:pPr>
              <w:spacing w:after="0"/>
              <w:rPr>
                <w:sz w:val="18"/>
                <w:szCs w:val="18"/>
                <w:color w:val="auto"/>
              </w:rPr>
            </w:pPr>
          </w:p>
        </w:tc>
        <w:tc>
          <w:tcPr>
            <w:tcW w:w="1000" w:type="dxa"/>
            <w:vAlign w:val="bottom"/>
            <w:tcBorders>
              <w:bottom w:val="single" w:sz="8" w:color="D6515D"/>
            </w:tcBorders>
            <w:shd w:val="clear" w:color="auto" w:fill="D6515D"/>
          </w:tcPr>
          <w:p>
            <w:pPr>
              <w:spacing w:after="0"/>
              <w:rPr>
                <w:sz w:val="18"/>
                <w:szCs w:val="18"/>
                <w:color w:val="auto"/>
              </w:rPr>
            </w:pPr>
          </w:p>
        </w:tc>
        <w:tc>
          <w:tcPr>
            <w:tcW w:w="100" w:type="dxa"/>
            <w:vAlign w:val="bottom"/>
            <w:tcBorders>
              <w:bottom w:val="single" w:sz="8" w:color="D6515D"/>
            </w:tcBorders>
            <w:shd w:val="clear" w:color="auto" w:fill="D6515D"/>
          </w:tcPr>
          <w:p>
            <w:pPr>
              <w:spacing w:after="0"/>
              <w:rPr>
                <w:sz w:val="18"/>
                <w:szCs w:val="18"/>
                <w:color w:val="auto"/>
              </w:rPr>
            </w:pPr>
          </w:p>
        </w:tc>
        <w:tc>
          <w:tcPr>
            <w:tcW w:w="960" w:type="dxa"/>
            <w:vAlign w:val="bottom"/>
            <w:tcBorders>
              <w:bottom w:val="single" w:sz="8" w:color="D6515D"/>
            </w:tcBorders>
            <w:shd w:val="clear" w:color="auto" w:fill="D6515D"/>
          </w:tcPr>
          <w:p>
            <w:pPr>
              <w:spacing w:after="0"/>
              <w:rPr>
                <w:sz w:val="18"/>
                <w:szCs w:val="18"/>
                <w:color w:val="auto"/>
              </w:rPr>
            </w:pPr>
          </w:p>
        </w:tc>
        <w:tc>
          <w:tcPr>
            <w:tcW w:w="140" w:type="dxa"/>
            <w:vAlign w:val="bottom"/>
            <w:tcBorders>
              <w:bottom w:val="single" w:sz="8" w:color="D6515D"/>
            </w:tcBorders>
            <w:shd w:val="clear" w:color="auto" w:fill="D6515D"/>
          </w:tcPr>
          <w:p>
            <w:pPr>
              <w:spacing w:after="0"/>
              <w:rPr>
                <w:sz w:val="18"/>
                <w:szCs w:val="18"/>
                <w:color w:val="auto"/>
              </w:rPr>
            </w:pPr>
          </w:p>
        </w:tc>
        <w:tc>
          <w:tcPr>
            <w:tcW w:w="880" w:type="dxa"/>
            <w:vAlign w:val="bottom"/>
            <w:tcBorders>
              <w:bottom w:val="single" w:sz="8" w:color="D6515D"/>
            </w:tcBorders>
            <w:shd w:val="clear" w:color="auto" w:fill="D6515D"/>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240" w:type="dxa"/>
            <w:vAlign w:val="bottom"/>
            <w:tcBorders>
              <w:bottom w:val="single" w:sz="8" w:color="D6515D"/>
            </w:tcBorders>
            <w:shd w:val="clear" w:color="auto" w:fill="D6515D"/>
          </w:tcPr>
          <w:p>
            <w:pPr>
              <w:spacing w:after="0"/>
              <w:rPr>
                <w:sz w:val="18"/>
                <w:szCs w:val="18"/>
                <w:color w:val="auto"/>
              </w:rPr>
            </w:pPr>
          </w:p>
        </w:tc>
        <w:tc>
          <w:tcPr>
            <w:tcW w:w="680" w:type="dxa"/>
            <w:vAlign w:val="bottom"/>
            <w:tcBorders>
              <w:bottom w:val="single" w:sz="8" w:color="D6515D"/>
            </w:tcBorders>
            <w:shd w:val="clear" w:color="auto" w:fill="D6515D"/>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Class I Directors</w:t>
            </w: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vMerge w:val="restart"/>
          </w:tcPr>
          <w:p>
            <w:pPr>
              <w:ind w:left="18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7"/>
        </w:trPr>
        <w:tc>
          <w:tcPr>
            <w:tcW w:w="2540" w:type="dxa"/>
            <w:vAlign w:val="bottom"/>
            <w:vMerge w:val="restart"/>
          </w:tcPr>
          <w:p>
            <w:pPr>
              <w:ind w:left="80"/>
              <w:spacing w:after="0"/>
              <w:rPr>
                <w:sz w:val="20"/>
                <w:szCs w:val="20"/>
                <w:color w:val="auto"/>
              </w:rPr>
            </w:pPr>
            <w:r>
              <w:rPr>
                <w:rFonts w:ascii="Arial" w:cs="Arial" w:eastAsia="Arial" w:hAnsi="Arial"/>
                <w:sz w:val="17"/>
                <w:szCs w:val="17"/>
                <w:color w:val="auto"/>
              </w:rPr>
              <w:t>Johanna Flower</w:t>
            </w:r>
          </w:p>
        </w:tc>
        <w:tc>
          <w:tcPr>
            <w:tcW w:w="1780" w:type="dxa"/>
            <w:vAlign w:val="bottom"/>
            <w:gridSpan w:val="3"/>
            <w:vMerge w:val="restart"/>
          </w:tcPr>
          <w:p>
            <w:pPr>
              <w:jc w:val="right"/>
              <w:ind w:right="19"/>
              <w:spacing w:after="0"/>
              <w:rPr>
                <w:sz w:val="20"/>
                <w:szCs w:val="20"/>
                <w:color w:val="auto"/>
              </w:rPr>
            </w:pPr>
            <w:r>
              <w:rPr>
                <w:rFonts w:ascii="Arial" w:cs="Arial" w:eastAsia="Arial" w:hAnsi="Arial"/>
                <w:sz w:val="17"/>
                <w:szCs w:val="17"/>
                <w:color w:val="auto"/>
              </w:rPr>
              <w:t>​51 ​1/2023 ​ 2026</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ind w:left="420"/>
              <w:spacing w:after="0"/>
              <w:rPr>
                <w:sz w:val="20"/>
                <w:szCs w:val="20"/>
                <w:color w:val="auto"/>
              </w:rPr>
            </w:pPr>
            <w:r>
              <w:rPr>
                <w:rFonts w:ascii="Arial" w:cs="Arial" w:eastAsia="Arial" w:hAnsi="Arial"/>
                <w:sz w:val="17"/>
                <w:szCs w:val="17"/>
                <w:color w:val="auto"/>
              </w:rPr>
              <w:t>​</w:t>
            </w:r>
          </w:p>
        </w:tc>
        <w:tc>
          <w:tcPr>
            <w:tcW w:w="24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540" w:type="dxa"/>
            <w:vAlign w:val="bottom"/>
            <w:vMerge w:val="continue"/>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14"/>
        </w:trPr>
        <w:tc>
          <w:tcPr>
            <w:tcW w:w="2540" w:type="dxa"/>
            <w:vAlign w:val="bottom"/>
            <w:tcBorders>
              <w:bottom w:val="single" w:sz="8" w:color="6B6B6B"/>
            </w:tcBorders>
          </w:tcPr>
          <w:p>
            <w:pPr>
              <w:spacing w:after="0"/>
              <w:rPr>
                <w:sz w:val="9"/>
                <w:szCs w:val="9"/>
                <w:color w:val="auto"/>
              </w:rPr>
            </w:pPr>
          </w:p>
        </w:tc>
        <w:tc>
          <w:tcPr>
            <w:tcW w:w="480" w:type="dxa"/>
            <w:vAlign w:val="bottom"/>
            <w:tcBorders>
              <w:bottom w:val="single" w:sz="8" w:color="6B6B6B"/>
            </w:tcBorders>
          </w:tcPr>
          <w:p>
            <w:pPr>
              <w:spacing w:after="0"/>
              <w:rPr>
                <w:sz w:val="9"/>
                <w:szCs w:val="9"/>
                <w:color w:val="auto"/>
              </w:rPr>
            </w:pPr>
          </w:p>
        </w:tc>
        <w:tc>
          <w:tcPr>
            <w:tcW w:w="660" w:type="dxa"/>
            <w:vAlign w:val="bottom"/>
            <w:tcBorders>
              <w:bottom w:val="single" w:sz="8" w:color="6B6B6B"/>
            </w:tcBorders>
          </w:tcPr>
          <w:p>
            <w:pPr>
              <w:spacing w:after="0"/>
              <w:rPr>
                <w:sz w:val="9"/>
                <w:szCs w:val="9"/>
                <w:color w:val="auto"/>
              </w:rPr>
            </w:pPr>
          </w:p>
        </w:tc>
        <w:tc>
          <w:tcPr>
            <w:tcW w:w="640" w:type="dxa"/>
            <w:vAlign w:val="bottom"/>
            <w:tcBorders>
              <w:bottom w:val="single" w:sz="8" w:color="6B6B6B"/>
            </w:tcBorders>
          </w:tcPr>
          <w:p>
            <w:pPr>
              <w:spacing w:after="0"/>
              <w:rPr>
                <w:sz w:val="9"/>
                <w:szCs w:val="9"/>
                <w:color w:val="auto"/>
              </w:rPr>
            </w:pPr>
          </w:p>
        </w:tc>
        <w:tc>
          <w:tcPr>
            <w:tcW w:w="220" w:type="dxa"/>
            <w:vAlign w:val="bottom"/>
            <w:tcBorders>
              <w:bottom w:val="single" w:sz="8" w:color="6B6B6B"/>
            </w:tcBorders>
          </w:tcPr>
          <w:p>
            <w:pPr>
              <w:spacing w:after="0"/>
              <w:rPr>
                <w:sz w:val="9"/>
                <w:szCs w:val="9"/>
                <w:color w:val="auto"/>
              </w:rPr>
            </w:pPr>
          </w:p>
        </w:tc>
        <w:tc>
          <w:tcPr>
            <w:tcW w:w="580" w:type="dxa"/>
            <w:vAlign w:val="bottom"/>
            <w:tcBorders>
              <w:bottom w:val="single" w:sz="8" w:color="6B6B6B"/>
            </w:tcBorders>
          </w:tcPr>
          <w:p>
            <w:pPr>
              <w:spacing w:after="0"/>
              <w:rPr>
                <w:sz w:val="9"/>
                <w:szCs w:val="9"/>
                <w:color w:val="auto"/>
              </w:rPr>
            </w:pPr>
          </w:p>
        </w:tc>
        <w:tc>
          <w:tcPr>
            <w:tcW w:w="1000" w:type="dxa"/>
            <w:vAlign w:val="bottom"/>
            <w:tcBorders>
              <w:bottom w:val="single" w:sz="8" w:color="6B6B6B"/>
            </w:tcBorders>
          </w:tcPr>
          <w:p>
            <w:pPr>
              <w:spacing w:after="0"/>
              <w:rPr>
                <w:sz w:val="9"/>
                <w:szCs w:val="9"/>
                <w:color w:val="auto"/>
              </w:rPr>
            </w:pPr>
          </w:p>
        </w:tc>
        <w:tc>
          <w:tcPr>
            <w:tcW w:w="100" w:type="dxa"/>
            <w:vAlign w:val="bottom"/>
            <w:tcBorders>
              <w:bottom w:val="single" w:sz="8" w:color="6B6B6B"/>
            </w:tcBorders>
          </w:tcPr>
          <w:p>
            <w:pPr>
              <w:spacing w:after="0"/>
              <w:rPr>
                <w:sz w:val="9"/>
                <w:szCs w:val="9"/>
                <w:color w:val="auto"/>
              </w:rPr>
            </w:pPr>
          </w:p>
        </w:tc>
        <w:tc>
          <w:tcPr>
            <w:tcW w:w="960" w:type="dxa"/>
            <w:vAlign w:val="bottom"/>
            <w:tcBorders>
              <w:bottom w:val="single" w:sz="8" w:color="6B6B6B"/>
            </w:tcBorders>
          </w:tcPr>
          <w:p>
            <w:pPr>
              <w:spacing w:after="0"/>
              <w:rPr>
                <w:sz w:val="9"/>
                <w:szCs w:val="9"/>
                <w:color w:val="auto"/>
              </w:rPr>
            </w:pPr>
          </w:p>
        </w:tc>
        <w:tc>
          <w:tcPr>
            <w:tcW w:w="140" w:type="dxa"/>
            <w:vAlign w:val="bottom"/>
            <w:tcBorders>
              <w:bottom w:val="single" w:sz="8" w:color="6B6B6B"/>
            </w:tcBorders>
          </w:tcPr>
          <w:p>
            <w:pPr>
              <w:spacing w:after="0"/>
              <w:rPr>
                <w:sz w:val="9"/>
                <w:szCs w:val="9"/>
                <w:color w:val="auto"/>
              </w:rPr>
            </w:pPr>
          </w:p>
        </w:tc>
        <w:tc>
          <w:tcPr>
            <w:tcW w:w="880" w:type="dxa"/>
            <w:vAlign w:val="bottom"/>
            <w:tcBorders>
              <w:bottom w:val="single" w:sz="8" w:color="6B6B6B"/>
            </w:tcBorders>
          </w:tcPr>
          <w:p>
            <w:pPr>
              <w:spacing w:after="0"/>
              <w:rPr>
                <w:sz w:val="9"/>
                <w:szCs w:val="9"/>
                <w:color w:val="auto"/>
              </w:rPr>
            </w:pPr>
          </w:p>
        </w:tc>
        <w:tc>
          <w:tcPr>
            <w:tcW w:w="240" w:type="dxa"/>
            <w:vAlign w:val="bottom"/>
            <w:tcBorders>
              <w:bottom w:val="single" w:sz="8" w:color="6B6B6B"/>
            </w:tcBorders>
          </w:tcPr>
          <w:p>
            <w:pPr>
              <w:spacing w:after="0"/>
              <w:rPr>
                <w:sz w:val="9"/>
                <w:szCs w:val="9"/>
                <w:color w:val="auto"/>
              </w:rPr>
            </w:pPr>
          </w:p>
        </w:tc>
        <w:tc>
          <w:tcPr>
            <w:tcW w:w="680" w:type="dxa"/>
            <w:vAlign w:val="bottom"/>
            <w:tcBorders>
              <w:bottom w:val="single" w:sz="8" w:color="6B6B6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Denis J. O’Leary</w:t>
            </w:r>
          </w:p>
        </w:tc>
        <w:tc>
          <w:tcPr>
            <w:tcW w:w="480" w:type="dxa"/>
            <w:vAlign w:val="bottom"/>
          </w:tcPr>
          <w:p>
            <w:pPr>
              <w:ind w:left="200"/>
              <w:spacing w:after="0"/>
              <w:rPr>
                <w:sz w:val="20"/>
                <w:szCs w:val="20"/>
                <w:color w:val="auto"/>
              </w:rPr>
            </w:pPr>
            <w:r>
              <w:rPr>
                <w:rFonts w:ascii="Arial" w:cs="Arial" w:eastAsia="Arial" w:hAnsi="Arial"/>
                <w:sz w:val="17"/>
                <w:szCs w:val="17"/>
                <w:color w:val="auto"/>
              </w:rPr>
              <w:t>​69</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​12/2011 ​ 2026</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1300" w:type="dxa"/>
            <w:vAlign w:val="bottom"/>
            <w:tcBorders>
              <w:bottom w:val="single" w:sz="8" w:color="6B6B6B"/>
            </w:tcBorders>
            <w:gridSpan w:val="2"/>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Godfrey R. Sullivan</w:t>
            </w:r>
          </w:p>
        </w:tc>
        <w:tc>
          <w:tcPr>
            <w:tcW w:w="480" w:type="dxa"/>
            <w:vAlign w:val="bottom"/>
          </w:tcPr>
          <w:p>
            <w:pPr>
              <w:ind w:left="200"/>
              <w:spacing w:after="0"/>
              <w:rPr>
                <w:sz w:val="20"/>
                <w:szCs w:val="20"/>
                <w:color w:val="auto"/>
              </w:rPr>
            </w:pPr>
            <w:r>
              <w:rPr>
                <w:rFonts w:ascii="Arial" w:cs="Arial" w:eastAsia="Arial" w:hAnsi="Arial"/>
                <w:sz w:val="17"/>
                <w:szCs w:val="17"/>
                <w:color w:val="auto"/>
              </w:rPr>
              <w:t>​72</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​12/2017 ​ 2026</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660" w:type="dxa"/>
            <w:vAlign w:val="bottom"/>
            <w:tcBorders>
              <w:bottom w:val="single" w:sz="8" w:color="6B6B6B"/>
            </w:tcBorders>
          </w:tcPr>
          <w:p>
            <w:pPr>
              <w:spacing w:after="0"/>
              <w:rPr>
                <w:sz w:val="8"/>
                <w:szCs w:val="8"/>
                <w:color w:val="auto"/>
              </w:rPr>
            </w:pPr>
          </w:p>
        </w:tc>
        <w:tc>
          <w:tcPr>
            <w:tcW w:w="640" w:type="dxa"/>
            <w:vAlign w:val="bottom"/>
            <w:tcBorders>
              <w:bottom w:val="single" w:sz="8" w:color="6B6B6B"/>
            </w:tcBorders>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Class II Directors</w:t>
            </w:r>
          </w:p>
        </w:tc>
        <w:tc>
          <w:tcPr>
            <w:tcW w:w="480" w:type="dxa"/>
            <w:vAlign w:val="bottom"/>
          </w:tcPr>
          <w:p>
            <w:pPr>
              <w:ind w:left="200"/>
              <w:spacing w:after="0"/>
              <w:rPr>
                <w:sz w:val="20"/>
                <w:szCs w:val="20"/>
                <w:color w:val="auto"/>
              </w:rPr>
            </w:pPr>
            <w:r>
              <w:rPr>
                <w:rFonts w:ascii="Arial" w:cs="Arial" w:eastAsia="Arial" w:hAnsi="Arial"/>
                <w:sz w:val="17"/>
                <w:szCs w:val="17"/>
                <w:b w:val="1"/>
                <w:bCs w:val="1"/>
                <w:color w:val="auto"/>
              </w:rPr>
              <w:t>​ ​</w:t>
            </w:r>
          </w:p>
        </w:tc>
        <w:tc>
          <w:tcPr>
            <w:tcW w:w="66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159"/>
              <w:spacing w:after="0"/>
              <w:rPr>
                <w:sz w:val="20"/>
                <w:szCs w:val="20"/>
                <w:color w:val="auto"/>
              </w:rPr>
            </w:pPr>
            <w:r>
              <w:rPr>
                <w:rFonts w:ascii="Arial" w:cs="Arial" w:eastAsia="Arial" w:hAnsi="Arial"/>
                <w:sz w:val="17"/>
                <w:szCs w:val="17"/>
                <w:b w:val="1"/>
                <w:bCs w:val="1"/>
                <w:color w:val="auto"/>
              </w:rPr>
              <w:t>​   ​</w:t>
            </w:r>
          </w:p>
        </w:tc>
        <w:tc>
          <w:tcPr>
            <w:tcW w:w="22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ind w:left="4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ind w:left="8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540" w:type="dxa"/>
            <w:vAlign w:val="bottom"/>
          </w:tcPr>
          <w:p>
            <w:pPr>
              <w:ind w:left="80"/>
              <w:spacing w:after="0"/>
              <w:rPr>
                <w:sz w:val="20"/>
                <w:szCs w:val="20"/>
                <w:color w:val="auto"/>
              </w:rPr>
            </w:pPr>
            <w:r>
              <w:rPr>
                <w:rFonts w:ascii="Arial" w:cs="Arial" w:eastAsia="Arial" w:hAnsi="Arial"/>
                <w:sz w:val="17"/>
                <w:szCs w:val="17"/>
                <w:color w:val="auto"/>
              </w:rPr>
              <w:t>Roxanne S. Austin</w:t>
            </w:r>
          </w:p>
        </w:tc>
        <w:tc>
          <w:tcPr>
            <w:tcW w:w="480" w:type="dxa"/>
            <w:vAlign w:val="bottom"/>
          </w:tcPr>
          <w:p>
            <w:pPr>
              <w:ind w:left="200"/>
              <w:spacing w:after="0"/>
              <w:rPr>
                <w:sz w:val="20"/>
                <w:szCs w:val="20"/>
                <w:color w:val="auto"/>
              </w:rPr>
            </w:pPr>
            <w:r>
              <w:rPr>
                <w:rFonts w:ascii="Arial" w:cs="Arial" w:eastAsia="Arial" w:hAnsi="Arial"/>
                <w:sz w:val="17"/>
                <w:szCs w:val="17"/>
                <w:color w:val="auto"/>
              </w:rPr>
              <w:t>​65</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 9/2018 ​ 2027</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3"/>
                <w:szCs w:val="23"/>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540" w:type="dxa"/>
            <w:vAlign w:val="bottom"/>
            <w:tcBorders>
              <w:bottom w:val="single" w:sz="8" w:color="6B6B6B"/>
            </w:tcBorders>
          </w:tcPr>
          <w:p>
            <w:pPr>
              <w:ind w:left="80"/>
              <w:spacing w:after="0"/>
              <w:rPr>
                <w:sz w:val="20"/>
                <w:szCs w:val="20"/>
                <w:color w:val="auto"/>
              </w:rPr>
            </w:pPr>
            <w:r>
              <w:rPr>
                <w:rFonts w:ascii="Arial" w:cs="Arial" w:eastAsia="Arial" w:hAnsi="Arial"/>
                <w:sz w:val="17"/>
                <w:szCs w:val="17"/>
                <w:color w:val="auto"/>
              </w:rPr>
              <w:t> </w:t>
            </w:r>
          </w:p>
        </w:tc>
        <w:tc>
          <w:tcPr>
            <w:tcW w:w="480" w:type="dxa"/>
            <w:vAlign w:val="bottom"/>
            <w:tcBorders>
              <w:bottom w:val="single" w:sz="8" w:color="6B6B6B"/>
            </w:tcBorders>
          </w:tcPr>
          <w:p>
            <w:pPr>
              <w:spacing w:after="0"/>
              <w:rPr>
                <w:sz w:val="21"/>
                <w:szCs w:val="21"/>
                <w:color w:val="auto"/>
              </w:rPr>
            </w:pPr>
          </w:p>
        </w:tc>
        <w:tc>
          <w:tcPr>
            <w:tcW w:w="660" w:type="dxa"/>
            <w:vAlign w:val="bottom"/>
            <w:tcBorders>
              <w:bottom w:val="single" w:sz="8" w:color="6B6B6B"/>
            </w:tcBorders>
          </w:tcPr>
          <w:p>
            <w:pPr>
              <w:spacing w:after="0"/>
              <w:rPr>
                <w:sz w:val="21"/>
                <w:szCs w:val="21"/>
                <w:color w:val="auto"/>
              </w:rPr>
            </w:pPr>
          </w:p>
        </w:tc>
        <w:tc>
          <w:tcPr>
            <w:tcW w:w="640" w:type="dxa"/>
            <w:vAlign w:val="bottom"/>
            <w:tcBorders>
              <w:bottom w:val="single" w:sz="8" w:color="6B6B6B"/>
            </w:tcBorders>
          </w:tcPr>
          <w:p>
            <w:pPr>
              <w:spacing w:after="0"/>
              <w:rPr>
                <w:sz w:val="21"/>
                <w:szCs w:val="21"/>
                <w:color w:val="auto"/>
              </w:rPr>
            </w:pPr>
          </w:p>
        </w:tc>
        <w:tc>
          <w:tcPr>
            <w:tcW w:w="220" w:type="dxa"/>
            <w:vAlign w:val="bottom"/>
            <w:tcBorders>
              <w:bottom w:val="single" w:sz="8" w:color="6B6B6B"/>
            </w:tcBorders>
          </w:tcPr>
          <w:p>
            <w:pPr>
              <w:spacing w:after="0"/>
              <w:rPr>
                <w:sz w:val="21"/>
                <w:szCs w:val="21"/>
                <w:color w:val="auto"/>
              </w:rPr>
            </w:pPr>
          </w:p>
        </w:tc>
        <w:tc>
          <w:tcPr>
            <w:tcW w:w="580" w:type="dxa"/>
            <w:vAlign w:val="bottom"/>
            <w:tcBorders>
              <w:bottom w:val="single" w:sz="8" w:color="6B6B6B"/>
            </w:tcBorders>
          </w:tcPr>
          <w:p>
            <w:pPr>
              <w:spacing w:after="0"/>
              <w:rPr>
                <w:sz w:val="21"/>
                <w:szCs w:val="21"/>
                <w:color w:val="auto"/>
              </w:rPr>
            </w:pPr>
          </w:p>
        </w:tc>
        <w:tc>
          <w:tcPr>
            <w:tcW w:w="1000" w:type="dxa"/>
            <w:vAlign w:val="bottom"/>
            <w:tcBorders>
              <w:bottom w:val="single" w:sz="8" w:color="6B6B6B"/>
            </w:tcBorders>
          </w:tcPr>
          <w:p>
            <w:pPr>
              <w:spacing w:after="0"/>
              <w:rPr>
                <w:sz w:val="21"/>
                <w:szCs w:val="21"/>
                <w:color w:val="auto"/>
              </w:rPr>
            </w:pPr>
          </w:p>
        </w:tc>
        <w:tc>
          <w:tcPr>
            <w:tcW w:w="100" w:type="dxa"/>
            <w:vAlign w:val="bottom"/>
            <w:tcBorders>
              <w:bottom w:val="single" w:sz="8" w:color="6B6B6B"/>
            </w:tcBorders>
          </w:tcPr>
          <w:p>
            <w:pPr>
              <w:spacing w:after="0"/>
              <w:rPr>
                <w:sz w:val="21"/>
                <w:szCs w:val="21"/>
                <w:color w:val="auto"/>
              </w:rPr>
            </w:pPr>
          </w:p>
        </w:tc>
        <w:tc>
          <w:tcPr>
            <w:tcW w:w="960" w:type="dxa"/>
            <w:vAlign w:val="bottom"/>
            <w:tcBorders>
              <w:bottom w:val="single" w:sz="8" w:color="6B6B6B"/>
            </w:tcBorders>
          </w:tcPr>
          <w:p>
            <w:pPr>
              <w:spacing w:after="0"/>
              <w:rPr>
                <w:sz w:val="21"/>
                <w:szCs w:val="21"/>
                <w:color w:val="auto"/>
              </w:rPr>
            </w:pPr>
          </w:p>
        </w:tc>
        <w:tc>
          <w:tcPr>
            <w:tcW w:w="140" w:type="dxa"/>
            <w:vAlign w:val="bottom"/>
            <w:tcBorders>
              <w:bottom w:val="single" w:sz="8" w:color="6B6B6B"/>
            </w:tcBorders>
          </w:tcPr>
          <w:p>
            <w:pPr>
              <w:spacing w:after="0"/>
              <w:rPr>
                <w:sz w:val="21"/>
                <w:szCs w:val="21"/>
                <w:color w:val="auto"/>
              </w:rPr>
            </w:pPr>
          </w:p>
        </w:tc>
        <w:tc>
          <w:tcPr>
            <w:tcW w:w="880" w:type="dxa"/>
            <w:vAlign w:val="bottom"/>
            <w:tcBorders>
              <w:bottom w:val="single" w:sz="8" w:color="6B6B6B"/>
            </w:tcBorders>
          </w:tcPr>
          <w:p>
            <w:pPr>
              <w:spacing w:after="0"/>
              <w:rPr>
                <w:sz w:val="21"/>
                <w:szCs w:val="21"/>
                <w:color w:val="auto"/>
              </w:rPr>
            </w:pPr>
          </w:p>
        </w:tc>
        <w:tc>
          <w:tcPr>
            <w:tcW w:w="240" w:type="dxa"/>
            <w:vAlign w:val="bottom"/>
            <w:tcBorders>
              <w:bottom w:val="single" w:sz="8" w:color="6B6B6B"/>
            </w:tcBorders>
          </w:tcPr>
          <w:p>
            <w:pPr>
              <w:spacing w:after="0"/>
              <w:rPr>
                <w:sz w:val="21"/>
                <w:szCs w:val="21"/>
                <w:color w:val="auto"/>
              </w:rPr>
            </w:pPr>
          </w:p>
        </w:tc>
        <w:tc>
          <w:tcPr>
            <w:tcW w:w="680" w:type="dxa"/>
            <w:vAlign w:val="bottom"/>
            <w:tcBorders>
              <w:bottom w:val="single" w:sz="8" w:color="6B6B6B"/>
            </w:tcBorders>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Sameer K. Gandhi</w:t>
            </w:r>
          </w:p>
        </w:tc>
        <w:tc>
          <w:tcPr>
            <w:tcW w:w="480" w:type="dxa"/>
            <w:vAlign w:val="bottom"/>
          </w:tcPr>
          <w:p>
            <w:pPr>
              <w:ind w:left="200"/>
              <w:spacing w:after="0"/>
              <w:rPr>
                <w:sz w:val="20"/>
                <w:szCs w:val="20"/>
                <w:color w:val="auto"/>
              </w:rPr>
            </w:pPr>
            <w:r>
              <w:rPr>
                <w:rFonts w:ascii="Arial" w:cs="Arial" w:eastAsia="Arial" w:hAnsi="Arial"/>
                <w:sz w:val="17"/>
                <w:szCs w:val="17"/>
                <w:color w:val="auto"/>
              </w:rPr>
              <w:t>​60</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 8/2013 ​ 2027</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1300" w:type="dxa"/>
            <w:vAlign w:val="bottom"/>
            <w:tcBorders>
              <w:bottom w:val="single" w:sz="8" w:color="6B6B6B"/>
            </w:tcBorders>
            <w:gridSpan w:val="2"/>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540" w:type="dxa"/>
            <w:vAlign w:val="bottom"/>
          </w:tcPr>
          <w:p>
            <w:pPr>
              <w:ind w:left="80"/>
              <w:spacing w:after="0"/>
              <w:rPr>
                <w:sz w:val="20"/>
                <w:szCs w:val="20"/>
                <w:color w:val="auto"/>
              </w:rPr>
            </w:pPr>
            <w:r>
              <w:rPr>
                <w:rFonts w:ascii="Arial" w:cs="Arial" w:eastAsia="Arial" w:hAnsi="Arial"/>
                <w:sz w:val="17"/>
                <w:szCs w:val="17"/>
                <w:color w:val="auto"/>
              </w:rPr>
              <w:t xml:space="preserve">Gerhard Watzinger, </w:t>
            </w:r>
            <w:r>
              <w:rPr>
                <w:rFonts w:ascii="Arial" w:cs="Arial" w:eastAsia="Arial" w:hAnsi="Arial"/>
                <w:sz w:val="17"/>
                <w:szCs w:val="17"/>
                <w:i w:val="1"/>
                <w:iCs w:val="1"/>
                <w:color w:val="auto"/>
              </w:rPr>
              <w:t>Chairman</w:t>
            </w:r>
          </w:p>
        </w:tc>
        <w:tc>
          <w:tcPr>
            <w:tcW w:w="480" w:type="dxa"/>
            <w:vAlign w:val="bottom"/>
          </w:tcPr>
          <w:p>
            <w:pPr>
              <w:ind w:left="200"/>
              <w:spacing w:after="0"/>
              <w:rPr>
                <w:sz w:val="20"/>
                <w:szCs w:val="20"/>
                <w:color w:val="auto"/>
              </w:rPr>
            </w:pPr>
            <w:r>
              <w:rPr>
                <w:rFonts w:ascii="Arial" w:cs="Arial" w:eastAsia="Arial" w:hAnsi="Arial"/>
                <w:sz w:val="17"/>
                <w:szCs w:val="17"/>
                <w:color w:val="auto"/>
              </w:rPr>
              <w:t>​65</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 4/2012 ​ 2027</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660" w:type="dxa"/>
            <w:vAlign w:val="bottom"/>
            <w:tcBorders>
              <w:bottom w:val="single" w:sz="8" w:color="6B6B6B"/>
            </w:tcBorders>
          </w:tcPr>
          <w:p>
            <w:pPr>
              <w:spacing w:after="0"/>
              <w:rPr>
                <w:sz w:val="8"/>
                <w:szCs w:val="8"/>
                <w:color w:val="auto"/>
              </w:rPr>
            </w:pPr>
          </w:p>
        </w:tc>
        <w:tc>
          <w:tcPr>
            <w:tcW w:w="640" w:type="dxa"/>
            <w:vAlign w:val="bottom"/>
            <w:tcBorders>
              <w:bottom w:val="single" w:sz="8" w:color="6B6B6B"/>
            </w:tcBorders>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Class III Directors</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540" w:type="dxa"/>
            <w:vAlign w:val="bottom"/>
          </w:tcPr>
          <w:p>
            <w:pPr>
              <w:ind w:left="80"/>
              <w:spacing w:after="0"/>
              <w:rPr>
                <w:sz w:val="20"/>
                <w:szCs w:val="20"/>
                <w:color w:val="auto"/>
              </w:rPr>
            </w:pPr>
            <w:r>
              <w:rPr>
                <w:rFonts w:ascii="Arial" w:cs="Arial" w:eastAsia="Arial" w:hAnsi="Arial"/>
                <w:sz w:val="17"/>
                <w:szCs w:val="17"/>
                <w:color w:val="auto"/>
              </w:rPr>
              <w:t>Cary J. Davis</w:t>
            </w:r>
          </w:p>
        </w:tc>
        <w:tc>
          <w:tcPr>
            <w:tcW w:w="1780" w:type="dxa"/>
            <w:vAlign w:val="bottom"/>
            <w:gridSpan w:val="3"/>
          </w:tcPr>
          <w:p>
            <w:pPr>
              <w:jc w:val="right"/>
              <w:ind w:right="19"/>
              <w:spacing w:after="0"/>
              <w:rPr>
                <w:sz w:val="20"/>
                <w:szCs w:val="20"/>
                <w:color w:val="auto"/>
              </w:rPr>
            </w:pPr>
            <w:r>
              <w:rPr>
                <w:rFonts w:ascii="Arial" w:cs="Arial" w:eastAsia="Arial" w:hAnsi="Arial"/>
                <w:sz w:val="17"/>
                <w:szCs w:val="17"/>
                <w:color w:val="auto"/>
              </w:rPr>
              <w:t>​59 ​7/2013 ​ 2028</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020" w:type="dxa"/>
            <w:vAlign w:val="bottom"/>
            <w:tcBorders>
              <w:bottom w:val="single" w:sz="8" w:color="6B6B6B"/>
            </w:tcBorders>
            <w:gridSpan w:val="2"/>
          </w:tcPr>
          <w:p>
            <w:pPr>
              <w:spacing w:after="0"/>
              <w:rPr>
                <w:sz w:val="9"/>
                <w:szCs w:val="9"/>
                <w:color w:val="auto"/>
              </w:rPr>
            </w:pPr>
          </w:p>
        </w:tc>
        <w:tc>
          <w:tcPr>
            <w:tcW w:w="1300" w:type="dxa"/>
            <w:vAlign w:val="bottom"/>
            <w:tcBorders>
              <w:bottom w:val="single" w:sz="8" w:color="6B6B6B"/>
            </w:tcBorders>
            <w:gridSpan w:val="2"/>
          </w:tcPr>
          <w:p>
            <w:pPr>
              <w:spacing w:after="0"/>
              <w:rPr>
                <w:sz w:val="9"/>
                <w:szCs w:val="9"/>
                <w:color w:val="auto"/>
              </w:rPr>
            </w:pPr>
          </w:p>
        </w:tc>
        <w:tc>
          <w:tcPr>
            <w:tcW w:w="220" w:type="dxa"/>
            <w:vAlign w:val="bottom"/>
            <w:tcBorders>
              <w:bottom w:val="single" w:sz="8" w:color="6B6B6B"/>
            </w:tcBorders>
          </w:tcPr>
          <w:p>
            <w:pPr>
              <w:spacing w:after="0"/>
              <w:rPr>
                <w:sz w:val="9"/>
                <w:szCs w:val="9"/>
                <w:color w:val="auto"/>
              </w:rPr>
            </w:pPr>
          </w:p>
        </w:tc>
        <w:tc>
          <w:tcPr>
            <w:tcW w:w="580" w:type="dxa"/>
            <w:vAlign w:val="bottom"/>
            <w:tcBorders>
              <w:bottom w:val="single" w:sz="8" w:color="6B6B6B"/>
            </w:tcBorders>
          </w:tcPr>
          <w:p>
            <w:pPr>
              <w:spacing w:after="0"/>
              <w:rPr>
                <w:sz w:val="9"/>
                <w:szCs w:val="9"/>
                <w:color w:val="auto"/>
              </w:rPr>
            </w:pPr>
          </w:p>
        </w:tc>
        <w:tc>
          <w:tcPr>
            <w:tcW w:w="1000" w:type="dxa"/>
            <w:vAlign w:val="bottom"/>
            <w:tcBorders>
              <w:bottom w:val="single" w:sz="8" w:color="6B6B6B"/>
            </w:tcBorders>
          </w:tcPr>
          <w:p>
            <w:pPr>
              <w:spacing w:after="0"/>
              <w:rPr>
                <w:sz w:val="9"/>
                <w:szCs w:val="9"/>
                <w:color w:val="auto"/>
              </w:rPr>
            </w:pPr>
          </w:p>
        </w:tc>
        <w:tc>
          <w:tcPr>
            <w:tcW w:w="100" w:type="dxa"/>
            <w:vAlign w:val="bottom"/>
            <w:tcBorders>
              <w:bottom w:val="single" w:sz="8" w:color="6B6B6B"/>
            </w:tcBorders>
          </w:tcPr>
          <w:p>
            <w:pPr>
              <w:spacing w:after="0"/>
              <w:rPr>
                <w:sz w:val="9"/>
                <w:szCs w:val="9"/>
                <w:color w:val="auto"/>
              </w:rPr>
            </w:pPr>
          </w:p>
        </w:tc>
        <w:tc>
          <w:tcPr>
            <w:tcW w:w="960" w:type="dxa"/>
            <w:vAlign w:val="bottom"/>
            <w:tcBorders>
              <w:bottom w:val="single" w:sz="8" w:color="6B6B6B"/>
            </w:tcBorders>
          </w:tcPr>
          <w:p>
            <w:pPr>
              <w:spacing w:after="0"/>
              <w:rPr>
                <w:sz w:val="9"/>
                <w:szCs w:val="9"/>
                <w:color w:val="auto"/>
              </w:rPr>
            </w:pPr>
          </w:p>
        </w:tc>
        <w:tc>
          <w:tcPr>
            <w:tcW w:w="140" w:type="dxa"/>
            <w:vAlign w:val="bottom"/>
            <w:tcBorders>
              <w:bottom w:val="single" w:sz="8" w:color="6B6B6B"/>
            </w:tcBorders>
          </w:tcPr>
          <w:p>
            <w:pPr>
              <w:spacing w:after="0"/>
              <w:rPr>
                <w:sz w:val="9"/>
                <w:szCs w:val="9"/>
                <w:color w:val="auto"/>
              </w:rPr>
            </w:pPr>
          </w:p>
        </w:tc>
        <w:tc>
          <w:tcPr>
            <w:tcW w:w="880" w:type="dxa"/>
            <w:vAlign w:val="bottom"/>
            <w:tcBorders>
              <w:bottom w:val="single" w:sz="8" w:color="6B6B6B"/>
            </w:tcBorders>
          </w:tcPr>
          <w:p>
            <w:pPr>
              <w:spacing w:after="0"/>
              <w:rPr>
                <w:sz w:val="9"/>
                <w:szCs w:val="9"/>
                <w:color w:val="auto"/>
              </w:rPr>
            </w:pPr>
          </w:p>
        </w:tc>
        <w:tc>
          <w:tcPr>
            <w:tcW w:w="240" w:type="dxa"/>
            <w:vAlign w:val="bottom"/>
            <w:tcBorders>
              <w:bottom w:val="single" w:sz="8" w:color="6B6B6B"/>
            </w:tcBorders>
          </w:tcPr>
          <w:p>
            <w:pPr>
              <w:spacing w:after="0"/>
              <w:rPr>
                <w:sz w:val="9"/>
                <w:szCs w:val="9"/>
                <w:color w:val="auto"/>
              </w:rPr>
            </w:pPr>
          </w:p>
        </w:tc>
        <w:tc>
          <w:tcPr>
            <w:tcW w:w="680" w:type="dxa"/>
            <w:vAlign w:val="bottom"/>
            <w:tcBorders>
              <w:bottom w:val="single" w:sz="8" w:color="6B6B6B"/>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ind w:left="80"/>
              <w:spacing w:after="0"/>
              <w:rPr>
                <w:sz w:val="20"/>
                <w:szCs w:val="20"/>
                <w:color w:val="auto"/>
              </w:rPr>
            </w:pPr>
            <w:r>
              <w:rPr>
                <w:rFonts w:ascii="Arial" w:cs="Arial" w:eastAsia="Arial" w:hAnsi="Arial"/>
                <w:sz w:val="17"/>
                <w:szCs w:val="17"/>
                <w:color w:val="auto"/>
              </w:rPr>
              <w:t xml:space="preserve">George Kurtz, </w:t>
            </w:r>
            <w:r>
              <w:rPr>
                <w:rFonts w:ascii="Arial" w:cs="Arial" w:eastAsia="Arial" w:hAnsi="Arial"/>
                <w:sz w:val="17"/>
                <w:szCs w:val="17"/>
                <w:i w:val="1"/>
                <w:iCs w:val="1"/>
                <w:color w:val="auto"/>
              </w:rPr>
              <w:t>President and CEO</w:t>
            </w:r>
            <w:r>
              <w:rPr>
                <w:rFonts w:ascii="Arial" w:cs="Arial" w:eastAsia="Arial" w:hAnsi="Arial"/>
                <w:sz w:val="17"/>
                <w:szCs w:val="17"/>
                <w:color w:val="auto"/>
              </w:rPr>
              <w:t xml:space="preserve"> ​55</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​11/2011 ​ 2028</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rPr>
              <w:t>No</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540" w:type="dxa"/>
            <w:vAlign w:val="bottom"/>
            <w:tcBorders>
              <w:bottom w:val="single" w:sz="8" w:color="6B6B6B"/>
            </w:tcBorders>
          </w:tcPr>
          <w:p>
            <w:pPr>
              <w:spacing w:after="0"/>
              <w:rPr>
                <w:sz w:val="8"/>
                <w:szCs w:val="8"/>
                <w:color w:val="auto"/>
              </w:rPr>
            </w:pPr>
          </w:p>
        </w:tc>
        <w:tc>
          <w:tcPr>
            <w:tcW w:w="480" w:type="dxa"/>
            <w:vAlign w:val="bottom"/>
            <w:tcBorders>
              <w:bottom w:val="single" w:sz="8" w:color="6B6B6B"/>
            </w:tcBorders>
          </w:tcPr>
          <w:p>
            <w:pPr>
              <w:spacing w:after="0"/>
              <w:rPr>
                <w:sz w:val="8"/>
                <w:szCs w:val="8"/>
                <w:color w:val="auto"/>
              </w:rPr>
            </w:pPr>
          </w:p>
        </w:tc>
        <w:tc>
          <w:tcPr>
            <w:tcW w:w="1300" w:type="dxa"/>
            <w:vAlign w:val="bottom"/>
            <w:tcBorders>
              <w:bottom w:val="single" w:sz="8" w:color="6B6B6B"/>
            </w:tcBorders>
            <w:gridSpan w:val="2"/>
          </w:tcPr>
          <w:p>
            <w:pPr>
              <w:spacing w:after="0"/>
              <w:rPr>
                <w:sz w:val="8"/>
                <w:szCs w:val="8"/>
                <w:color w:val="auto"/>
              </w:rPr>
            </w:pPr>
          </w:p>
        </w:tc>
        <w:tc>
          <w:tcPr>
            <w:tcW w:w="220" w:type="dxa"/>
            <w:vAlign w:val="bottom"/>
            <w:tcBorders>
              <w:bottom w:val="single" w:sz="8" w:color="6B6B6B"/>
            </w:tcBorders>
          </w:tcPr>
          <w:p>
            <w:pPr>
              <w:spacing w:after="0"/>
              <w:rPr>
                <w:sz w:val="8"/>
                <w:szCs w:val="8"/>
                <w:color w:val="auto"/>
              </w:rPr>
            </w:pPr>
          </w:p>
        </w:tc>
        <w:tc>
          <w:tcPr>
            <w:tcW w:w="580" w:type="dxa"/>
            <w:vAlign w:val="bottom"/>
            <w:tcBorders>
              <w:bottom w:val="single" w:sz="8" w:color="6B6B6B"/>
            </w:tcBorders>
          </w:tcPr>
          <w:p>
            <w:pPr>
              <w:spacing w:after="0"/>
              <w:rPr>
                <w:sz w:val="8"/>
                <w:szCs w:val="8"/>
                <w:color w:val="auto"/>
              </w:rPr>
            </w:pPr>
          </w:p>
        </w:tc>
        <w:tc>
          <w:tcPr>
            <w:tcW w:w="1000" w:type="dxa"/>
            <w:vAlign w:val="bottom"/>
            <w:tcBorders>
              <w:bottom w:val="single" w:sz="8" w:color="6B6B6B"/>
            </w:tcBorders>
          </w:tcPr>
          <w:p>
            <w:pPr>
              <w:spacing w:after="0"/>
              <w:rPr>
                <w:sz w:val="8"/>
                <w:szCs w:val="8"/>
                <w:color w:val="auto"/>
              </w:rPr>
            </w:pPr>
          </w:p>
        </w:tc>
        <w:tc>
          <w:tcPr>
            <w:tcW w:w="100" w:type="dxa"/>
            <w:vAlign w:val="bottom"/>
            <w:tcBorders>
              <w:bottom w:val="single" w:sz="8" w:color="6B6B6B"/>
            </w:tcBorders>
          </w:tcPr>
          <w:p>
            <w:pPr>
              <w:spacing w:after="0"/>
              <w:rPr>
                <w:sz w:val="8"/>
                <w:szCs w:val="8"/>
                <w:color w:val="auto"/>
              </w:rPr>
            </w:pPr>
          </w:p>
        </w:tc>
        <w:tc>
          <w:tcPr>
            <w:tcW w:w="960" w:type="dxa"/>
            <w:vAlign w:val="bottom"/>
            <w:tcBorders>
              <w:bottom w:val="single" w:sz="8" w:color="6B6B6B"/>
            </w:tcBorders>
          </w:tcPr>
          <w:p>
            <w:pPr>
              <w:spacing w:after="0"/>
              <w:rPr>
                <w:sz w:val="8"/>
                <w:szCs w:val="8"/>
                <w:color w:val="auto"/>
              </w:rPr>
            </w:pPr>
          </w:p>
        </w:tc>
        <w:tc>
          <w:tcPr>
            <w:tcW w:w="140" w:type="dxa"/>
            <w:vAlign w:val="bottom"/>
            <w:tcBorders>
              <w:bottom w:val="single" w:sz="8" w:color="6B6B6B"/>
            </w:tcBorders>
          </w:tcPr>
          <w:p>
            <w:pPr>
              <w:spacing w:after="0"/>
              <w:rPr>
                <w:sz w:val="8"/>
                <w:szCs w:val="8"/>
                <w:color w:val="auto"/>
              </w:rPr>
            </w:pPr>
          </w:p>
        </w:tc>
        <w:tc>
          <w:tcPr>
            <w:tcW w:w="880" w:type="dxa"/>
            <w:vAlign w:val="bottom"/>
            <w:tcBorders>
              <w:bottom w:val="single" w:sz="8" w:color="6B6B6B"/>
            </w:tcBorders>
          </w:tcPr>
          <w:p>
            <w:pPr>
              <w:spacing w:after="0"/>
              <w:rPr>
                <w:sz w:val="8"/>
                <w:szCs w:val="8"/>
                <w:color w:val="auto"/>
              </w:rPr>
            </w:pPr>
          </w:p>
        </w:tc>
        <w:tc>
          <w:tcPr>
            <w:tcW w:w="240" w:type="dxa"/>
            <w:vAlign w:val="bottom"/>
            <w:tcBorders>
              <w:bottom w:val="single" w:sz="8" w:color="6B6B6B"/>
            </w:tcBorders>
          </w:tcPr>
          <w:p>
            <w:pPr>
              <w:spacing w:after="0"/>
              <w:rPr>
                <w:sz w:val="8"/>
                <w:szCs w:val="8"/>
                <w:color w:val="auto"/>
              </w:rPr>
            </w:pPr>
          </w:p>
        </w:tc>
        <w:tc>
          <w:tcPr>
            <w:tcW w:w="680" w:type="dxa"/>
            <w:vAlign w:val="bottom"/>
            <w:tcBorders>
              <w:bottom w:val="single" w:sz="8" w:color="6B6B6B"/>
            </w:tcBorders>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2540" w:type="dxa"/>
            <w:vAlign w:val="bottom"/>
          </w:tcPr>
          <w:p>
            <w:pPr>
              <w:ind w:left="80"/>
              <w:spacing w:after="0"/>
              <w:rPr>
                <w:sz w:val="20"/>
                <w:szCs w:val="20"/>
                <w:color w:val="auto"/>
              </w:rPr>
            </w:pPr>
            <w:r>
              <w:rPr>
                <w:rFonts w:ascii="Arial" w:cs="Arial" w:eastAsia="Arial" w:hAnsi="Arial"/>
                <w:sz w:val="17"/>
                <w:szCs w:val="17"/>
                <w:color w:val="auto"/>
              </w:rPr>
              <w:t>Laura J. Schumacher</w:t>
            </w:r>
          </w:p>
        </w:tc>
        <w:tc>
          <w:tcPr>
            <w:tcW w:w="480" w:type="dxa"/>
            <w:vAlign w:val="bottom"/>
          </w:tcPr>
          <w:p>
            <w:pPr>
              <w:ind w:left="200"/>
              <w:spacing w:after="0"/>
              <w:rPr>
                <w:sz w:val="20"/>
                <w:szCs w:val="20"/>
                <w:color w:val="auto"/>
              </w:rPr>
            </w:pPr>
            <w:r>
              <w:rPr>
                <w:rFonts w:ascii="Arial" w:cs="Arial" w:eastAsia="Arial" w:hAnsi="Arial"/>
                <w:sz w:val="17"/>
                <w:szCs w:val="17"/>
                <w:color w:val="auto"/>
              </w:rPr>
              <w:t>​62</w:t>
            </w:r>
          </w:p>
        </w:tc>
        <w:tc>
          <w:tcPr>
            <w:tcW w:w="1300" w:type="dxa"/>
            <w:vAlign w:val="bottom"/>
            <w:gridSpan w:val="2"/>
          </w:tcPr>
          <w:p>
            <w:pPr>
              <w:jc w:val="right"/>
              <w:ind w:right="19"/>
              <w:spacing w:after="0"/>
              <w:rPr>
                <w:sz w:val="20"/>
                <w:szCs w:val="20"/>
                <w:color w:val="auto"/>
              </w:rPr>
            </w:pPr>
            <w:r>
              <w:rPr>
                <w:rFonts w:ascii="Arial" w:cs="Arial" w:eastAsia="Arial" w:hAnsi="Arial"/>
                <w:sz w:val="17"/>
                <w:szCs w:val="17"/>
                <w:color w:val="auto"/>
              </w:rPr>
              <w:t>​11/2020 ​ 2028</w:t>
            </w: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ind w:left="480"/>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40" w:type="dxa"/>
            <w:vAlign w:val="bottom"/>
            <w:tcBorders>
              <w:bottom w:val="single" w:sz="8" w:color="6B6B6B"/>
            </w:tcBorders>
          </w:tcPr>
          <w:p>
            <w:pPr>
              <w:spacing w:after="0"/>
              <w:rPr>
                <w:sz w:val="13"/>
                <w:szCs w:val="13"/>
                <w:color w:val="auto"/>
              </w:rPr>
            </w:pPr>
          </w:p>
        </w:tc>
        <w:tc>
          <w:tcPr>
            <w:tcW w:w="480" w:type="dxa"/>
            <w:vAlign w:val="bottom"/>
            <w:tcBorders>
              <w:bottom w:val="single" w:sz="8" w:color="6B6B6B"/>
            </w:tcBorders>
          </w:tcPr>
          <w:p>
            <w:pPr>
              <w:spacing w:after="0"/>
              <w:rPr>
                <w:sz w:val="13"/>
                <w:szCs w:val="13"/>
                <w:color w:val="auto"/>
              </w:rPr>
            </w:pPr>
          </w:p>
        </w:tc>
        <w:tc>
          <w:tcPr>
            <w:tcW w:w="660" w:type="dxa"/>
            <w:vAlign w:val="bottom"/>
            <w:tcBorders>
              <w:bottom w:val="single" w:sz="8" w:color="6B6B6B"/>
            </w:tcBorders>
          </w:tcPr>
          <w:p>
            <w:pPr>
              <w:spacing w:after="0"/>
              <w:rPr>
                <w:sz w:val="13"/>
                <w:szCs w:val="13"/>
                <w:color w:val="auto"/>
              </w:rPr>
            </w:pPr>
          </w:p>
        </w:tc>
        <w:tc>
          <w:tcPr>
            <w:tcW w:w="640" w:type="dxa"/>
            <w:vAlign w:val="bottom"/>
            <w:tcBorders>
              <w:bottom w:val="single" w:sz="8" w:color="6B6B6B"/>
            </w:tcBorders>
          </w:tcPr>
          <w:p>
            <w:pPr>
              <w:spacing w:after="0"/>
              <w:rPr>
                <w:sz w:val="13"/>
                <w:szCs w:val="13"/>
                <w:color w:val="auto"/>
              </w:rPr>
            </w:pPr>
          </w:p>
        </w:tc>
        <w:tc>
          <w:tcPr>
            <w:tcW w:w="220" w:type="dxa"/>
            <w:vAlign w:val="bottom"/>
            <w:tcBorders>
              <w:bottom w:val="single" w:sz="8" w:color="6B6B6B"/>
            </w:tcBorders>
          </w:tcPr>
          <w:p>
            <w:pPr>
              <w:spacing w:after="0"/>
              <w:rPr>
                <w:sz w:val="13"/>
                <w:szCs w:val="13"/>
                <w:color w:val="auto"/>
              </w:rPr>
            </w:pPr>
          </w:p>
        </w:tc>
        <w:tc>
          <w:tcPr>
            <w:tcW w:w="580" w:type="dxa"/>
            <w:vAlign w:val="bottom"/>
            <w:tcBorders>
              <w:bottom w:val="single" w:sz="8" w:color="6B6B6B"/>
            </w:tcBorders>
          </w:tcPr>
          <w:p>
            <w:pPr>
              <w:spacing w:after="0"/>
              <w:rPr>
                <w:sz w:val="13"/>
                <w:szCs w:val="13"/>
                <w:color w:val="auto"/>
              </w:rPr>
            </w:pPr>
          </w:p>
        </w:tc>
        <w:tc>
          <w:tcPr>
            <w:tcW w:w="1000" w:type="dxa"/>
            <w:vAlign w:val="bottom"/>
            <w:tcBorders>
              <w:bottom w:val="single" w:sz="8" w:color="6B6B6B"/>
            </w:tcBorders>
          </w:tcPr>
          <w:p>
            <w:pPr>
              <w:spacing w:after="0"/>
              <w:rPr>
                <w:sz w:val="13"/>
                <w:szCs w:val="13"/>
                <w:color w:val="auto"/>
              </w:rPr>
            </w:pPr>
          </w:p>
        </w:tc>
        <w:tc>
          <w:tcPr>
            <w:tcW w:w="100" w:type="dxa"/>
            <w:vAlign w:val="bottom"/>
            <w:tcBorders>
              <w:bottom w:val="single" w:sz="8" w:color="6B6B6B"/>
            </w:tcBorders>
          </w:tcPr>
          <w:p>
            <w:pPr>
              <w:spacing w:after="0"/>
              <w:rPr>
                <w:sz w:val="13"/>
                <w:szCs w:val="13"/>
                <w:color w:val="auto"/>
              </w:rPr>
            </w:pPr>
          </w:p>
        </w:tc>
        <w:tc>
          <w:tcPr>
            <w:tcW w:w="960" w:type="dxa"/>
            <w:vAlign w:val="bottom"/>
            <w:tcBorders>
              <w:bottom w:val="single" w:sz="8" w:color="6B6B6B"/>
            </w:tcBorders>
          </w:tcPr>
          <w:p>
            <w:pPr>
              <w:spacing w:after="0"/>
              <w:rPr>
                <w:sz w:val="13"/>
                <w:szCs w:val="13"/>
                <w:color w:val="auto"/>
              </w:rPr>
            </w:pPr>
          </w:p>
        </w:tc>
        <w:tc>
          <w:tcPr>
            <w:tcW w:w="140" w:type="dxa"/>
            <w:vAlign w:val="bottom"/>
            <w:tcBorders>
              <w:bottom w:val="single" w:sz="8" w:color="6B6B6B"/>
            </w:tcBorders>
          </w:tcPr>
          <w:p>
            <w:pPr>
              <w:spacing w:after="0"/>
              <w:rPr>
                <w:sz w:val="13"/>
                <w:szCs w:val="13"/>
                <w:color w:val="auto"/>
              </w:rPr>
            </w:pPr>
          </w:p>
        </w:tc>
        <w:tc>
          <w:tcPr>
            <w:tcW w:w="880" w:type="dxa"/>
            <w:vAlign w:val="bottom"/>
            <w:tcBorders>
              <w:bottom w:val="single" w:sz="8" w:color="6B6B6B"/>
            </w:tcBorders>
          </w:tcPr>
          <w:p>
            <w:pPr>
              <w:spacing w:after="0"/>
              <w:rPr>
                <w:sz w:val="13"/>
                <w:szCs w:val="13"/>
                <w:color w:val="auto"/>
              </w:rPr>
            </w:pPr>
          </w:p>
        </w:tc>
        <w:tc>
          <w:tcPr>
            <w:tcW w:w="240" w:type="dxa"/>
            <w:vAlign w:val="bottom"/>
            <w:tcBorders>
              <w:bottom w:val="single" w:sz="8" w:color="6B6B6B"/>
            </w:tcBorders>
          </w:tcPr>
          <w:p>
            <w:pPr>
              <w:spacing w:after="0"/>
              <w:rPr>
                <w:sz w:val="13"/>
                <w:szCs w:val="13"/>
                <w:color w:val="auto"/>
              </w:rPr>
            </w:pPr>
          </w:p>
        </w:tc>
        <w:tc>
          <w:tcPr>
            <w:tcW w:w="680" w:type="dxa"/>
            <w:vAlign w:val="bottom"/>
            <w:tcBorders>
              <w:bottom w:val="single" w:sz="8" w:color="6B6B6B"/>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1535430</wp:posOffset>
            </wp:positionV>
            <wp:extent cx="1195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-2638425</wp:posOffset>
            </wp:positionV>
            <wp:extent cx="182880" cy="182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-2355850</wp:posOffset>
            </wp:positionV>
            <wp:extent cx="182880" cy="182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-1957705</wp:posOffset>
            </wp:positionV>
            <wp:extent cx="191135" cy="191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135" cy="19113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-1957705</wp:posOffset>
            </wp:positionV>
            <wp:extent cx="182880" cy="182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-1584325</wp:posOffset>
            </wp:positionV>
            <wp:extent cx="182880" cy="182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-1584325</wp:posOffset>
            </wp:positionV>
            <wp:extent cx="182880" cy="182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-1302385</wp:posOffset>
            </wp:positionV>
            <wp:extent cx="182880" cy="182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-1302385</wp:posOffset>
            </wp:positionV>
            <wp:extent cx="182880" cy="18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-1302385</wp:posOffset>
            </wp:positionV>
            <wp:extent cx="182880" cy="182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-870585</wp:posOffset>
            </wp:positionV>
            <wp:extent cx="191135" cy="191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135" cy="1911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-580390</wp:posOffset>
            </wp:positionV>
            <wp:extent cx="182880" cy="182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-273050</wp:posOffset>
            </wp:positionV>
            <wp:extent cx="191135" cy="191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1135" cy="19113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57785</wp:posOffset>
            </wp:positionV>
            <wp:extent cx="688975" cy="191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975" cy="19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right="480" w:hanging="347"/>
        <w:spacing w:after="0" w:line="277"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Module adoption rates are calculated by taking the total number of customers with six or more, seven or more and eight or more modules, respectively, divided by the total number of subscription customers (excluding Falcon Go customers).</w:t>
      </w:r>
    </w:p>
    <w:p>
      <w:pPr>
        <w:spacing w:after="0" w:line="376"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920"/>
          </w:cols>
          <w:pgMar w:left="760" w:top="94" w:right="12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ELECTRONIC DELIVERY</w:t>
      </w:r>
    </w:p>
    <w:p>
      <w:pPr>
        <w:spacing w:after="0" w:line="159" w:lineRule="exact"/>
        <w:rPr>
          <w:sz w:val="20"/>
          <w:szCs w:val="20"/>
          <w:color w:val="auto"/>
        </w:rPr>
      </w:pPr>
    </w:p>
    <w:p>
      <w:pPr>
        <w:jc w:val="both"/>
        <w:ind w:left="1420" w:right="320"/>
        <w:spacing w:after="0" w:line="277" w:lineRule="auto"/>
        <w:rPr>
          <w:sz w:val="20"/>
          <w:szCs w:val="20"/>
          <w:color w:val="auto"/>
        </w:rPr>
      </w:pPr>
      <w:r>
        <w:rPr>
          <w:rFonts w:ascii="Arial" w:cs="Arial" w:eastAsia="Arial" w:hAnsi="Arial"/>
          <w:sz w:val="17"/>
          <w:szCs w:val="17"/>
          <w:color w:val="auto"/>
        </w:rPr>
        <w:t>We encourage CrowdStrike stockholders to voluntarily elect to receive future proxy and annual report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-410210</wp:posOffset>
            </wp:positionV>
            <wp:extent cx="265430" cy="232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430" cy="232410"/>
                    </a:xfrm>
                    <a:prstGeom prst="rect">
                      <a:avLst/>
                    </a:prstGeom>
                    <a:noFill/>
                  </pic:spPr>
                </pic:pic>
              </a:graphicData>
            </a:graphic>
          </wp:anchor>
        </w:drawing>
      </w:r>
    </w:p>
    <w:p>
      <w:pPr>
        <w:spacing w:after="0" w:line="61" w:lineRule="exact"/>
        <w:rPr>
          <w:sz w:val="20"/>
          <w:szCs w:val="20"/>
          <w:color w:val="auto"/>
        </w:rPr>
      </w:pPr>
    </w:p>
    <w:p>
      <w:pPr>
        <w:ind w:left="1760" w:right="100" w:hanging="166"/>
        <w:spacing w:after="0" w:line="277" w:lineRule="auto"/>
        <w:tabs>
          <w:tab w:leader="none" w:pos="1760"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you are a registered stockholder, please visit www.proxyvote.com for simple instructions.</w:t>
      </w:r>
    </w:p>
    <w:p>
      <w:pPr>
        <w:spacing w:after="0" w:line="94" w:lineRule="exact"/>
        <w:rPr>
          <w:rFonts w:ascii="Arial" w:cs="Arial" w:eastAsia="Arial" w:hAnsi="Arial"/>
          <w:sz w:val="17"/>
          <w:szCs w:val="17"/>
          <w:color w:val="auto"/>
        </w:rPr>
      </w:pPr>
    </w:p>
    <w:p>
      <w:pPr>
        <w:ind w:left="1760" w:hanging="166"/>
        <w:spacing w:after="0" w:line="270" w:lineRule="auto"/>
        <w:tabs>
          <w:tab w:leader="none" w:pos="176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Beneficial stockholders can elect to receive future proxy and annual report materials electronically as well as vote their shares online at www.proxyvote.com.</w:t>
      </w:r>
    </w:p>
    <w:p>
      <w:pPr>
        <w:spacing w:after="0" w:line="165" w:lineRule="exact"/>
        <w:rPr>
          <w:rFonts w:ascii="Arial" w:cs="Arial" w:eastAsia="Arial" w:hAnsi="Arial"/>
          <w:sz w:val="17"/>
          <w:szCs w:val="17"/>
          <w:color w:val="auto"/>
        </w:rPr>
      </w:pPr>
    </w:p>
    <w:p>
      <w:pPr>
        <w:ind w:left="940" w:hanging="14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Faster &gt; Economical &gt; Cleaner &gt; Convenient</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SCAN THE QR CODE</w:t>
      </w:r>
    </w:p>
    <w:p>
      <w:pPr>
        <w:spacing w:after="0" w:line="159" w:lineRule="exact"/>
        <w:rPr>
          <w:sz w:val="20"/>
          <w:szCs w:val="20"/>
          <w:color w:val="auto"/>
        </w:rPr>
      </w:pPr>
    </w:p>
    <w:p>
      <w:pPr>
        <w:ind w:left="1560" w:right="140"/>
        <w:spacing w:after="0" w:line="277" w:lineRule="auto"/>
        <w:rPr>
          <w:sz w:val="20"/>
          <w:szCs w:val="20"/>
          <w:color w:val="auto"/>
        </w:rPr>
      </w:pPr>
      <w:r>
        <w:rPr>
          <w:rFonts w:ascii="Arial" w:cs="Arial" w:eastAsia="Arial" w:hAnsi="Arial"/>
          <w:sz w:val="17"/>
          <w:szCs w:val="17"/>
          <w:color w:val="auto"/>
        </w:rPr>
        <w:t>to vote using your mobile device, sign up for e-delivery or download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-410210</wp:posOffset>
            </wp:positionV>
            <wp:extent cx="348615" cy="348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615" cy="348615"/>
                    </a:xfrm>
                    <a:prstGeom prst="rect">
                      <a:avLst/>
                    </a:prstGeom>
                    <a:noFill/>
                  </pic:spPr>
                </pic:pic>
              </a:graphicData>
            </a:graphic>
          </wp:anchor>
        </w:drawing>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111760</wp:posOffset>
            </wp:positionV>
            <wp:extent cx="132715" cy="132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Wednesday, June 17, 2026</w:t>
      </w:r>
    </w:p>
    <w:p>
      <w:pPr>
        <w:spacing w:after="0" w:line="1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8:00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-104775</wp:posOffset>
            </wp:positionV>
            <wp:extent cx="132715" cy="132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ENVIRONMENT</w:t>
      </w:r>
    </w:p>
    <w:p>
      <w:pPr>
        <w:spacing w:after="0" w:line="120" w:lineRule="exact"/>
        <w:rPr>
          <w:sz w:val="20"/>
          <w:szCs w:val="20"/>
          <w:color w:val="auto"/>
        </w:rPr>
      </w:pPr>
    </w:p>
    <w:p>
      <w:pPr>
        <w:ind w:right="239"/>
        <w:spacing w:after="0" w:line="281" w:lineRule="auto"/>
        <w:rPr>
          <w:sz w:val="20"/>
          <w:szCs w:val="20"/>
          <w:color w:val="auto"/>
        </w:rPr>
      </w:pPr>
      <w:r>
        <w:rPr>
          <w:rFonts w:ascii="Arial" w:cs="Arial" w:eastAsia="Arial" w:hAnsi="Arial"/>
          <w:sz w:val="17"/>
          <w:szCs w:val="17"/>
          <w:color w:val="auto"/>
        </w:rPr>
        <w:t>CrowdStrike believes in working to keep our environment cleaner and healthier. Every day, CrowdStrike takes steps to preserve the natural beauty of the surroundings that we are privileged to enjoy.</w:t>
      </w:r>
    </w:p>
    <w:p>
      <w:pPr>
        <w:spacing w:after="0" w:line="169" w:lineRule="exact"/>
        <w:rPr>
          <w:sz w:val="20"/>
          <w:szCs w:val="20"/>
          <w:color w:val="auto"/>
        </w:rPr>
      </w:pPr>
    </w:p>
    <w:p>
      <w:pPr>
        <w:ind w:right="119"/>
        <w:spacing w:after="0" w:line="274" w:lineRule="auto"/>
        <w:rPr>
          <w:sz w:val="20"/>
          <w:szCs w:val="20"/>
          <w:color w:val="auto"/>
        </w:rPr>
      </w:pPr>
      <w:r>
        <w:rPr>
          <w:rFonts w:ascii="Arial" w:cs="Arial" w:eastAsia="Arial" w:hAnsi="Arial"/>
          <w:sz w:val="17"/>
          <w:szCs w:val="17"/>
          <w:color w:val="auto"/>
        </w:rPr>
        <w:t>CrowdStrike’s initiative in reducing its carbon footprint by promoting electronic delivery of stockholder materials has had a positive effect on the environment. CrowdStrike encourages its stockholders to reduce the environmental impact of delivering paper proxy materials by signing up to receive future proxy materials electronically.</w:t>
      </w:r>
    </w:p>
    <w:p>
      <w:pPr>
        <w:spacing w:after="0" w:line="2649" w:lineRule="exact"/>
        <w:rPr>
          <w:sz w:val="20"/>
          <w:szCs w:val="20"/>
          <w:color w:val="auto"/>
        </w:rPr>
      </w:pPr>
    </w:p>
    <w:p>
      <w:pPr>
        <w:sectPr>
          <w:pgSz w:w="11900" w:h="16838" w:orient="portrait"/>
          <w:cols w:equalWidth="0" w:num="2">
            <w:col w:w="5040" w:space="240"/>
            <w:col w:w="4419"/>
          </w:cols>
          <w:pgMar w:left="760" w:top="94" w:right="1440" w:bottom="1440" w:gutter="0" w:footer="0" w:header="0"/>
        </w:sectPr>
      </w:pPr>
    </w:p>
    <w:p>
      <w:pPr>
        <w:spacing w:after="0" w:line="3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2026 Annual Meeting of Stockholders will be held</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via the Internet as a virtual meeting. See our Proxy</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Statement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4459"/>
        <w:spacing w:after="0"/>
        <w:rPr>
          <w:sz w:val="20"/>
          <w:szCs w:val="20"/>
          <w:color w:val="auto"/>
        </w:rPr>
      </w:pPr>
      <w:r>
        <w:rPr>
          <w:rFonts w:ascii="Arial" w:cs="Arial" w:eastAsia="Arial" w:hAnsi="Arial"/>
          <w:sz w:val="14"/>
          <w:szCs w:val="14"/>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351790</wp:posOffset>
            </wp:positionV>
            <wp:extent cx="2962275" cy="530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227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Proxy Statement for the</w:t>
      </w:r>
    </w:p>
    <w:p>
      <w:pPr>
        <w:spacing w:after="0" w:line="77"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2026 Annual Meeting of Stockholders</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45"/>
          <w:szCs w:val="45"/>
          <w:color w:val="auto"/>
        </w:rPr>
        <w:t>Table of Contents</w:t>
      </w:r>
    </w:p>
    <w:p>
      <w:pPr>
        <w:sectPr>
          <w:pgSz w:w="11900" w:h="16838" w:orient="portrait"/>
          <w:cols w:equalWidth="0" w:num="1">
            <w:col w:w="10460"/>
          </w:cols>
          <w:pgMar w:left="760" w:top="94"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0"/>
        <w:spacing w:after="0"/>
        <w:rPr>
          <w:sz w:val="20"/>
          <w:szCs w:val="20"/>
          <w:color w:val="auto"/>
        </w:rPr>
      </w:pPr>
      <w:r>
        <w:rPr>
          <w:rFonts w:ascii="Arial" w:cs="Arial" w:eastAsia="Arial" w:hAnsi="Arial"/>
          <w:sz w:val="21"/>
          <w:szCs w:val="21"/>
          <w:b w:val="1"/>
          <w:bCs w:val="1"/>
          <w:u w:val="single" w:color="auto"/>
          <w:color w:val="0000EE"/>
        </w:rPr>
        <w:t>Proposal 1 Election of Directors</w:t>
      </w:r>
      <w:r>
        <w:rPr>
          <w:rFonts w:ascii="Arial" w:cs="Arial" w:eastAsia="Arial" w:hAnsi="Arial"/>
          <w:sz w:val="17"/>
          <w:szCs w:val="17"/>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-127635</wp:posOffset>
            </wp:positionV>
            <wp:extent cx="2738755" cy="140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8755" cy="140970"/>
                    </a:xfrm>
                    <a:prstGeom prst="rect">
                      <a:avLst/>
                    </a:prstGeom>
                    <a:noFill/>
                  </pic:spPr>
                </pic:pic>
              </a:graphicData>
            </a:graphic>
          </wp:anchor>
        </w:drawing>
      </w:r>
    </w:p>
    <w:p>
      <w:pPr>
        <w:spacing w:after="0" w:line="25"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-6985</wp:posOffset>
            </wp:positionV>
            <wp:extent cx="2738755"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Class I and Continuing Directors</w:t>
      </w:r>
    </w:p>
    <w:p>
      <w:pPr>
        <w:spacing w:after="0" w:line="40" w:lineRule="exact"/>
        <w:rPr>
          <w:sz w:val="20"/>
          <w:szCs w:val="20"/>
          <w:color w:val="auto"/>
        </w:rPr>
      </w:pPr>
    </w:p>
    <w:p>
      <w:pPr>
        <w:ind w:left="960" w:right="160" w:hanging="173"/>
        <w:spacing w:after="0" w:line="264" w:lineRule="auto"/>
        <w:rPr>
          <w:sz w:val="20"/>
          <w:szCs w:val="20"/>
          <w:color w:val="auto"/>
        </w:rPr>
      </w:pPr>
      <w:r>
        <w:rPr>
          <w:rFonts w:ascii="Arial" w:cs="Arial" w:eastAsia="Arial" w:hAnsi="Arial"/>
          <w:sz w:val="21"/>
          <w:szCs w:val="21"/>
          <w:b w:val="1"/>
          <w:bCs w:val="1"/>
          <w:u w:val="single" w:color="auto"/>
          <w:color w:val="0000EE"/>
        </w:rPr>
        <w:t>Information Regarding the Board of Directors and Corporate Governance</w:t>
      </w:r>
      <w:r>
        <w:rPr>
          <w:rFonts w:ascii="Arial" w:cs="Arial" w:eastAsia="Arial" w:hAnsi="Arial"/>
          <w:sz w:val="17"/>
          <w:szCs w:val="17"/>
          <w:color w:val="0000E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132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right="880"/>
        <w:spacing w:after="0" w:line="263" w:lineRule="auto"/>
        <w:rPr>
          <w:sz w:val="20"/>
          <w:szCs w:val="20"/>
          <w:color w:val="auto"/>
        </w:rPr>
      </w:pPr>
      <w:r>
        <w:rPr>
          <w:rFonts w:ascii="Arial" w:cs="Arial" w:eastAsia="Arial" w:hAnsi="Arial"/>
          <w:sz w:val="17"/>
          <w:szCs w:val="17"/>
          <w:u w:val="single" w:color="auto"/>
          <w:color w:val="0000EE"/>
        </w:rPr>
        <w:t>Corporate Governance Highlights Independence of the Board of Directors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-147955</wp:posOffset>
            </wp:positionV>
            <wp:extent cx="2738755"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right="1200"/>
        <w:spacing w:after="0" w:line="256" w:lineRule="auto"/>
        <w:rPr>
          <w:sz w:val="20"/>
          <w:szCs w:val="20"/>
          <w:color w:val="auto"/>
        </w:rPr>
      </w:pPr>
      <w:r>
        <w:rPr>
          <w:rFonts w:ascii="Arial" w:cs="Arial" w:eastAsia="Arial" w:hAnsi="Arial"/>
          <w:sz w:val="17"/>
          <w:szCs w:val="17"/>
          <w:u w:val="single" w:color="auto"/>
          <w:color w:val="0000EE"/>
        </w:rPr>
        <w:t>Role of the Board in Risk Oversight Family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-147320</wp:posOffset>
            </wp:positionV>
            <wp:extent cx="2738755" cy="132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-6985</wp:posOffset>
            </wp:positionV>
            <wp:extent cx="2738755" cy="273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8755" cy="273685"/>
                    </a:xfrm>
                    <a:prstGeom prst="rect">
                      <a:avLst/>
                    </a:prstGeom>
                    <a:noFill/>
                  </pic:spPr>
                </pic:pic>
              </a:graphicData>
            </a:graphic>
          </wp:anchor>
        </w:drawing>
      </w:r>
    </w:p>
    <w:p>
      <w:pPr>
        <w:ind w:left="1140" w:right="40" w:hanging="173"/>
        <w:spacing w:after="0" w:line="262" w:lineRule="auto"/>
        <w:rPr>
          <w:sz w:val="20"/>
          <w:szCs w:val="20"/>
          <w:color w:val="auto"/>
        </w:rPr>
      </w:pPr>
      <w:r>
        <w:rPr>
          <w:rFonts w:ascii="Arial" w:cs="Arial" w:eastAsia="Arial" w:hAnsi="Arial"/>
          <w:sz w:val="17"/>
          <w:szCs w:val="17"/>
          <w:u w:val="single" w:color="auto"/>
          <w:color w:val="0000EE"/>
        </w:rPr>
        <w:t>Information Regarding Committees of the Board of Directors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2540</wp:posOffset>
            </wp:positionV>
            <wp:extent cx="2738755" cy="273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8755" cy="273685"/>
                    </a:xfrm>
                    <a:prstGeom prst="rect">
                      <a:avLst/>
                    </a:prstGeom>
                    <a:noFill/>
                  </pic:spPr>
                </pic:pic>
              </a:graphicData>
            </a:graphic>
          </wp:anchor>
        </w:drawing>
      </w:r>
    </w:p>
    <w:p>
      <w:pPr>
        <w:ind w:left="1140" w:right="400" w:hanging="173"/>
        <w:spacing w:after="0" w:line="262" w:lineRule="auto"/>
        <w:rPr>
          <w:sz w:val="20"/>
          <w:szCs w:val="20"/>
          <w:color w:val="auto"/>
        </w:rPr>
      </w:pPr>
      <w:r>
        <w:rPr>
          <w:rFonts w:ascii="Arial" w:cs="Arial" w:eastAsia="Arial" w:hAnsi="Arial"/>
          <w:sz w:val="17"/>
          <w:szCs w:val="17"/>
          <w:u w:val="single" w:color="auto"/>
          <w:color w:val="0000EE"/>
        </w:rPr>
        <w:t>Report of the Audit Committee of the Board of Directors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2540</wp:posOffset>
            </wp:positionV>
            <wp:extent cx="2738755" cy="273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38755" cy="273685"/>
                    </a:xfrm>
                    <a:prstGeom prst="rect">
                      <a:avLst/>
                    </a:prstGeom>
                    <a:noFill/>
                  </pic:spPr>
                </pic:pic>
              </a:graphicData>
            </a:graphic>
          </wp:anchor>
        </w:drawing>
      </w:r>
    </w:p>
    <w:p>
      <w:pPr>
        <w:ind w:left="1140" w:right="220" w:hanging="173"/>
        <w:spacing w:after="0" w:line="262" w:lineRule="auto"/>
        <w:rPr>
          <w:sz w:val="20"/>
          <w:szCs w:val="20"/>
          <w:color w:val="auto"/>
        </w:rPr>
      </w:pPr>
      <w:r>
        <w:rPr>
          <w:rFonts w:ascii="Arial" w:cs="Arial" w:eastAsia="Arial" w:hAnsi="Arial"/>
          <w:sz w:val="17"/>
          <w:szCs w:val="17"/>
          <w:u w:val="single" w:color="auto"/>
          <w:color w:val="0000EE"/>
        </w:rPr>
        <w:t>Compensation Committee Interlocks and Insider Participation</w:t>
      </w:r>
    </w:p>
    <w:p>
      <w:pPr>
        <w:spacing w:after="0" w:line="2" w:lineRule="exact"/>
        <w:rPr>
          <w:sz w:val="20"/>
          <w:szCs w:val="20"/>
          <w:color w:val="auto"/>
        </w:rPr>
      </w:pPr>
    </w:p>
    <w:p>
      <w:pPr>
        <w:ind w:left="960"/>
        <w:spacing w:after="0" w:line="257" w:lineRule="auto"/>
        <w:rPr>
          <w:sz w:val="20"/>
          <w:szCs w:val="20"/>
          <w:color w:val="auto"/>
        </w:rPr>
      </w:pPr>
      <w:r>
        <w:rPr>
          <w:rFonts w:ascii="Arial" w:cs="Arial" w:eastAsia="Arial" w:hAnsi="Arial"/>
          <w:sz w:val="17"/>
          <w:szCs w:val="17"/>
          <w:u w:val="single" w:color="auto"/>
          <w:color w:val="0000EE"/>
        </w:rPr>
        <w:t>Nominating and Corporate Governance Committee Considerations in Evaluating Director Nominees Stockholder Nominations to the Board of Directors Transaction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-403860</wp:posOffset>
            </wp:positionV>
            <wp:extent cx="2738755" cy="132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38755" cy="132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-138430</wp:posOffset>
            </wp:positionV>
            <wp:extent cx="2738755" cy="132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1140" w:right="300" w:hanging="173"/>
        <w:spacing w:after="0" w:line="262" w:lineRule="auto"/>
        <w:rPr>
          <w:sz w:val="20"/>
          <w:szCs w:val="20"/>
          <w:color w:val="auto"/>
        </w:rPr>
      </w:pPr>
      <w:r>
        <w:rPr>
          <w:rFonts w:ascii="Arial" w:cs="Arial" w:eastAsia="Arial" w:hAnsi="Arial"/>
          <w:sz w:val="17"/>
          <w:szCs w:val="17"/>
          <w:u w:val="single" w:color="auto"/>
          <w:color w:val="0000EE"/>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132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Stockholder Engagement</w:t>
      </w:r>
    </w:p>
    <w:p>
      <w:pPr>
        <w:spacing w:after="0" w:line="17" w:lineRule="exact"/>
        <w:rPr>
          <w:sz w:val="20"/>
          <w:szCs w:val="20"/>
          <w:color w:val="auto"/>
        </w:rPr>
      </w:pPr>
    </w:p>
    <w:p>
      <w:pPr>
        <w:ind w:left="1140" w:right="280" w:hanging="173"/>
        <w:spacing w:after="0" w:line="262" w:lineRule="auto"/>
        <w:rPr>
          <w:sz w:val="20"/>
          <w:szCs w:val="20"/>
          <w:color w:val="auto"/>
        </w:rPr>
      </w:pPr>
      <w:r>
        <w:rPr>
          <w:rFonts w:ascii="Arial" w:cs="Arial" w:eastAsia="Arial" w:hAnsi="Arial"/>
          <w:sz w:val="17"/>
          <w:szCs w:val="17"/>
          <w:u w:val="single" w:color="auto"/>
          <w:color w:val="0000EE"/>
        </w:rPr>
        <w:t>Corporate Governance Guidelines and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13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Insider Trading Policy</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0000EE"/>
        </w:rPr>
        <w:t>Equity Grant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-6985</wp:posOffset>
            </wp:positionV>
            <wp:extent cx="2738755" cy="13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u w:val="single" w:color="auto"/>
          <w:color w:val="0000EE"/>
        </w:rPr>
        <w:t>Corporate Responsibility</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1"/>
          <w:szCs w:val="21"/>
          <w:b w:val="1"/>
          <w:bCs w:val="1"/>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4445</wp:posOffset>
            </wp:positionV>
            <wp:extent cx="2738755" cy="497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38755" cy="497840"/>
                    </a:xfrm>
                    <a:prstGeom prst="rect">
                      <a:avLst/>
                    </a:prstGeom>
                    <a:noFill/>
                  </pic:spPr>
                </pic:pic>
              </a:graphicData>
            </a:graphic>
          </wp:anchor>
        </w:drawing>
      </w:r>
    </w:p>
    <w:p>
      <w:pPr>
        <w:spacing w:after="0" w:line="26" w:lineRule="exact"/>
        <w:rPr>
          <w:sz w:val="20"/>
          <w:szCs w:val="20"/>
          <w:color w:val="auto"/>
        </w:rPr>
      </w:pPr>
    </w:p>
    <w:p>
      <w:pPr>
        <w:ind w:left="800"/>
        <w:spacing w:after="0"/>
        <w:rPr>
          <w:sz w:val="20"/>
          <w:szCs w:val="20"/>
          <w:color w:val="auto"/>
        </w:rPr>
      </w:pPr>
      <w:r>
        <w:rPr>
          <w:rFonts w:ascii="Arial" w:cs="Arial" w:eastAsia="Arial" w:hAnsi="Arial"/>
          <w:sz w:val="21"/>
          <w:szCs w:val="21"/>
          <w:b w:val="1"/>
          <w:bCs w:val="1"/>
          <w:u w:val="single" w:color="auto"/>
          <w:color w:val="0000EE"/>
        </w:rPr>
        <w:t>Proposal 2 Ratification of Selection of</w:t>
      </w:r>
    </w:p>
    <w:p>
      <w:pPr>
        <w:spacing w:after="0" w:line="1" w:lineRule="exact"/>
        <w:rPr>
          <w:sz w:val="20"/>
          <w:szCs w:val="20"/>
          <w:color w:val="auto"/>
        </w:rPr>
      </w:pPr>
    </w:p>
    <w:p>
      <w:pPr>
        <w:ind w:left="960" w:right="800"/>
        <w:spacing w:after="0" w:line="256" w:lineRule="auto"/>
        <w:rPr>
          <w:sz w:val="20"/>
          <w:szCs w:val="20"/>
          <w:color w:val="auto"/>
        </w:rPr>
      </w:pPr>
      <w:r>
        <w:rPr>
          <w:rFonts w:ascii="Arial" w:cs="Arial" w:eastAsia="Arial" w:hAnsi="Arial"/>
          <w:sz w:val="21"/>
          <w:szCs w:val="21"/>
          <w:b w:val="1"/>
          <w:bCs w:val="1"/>
          <w:u w:val="single" w:color="auto"/>
          <w:color w:val="0000EE"/>
        </w:rPr>
        <w:t>Independent Registered Public Accounting Firm</w:t>
      </w:r>
    </w:p>
    <w:p>
      <w:pPr>
        <w:ind w:left="960" w:right="840"/>
        <w:spacing w:after="0" w:line="294" w:lineRule="auto"/>
        <w:rPr>
          <w:sz w:val="20"/>
          <w:szCs w:val="20"/>
          <w:color w:val="auto"/>
        </w:rPr>
      </w:pPr>
      <w:r>
        <w:rPr>
          <w:rFonts w:ascii="Arial" w:cs="Arial" w:eastAsia="Arial" w:hAnsi="Arial"/>
          <w:sz w:val="17"/>
          <w:szCs w:val="17"/>
          <w:u w:val="single" w:color="auto"/>
          <w:color w:val="0000EE"/>
        </w:rPr>
        <w:t>Principal Accountant Fees and Services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-178435</wp:posOffset>
            </wp:positionV>
            <wp:extent cx="2738755" cy="132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38755"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5" w:hanging="390"/>
        <w:spacing w:after="0"/>
        <w:tabs>
          <w:tab w:leader="none" w:pos="485" w:val="left"/>
        </w:tabs>
        <w:numPr>
          <w:ilvl w:val="0"/>
          <w:numId w:val="8"/>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Proposal 3 Approval of an Amendment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-135890</wp:posOffset>
            </wp:positionV>
            <wp:extent cx="3220085" cy="622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20085" cy="622300"/>
                    </a:xfrm>
                    <a:prstGeom prst="rect">
                      <a:avLst/>
                    </a:prstGeom>
                    <a:noFill/>
                  </pic:spPr>
                </pic:pic>
              </a:graphicData>
            </a:graphic>
          </wp:anchor>
        </w:drawing>
      </w:r>
    </w:p>
    <w:p>
      <w:pPr>
        <w:ind w:left="645" w:hanging="550"/>
        <w:spacing w:after="0"/>
        <w:tabs>
          <w:tab w:leader="none" w:pos="645" w:val="left"/>
        </w:tabs>
        <w:numPr>
          <w:ilvl w:val="0"/>
          <w:numId w:val="9"/>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Restatement of Our Amended and Restated</w:t>
      </w:r>
    </w:p>
    <w:p>
      <w:pPr>
        <w:spacing w:after="0" w:line="1" w:lineRule="exact"/>
        <w:rPr>
          <w:sz w:val="20"/>
          <w:szCs w:val="20"/>
          <w:color w:val="auto"/>
        </w:rPr>
      </w:pPr>
    </w:p>
    <w:p>
      <w:pPr>
        <w:ind w:left="645" w:right="280" w:hanging="550"/>
        <w:spacing w:after="0" w:line="201" w:lineRule="auto"/>
        <w:tabs>
          <w:tab w:leader="none" w:pos="645" w:val="left"/>
        </w:tabs>
        <w:numPr>
          <w:ilvl w:val="0"/>
          <w:numId w:val="10"/>
        </w:numPr>
        <w:rPr>
          <w:rFonts w:ascii="Arial" w:cs="Arial" w:eastAsia="Arial" w:hAnsi="Arial"/>
          <w:sz w:val="34"/>
          <w:szCs w:val="34"/>
          <w:u w:val="single" w:color="auto"/>
          <w:color w:val="0000EE"/>
          <w:vertAlign w:val="superscript"/>
        </w:rPr>
      </w:pPr>
      <w:r>
        <w:rPr>
          <w:rFonts w:ascii="Arial" w:cs="Arial" w:eastAsia="Arial" w:hAnsi="Arial"/>
          <w:sz w:val="20"/>
          <w:szCs w:val="20"/>
          <w:b w:val="1"/>
          <w:bCs w:val="1"/>
          <w:u w:val="single" w:color="auto"/>
          <w:color w:val="0000EE"/>
        </w:rPr>
        <w:t>Certificate of Incorporation to Limit Officer Liability as Permitted by Delaware Law</w:t>
      </w:r>
    </w:p>
    <w:tbl>
      <w:tblPr>
        <w:tblLayout w:type="fixed"/>
        <w:tblInd w:w="5" w:type="dxa"/>
        <w:tblCellMar>
          <w:top w:w="0" w:type="dxa"/>
          <w:left w:w="0" w:type="dxa"/>
          <w:bottom w:w="0" w:type="dxa"/>
          <w:right w:w="0" w:type="dxa"/>
        </w:tblCellMar>
      </w:tblPr>
      <w:tr>
        <w:trPr>
          <w:trHeight w:val="173"/>
        </w:trPr>
        <w:tc>
          <w:tcPr>
            <w:tcW w:w="180" w:type="dxa"/>
            <w:vAlign w:val="bottom"/>
            <w:tcBorders>
              <w:bottom w:val="single" w:sz="8" w:color="0000EE"/>
            </w:tcBorders>
          </w:tcPr>
          <w:p>
            <w:pPr>
              <w:jc w:val="right"/>
              <w:spacing w:after="0" w:line="173" w:lineRule="exact"/>
              <w:rPr>
                <w:sz w:val="20"/>
                <w:szCs w:val="20"/>
                <w:color w:val="auto"/>
              </w:rPr>
            </w:pPr>
            <w:r>
              <w:rPr>
                <w:rFonts w:ascii="Arial" w:cs="Arial" w:eastAsia="Arial" w:hAnsi="Arial"/>
                <w:sz w:val="17"/>
                <w:szCs w:val="17"/>
                <w:color w:val="0000EE"/>
                <w:w w:val="84"/>
              </w:rPr>
              <w:t>12</w:t>
            </w:r>
          </w:p>
        </w:tc>
        <w:tc>
          <w:tcPr>
            <w:tcW w:w="4960" w:type="dxa"/>
            <w:vAlign w:val="bottom"/>
            <w:gridSpan w:val="8"/>
            <w:vMerge w:val="restart"/>
          </w:tcPr>
          <w:p>
            <w:pPr>
              <w:ind w:left="300"/>
              <w:spacing w:after="0"/>
              <w:rPr>
                <w:sz w:val="20"/>
                <w:szCs w:val="20"/>
                <w:color w:val="auto"/>
              </w:rPr>
            </w:pPr>
            <w:r>
              <w:rPr>
                <w:rFonts w:ascii="Arial" w:cs="Arial" w:eastAsia="Arial" w:hAnsi="Arial"/>
                <w:sz w:val="21"/>
                <w:szCs w:val="21"/>
                <w:b w:val="1"/>
                <w:bCs w:val="1"/>
                <w:color w:val="0000EE"/>
                <w:w w:val="98"/>
              </w:rPr>
              <w:t>Proposal 4 Advisory Vote on the Ratification of</w:t>
            </w:r>
          </w:p>
        </w:tc>
        <w:tc>
          <w:tcPr>
            <w:tcW w:w="0" w:type="dxa"/>
            <w:vAlign w:val="bottom"/>
          </w:tcPr>
          <w:p>
            <w:pPr>
              <w:spacing w:after="0"/>
              <w:rPr>
                <w:sz w:val="1"/>
                <w:szCs w:val="1"/>
                <w:color w:val="auto"/>
              </w:rPr>
            </w:pPr>
          </w:p>
        </w:tc>
      </w:tr>
      <w:tr>
        <w:trPr>
          <w:trHeight w:val="85"/>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12</w:t>
            </w:r>
          </w:p>
        </w:tc>
        <w:tc>
          <w:tcPr>
            <w:tcW w:w="4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0000EE"/>
            </w:tcBorders>
            <w:vMerge w:val="continue"/>
          </w:tcPr>
          <w:p>
            <w:pPr>
              <w:spacing w:after="0"/>
              <w:rPr>
                <w:sz w:val="11"/>
                <w:szCs w:val="11"/>
                <w:color w:val="auto"/>
              </w:rPr>
            </w:pPr>
          </w:p>
        </w:tc>
        <w:tc>
          <w:tcPr>
            <w:tcW w:w="300" w:type="dxa"/>
            <w:vAlign w:val="bottom"/>
            <w:vMerge w:val="restart"/>
          </w:tcPr>
          <w:p>
            <w:pPr>
              <w:spacing w:after="0"/>
              <w:rPr>
                <w:sz w:val="11"/>
                <w:szCs w:val="11"/>
                <w:color w:val="auto"/>
              </w:rPr>
            </w:pPr>
          </w:p>
        </w:tc>
        <w:tc>
          <w:tcPr>
            <w:tcW w:w="160" w:type="dxa"/>
            <w:vAlign w:val="bottom"/>
            <w:tcBorders>
              <w:top w:val="single" w:sz="8" w:color="0000EE"/>
              <w:bottom w:val="single" w:sz="8" w:color="0000EE"/>
            </w:tcBorders>
            <w:vMerge w:val="restart"/>
          </w:tcPr>
          <w:p>
            <w:pPr>
              <w:spacing w:after="0"/>
              <w:rPr>
                <w:sz w:val="11"/>
                <w:szCs w:val="11"/>
                <w:color w:val="auto"/>
              </w:rPr>
            </w:pPr>
          </w:p>
        </w:tc>
        <w:tc>
          <w:tcPr>
            <w:tcW w:w="4480" w:type="dxa"/>
            <w:vAlign w:val="bottom"/>
            <w:tcBorders>
              <w:top w:val="single" w:sz="8" w:color="0000EE"/>
              <w:bottom w:val="single" w:sz="8" w:color="0000EE"/>
            </w:tcBorders>
            <w:gridSpan w:val="5"/>
            <w:vMerge w:val="restart"/>
          </w:tcPr>
          <w:p>
            <w:pPr>
              <w:spacing w:after="0" w:line="215" w:lineRule="exact"/>
              <w:rPr>
                <w:sz w:val="20"/>
                <w:szCs w:val="20"/>
                <w:color w:val="auto"/>
              </w:rPr>
            </w:pPr>
            <w:r>
              <w:rPr>
                <w:rFonts w:ascii="Arial" w:cs="Arial" w:eastAsia="Arial" w:hAnsi="Arial"/>
                <w:sz w:val="21"/>
                <w:szCs w:val="21"/>
                <w:b w:val="1"/>
                <w:bCs w:val="1"/>
                <w:color w:val="0000EE"/>
              </w:rPr>
              <w:t>Supermajority Voting Provisions in Our</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12</w:t>
            </w:r>
          </w:p>
        </w:tc>
        <w:tc>
          <w:tcPr>
            <w:tcW w:w="3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480" w:type="dxa"/>
            <w:vAlign w:val="bottom"/>
            <w:gridSpan w:val="5"/>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80" w:type="dxa"/>
            <w:vAlign w:val="bottom"/>
            <w:tcBorders>
              <w:bottom w:val="single" w:sz="8" w:color="0000EE"/>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3900" w:type="dxa"/>
            <w:vAlign w:val="bottom"/>
            <w:tcBorders>
              <w:top w:val="single" w:sz="8" w:color="0000EE"/>
              <w:bottom w:val="single" w:sz="8" w:color="0000EE"/>
            </w:tcBorders>
            <w:gridSpan w:val="3"/>
            <w:vMerge w:val="restart"/>
          </w:tcPr>
          <w:p>
            <w:pPr>
              <w:spacing w:after="0" w:line="228" w:lineRule="exact"/>
              <w:rPr>
                <w:sz w:val="20"/>
                <w:szCs w:val="20"/>
                <w:color w:val="auto"/>
              </w:rPr>
            </w:pPr>
            <w:r>
              <w:rPr>
                <w:rFonts w:ascii="Arial" w:cs="Arial" w:eastAsia="Arial" w:hAnsi="Arial"/>
                <w:sz w:val="21"/>
                <w:szCs w:val="21"/>
                <w:b w:val="1"/>
                <w:bCs w:val="1"/>
                <w:color w:val="0000EE"/>
              </w:rPr>
              <w:t>Amended and Restated Certificate of</w:t>
            </w:r>
          </w:p>
        </w:tc>
        <w:tc>
          <w:tcPr>
            <w:tcW w:w="60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12</w:t>
            </w:r>
          </w:p>
        </w:tc>
        <w:tc>
          <w:tcPr>
            <w:tcW w:w="3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80" w:type="dxa"/>
            <w:vAlign w:val="bottom"/>
            <w:tcBorders>
              <w:bottom w:val="single" w:sz="8" w:color="0000EE"/>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160" w:type="dxa"/>
            <w:vAlign w:val="bottom"/>
            <w:gridSpan w:val="4"/>
            <w:vMerge w:val="restart"/>
          </w:tcPr>
          <w:p>
            <w:pPr>
              <w:spacing w:after="0" w:line="215" w:lineRule="exact"/>
              <w:rPr>
                <w:sz w:val="20"/>
                <w:szCs w:val="20"/>
                <w:color w:val="auto"/>
              </w:rPr>
            </w:pPr>
            <w:r>
              <w:rPr>
                <w:rFonts w:ascii="Arial" w:cs="Arial" w:eastAsia="Arial" w:hAnsi="Arial"/>
                <w:sz w:val="21"/>
                <w:szCs w:val="21"/>
                <w:b w:val="1"/>
                <w:bCs w:val="1"/>
                <w:color w:val="0000EE"/>
                <w:w w:val="99"/>
              </w:rPr>
              <w:t>Incorporation and Amended and Restated</w:t>
            </w: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13</w:t>
            </w:r>
          </w:p>
        </w:tc>
        <w:tc>
          <w:tcPr>
            <w:tcW w:w="30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4160" w:type="dxa"/>
            <w:vAlign w:val="bottom"/>
            <w:tcBorders>
              <w:bottom w:val="single" w:sz="8" w:color="0000EE"/>
            </w:tcBorders>
            <w:gridSpan w:val="4"/>
            <w:vMerge w:val="continue"/>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80" w:type="dxa"/>
            <w:vAlign w:val="bottom"/>
            <w:tcBorders>
              <w:bottom w:val="single" w:sz="8" w:color="0000EE"/>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720" w:type="dxa"/>
            <w:vAlign w:val="bottom"/>
            <w:vMerge w:val="restart"/>
          </w:tcPr>
          <w:p>
            <w:pPr>
              <w:spacing w:after="0" w:line="202" w:lineRule="exact"/>
              <w:rPr>
                <w:sz w:val="20"/>
                <w:szCs w:val="20"/>
                <w:color w:val="auto"/>
              </w:rPr>
            </w:pPr>
            <w:r>
              <w:rPr>
                <w:rFonts w:ascii="Arial" w:cs="Arial" w:eastAsia="Arial" w:hAnsi="Arial"/>
                <w:sz w:val="21"/>
                <w:szCs w:val="21"/>
                <w:b w:val="1"/>
                <w:bCs w:val="1"/>
                <w:color w:val="0000EE"/>
                <w:w w:val="96"/>
              </w:rPr>
              <w:t>Bylaws</w:t>
            </w:r>
          </w:p>
        </w:tc>
        <w:tc>
          <w:tcPr>
            <w:tcW w:w="3440" w:type="dxa"/>
            <w:vAlign w:val="bottom"/>
            <w:gridSpan w:val="3"/>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0" w:type="dxa"/>
            <w:vAlign w:val="bottom"/>
          </w:tcPr>
          <w:p>
            <w:pPr>
              <w:jc w:val="right"/>
              <w:spacing w:after="0" w:line="163" w:lineRule="exact"/>
              <w:rPr>
                <w:sz w:val="20"/>
                <w:szCs w:val="20"/>
                <w:color w:val="auto"/>
              </w:rPr>
            </w:pPr>
            <w:r>
              <w:rPr>
                <w:rFonts w:ascii="Arial" w:cs="Arial" w:eastAsia="Arial" w:hAnsi="Arial"/>
                <w:sz w:val="17"/>
                <w:szCs w:val="17"/>
                <w:color w:val="0000EE"/>
                <w:w w:val="84"/>
              </w:rPr>
              <w:t>13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0000EE"/>
            </w:tcBorders>
            <w:vMerge w:val="continue"/>
          </w:tcPr>
          <w:p>
            <w:pPr>
              <w:spacing w:after="0"/>
              <w:rPr>
                <w:sz w:val="14"/>
                <w:szCs w:val="14"/>
                <w:color w:val="auto"/>
              </w:rPr>
            </w:pPr>
          </w:p>
        </w:tc>
        <w:tc>
          <w:tcPr>
            <w:tcW w:w="37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85" w:hanging="485"/>
        <w:spacing w:after="0" w:line="191" w:lineRule="auto"/>
        <w:tabs>
          <w:tab w:leader="none" w:pos="485" w:val="left"/>
        </w:tabs>
        <w:numPr>
          <w:ilvl w:val="0"/>
          <w:numId w:val="11"/>
        </w:numPr>
        <w:rPr>
          <w:rFonts w:ascii="Arial" w:cs="Arial" w:eastAsia="Arial" w:hAnsi="Arial"/>
          <w:sz w:val="35"/>
          <w:szCs w:val="35"/>
          <w:u w:val="single" w:color="auto"/>
          <w:color w:val="0000EE"/>
          <w:vertAlign w:val="superscript"/>
        </w:rPr>
      </w:pPr>
      <w:r>
        <w:rPr>
          <w:rFonts w:ascii="Arial" w:cs="Arial" w:eastAsia="Arial" w:hAnsi="Arial"/>
          <w:sz w:val="21"/>
          <w:szCs w:val="21"/>
          <w:b w:val="1"/>
          <w:bCs w:val="1"/>
          <w:u w:val="single" w:color="auto"/>
          <w:color w:val="0000EE"/>
        </w:rPr>
        <w:t>Executive Compensation Discussion and</w:t>
      </w:r>
    </w:p>
    <w:p>
      <w:pPr>
        <w:ind w:left="645" w:hanging="645"/>
        <w:spacing w:after="0" w:line="185" w:lineRule="auto"/>
        <w:tabs>
          <w:tab w:leader="none" w:pos="645" w:val="left"/>
        </w:tabs>
        <w:numPr>
          <w:ilvl w:val="0"/>
          <w:numId w:val="12"/>
        </w:numPr>
        <w:rPr>
          <w:rFonts w:ascii="Arial" w:cs="Arial" w:eastAsia="Arial" w:hAnsi="Arial"/>
          <w:sz w:val="30"/>
          <w:szCs w:val="30"/>
          <w:u w:val="single" w:color="auto"/>
          <w:color w:val="0000EE"/>
          <w:vertAlign w:val="subscript"/>
        </w:rPr>
      </w:pPr>
      <w:r>
        <w:rPr>
          <w:rFonts w:ascii="Arial" w:cs="Arial" w:eastAsia="Arial" w:hAnsi="Arial"/>
          <w:sz w:val="18"/>
          <w:szCs w:val="18"/>
          <w:b w:val="1"/>
          <w:bCs w:val="1"/>
          <w:u w:val="single" w:color="auto"/>
          <w:color w:val="0000EE"/>
        </w:rPr>
        <w:t>Analysis</w:t>
      </w:r>
    </w:p>
    <w:p>
      <w:pPr>
        <w:spacing w:after="0" w:line="57" w:lineRule="exact"/>
        <w:rPr>
          <w:rFonts w:ascii="Arial" w:cs="Arial" w:eastAsia="Arial" w:hAnsi="Arial"/>
          <w:sz w:val="30"/>
          <w:szCs w:val="30"/>
          <w:u w:val="single" w:color="auto"/>
          <w:color w:val="0000EE"/>
          <w:vertAlign w:val="subscript"/>
        </w:rPr>
      </w:pPr>
    </w:p>
    <w:p>
      <w:pPr>
        <w:ind w:left="485" w:hanging="485"/>
        <w:spacing w:after="0"/>
        <w:tabs>
          <w:tab w:leader="none" w:pos="485" w:val="left"/>
        </w:tabs>
        <w:numPr>
          <w:ilvl w:val="0"/>
          <w:numId w:val="12"/>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-553085</wp:posOffset>
            </wp:positionV>
            <wp:extent cx="3220085" cy="356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20085" cy="35687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1905</wp:posOffset>
            </wp:positionV>
            <wp:extent cx="3220085" cy="199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20085" cy="199390"/>
                    </a:xfrm>
                    <a:prstGeom prst="rect">
                      <a:avLst/>
                    </a:prstGeom>
                    <a:noFill/>
                  </pic:spPr>
                </pic:pic>
              </a:graphicData>
            </a:graphic>
          </wp:anchor>
        </w:drawing>
      </w:r>
    </w:p>
    <w:p>
      <w:pPr>
        <w:ind w:left="485" w:hanging="485"/>
        <w:spacing w:after="0" w:line="212" w:lineRule="auto"/>
        <w:tabs>
          <w:tab w:leader="none" w:pos="485" w:val="left"/>
        </w:tabs>
        <w:numPr>
          <w:ilvl w:val="0"/>
          <w:numId w:val="13"/>
        </w:numPr>
        <w:rPr>
          <w:rFonts w:ascii="Arial" w:cs="Arial" w:eastAsia="Arial" w:hAnsi="Arial"/>
          <w:sz w:val="35"/>
          <w:szCs w:val="35"/>
          <w:u w:val="single" w:color="auto"/>
          <w:color w:val="0000EE"/>
          <w:vertAlign w:val="subscript"/>
        </w:rPr>
      </w:pPr>
      <w:r>
        <w:rPr>
          <w:rFonts w:ascii="Arial" w:cs="Arial" w:eastAsia="Arial" w:hAnsi="Arial"/>
          <w:sz w:val="21"/>
          <w:szCs w:val="21"/>
          <w:b w:val="1"/>
          <w:bCs w:val="1"/>
          <w:u w:val="single" w:color="auto"/>
          <w:color w:val="0000EE"/>
        </w:rPr>
        <w:t>Executive Compensation Tables</w:t>
      </w:r>
    </w:p>
    <w:p>
      <w:pPr>
        <w:spacing w:after="0" w:line="43" w:lineRule="exact"/>
        <w:rPr>
          <w:rFonts w:ascii="Arial" w:cs="Arial" w:eastAsia="Arial" w:hAnsi="Arial"/>
          <w:sz w:val="35"/>
          <w:szCs w:val="35"/>
          <w:u w:val="single" w:color="auto"/>
          <w:color w:val="0000EE"/>
          <w:vertAlign w:val="subscript"/>
        </w:rPr>
      </w:pPr>
    </w:p>
    <w:p>
      <w:pPr>
        <w:ind w:left="485" w:hanging="485"/>
        <w:spacing w:after="0"/>
        <w:tabs>
          <w:tab w:leader="none" w:pos="485" w:val="left"/>
        </w:tabs>
        <w:numPr>
          <w:ilvl w:val="0"/>
          <w:numId w:val="13"/>
        </w:numPr>
        <w:rPr>
          <w:rFonts w:ascii="Arial" w:cs="Arial" w:eastAsia="Arial" w:hAnsi="Arial"/>
          <w:sz w:val="17"/>
          <w:szCs w:val="17"/>
          <w:u w:val="single" w:color="auto"/>
          <w:color w:val="0000EE"/>
        </w:rPr>
      </w:pPr>
      <w:r>
        <w:rPr>
          <w:rFonts w:ascii="Arial" w:cs="Arial" w:eastAsia="Arial" w:hAnsi="Arial"/>
          <w:sz w:val="21"/>
          <w:szCs w:val="21"/>
          <w:b w:val="1"/>
          <w:bCs w:val="1"/>
          <w:u w:val="single" w:color="auto"/>
          <w:color w:val="0000EE"/>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-5715</wp:posOffset>
            </wp:positionV>
            <wp:extent cx="3220085" cy="356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20085" cy="356870"/>
                    </a:xfrm>
                    <a:prstGeom prst="rect">
                      <a:avLst/>
                    </a:prstGeom>
                    <a:noFill/>
                  </pic:spPr>
                </pic:pic>
              </a:graphicData>
            </a:graphic>
          </wp:anchor>
        </w:drawing>
      </w:r>
    </w:p>
    <w:p>
      <w:pPr>
        <w:ind w:left="485" w:hanging="485"/>
        <w:spacing w:after="0" w:line="182" w:lineRule="auto"/>
        <w:tabs>
          <w:tab w:leader="none" w:pos="485" w:val="left"/>
        </w:tabs>
        <w:numPr>
          <w:ilvl w:val="0"/>
          <w:numId w:val="14"/>
        </w:numPr>
        <w:rPr>
          <w:rFonts w:ascii="Arial" w:cs="Arial" w:eastAsia="Arial" w:hAnsi="Arial"/>
          <w:sz w:val="34"/>
          <w:szCs w:val="34"/>
          <w:u w:val="single" w:color="auto"/>
          <w:color w:val="0000EE"/>
          <w:vertAlign w:val="subscript"/>
        </w:rPr>
      </w:pPr>
      <w:r>
        <w:rPr>
          <w:rFonts w:ascii="Arial" w:cs="Arial" w:eastAsia="Arial" w:hAnsi="Arial"/>
          <w:sz w:val="20"/>
          <w:szCs w:val="20"/>
          <w:b w:val="1"/>
          <w:bCs w:val="1"/>
          <w:u w:val="single" w:color="auto"/>
          <w:color w:val="0000EE"/>
        </w:rPr>
        <w:t>Security Ownership of Certain Beneficial</w:t>
      </w:r>
    </w:p>
    <w:p>
      <w:pPr>
        <w:ind w:left="645" w:hanging="645"/>
        <w:spacing w:after="0" w:line="185" w:lineRule="auto"/>
        <w:tabs>
          <w:tab w:leader="none" w:pos="645" w:val="left"/>
        </w:tabs>
        <w:numPr>
          <w:ilvl w:val="0"/>
          <w:numId w:val="14"/>
        </w:numPr>
        <w:rPr>
          <w:rFonts w:ascii="Arial" w:cs="Arial" w:eastAsia="Arial" w:hAnsi="Arial"/>
          <w:sz w:val="30"/>
          <w:szCs w:val="30"/>
          <w:u w:val="single" w:color="auto"/>
          <w:color w:val="0000EE"/>
          <w:vertAlign w:val="subscript"/>
        </w:rPr>
      </w:pPr>
      <w:r>
        <w:rPr>
          <w:rFonts w:ascii="Arial" w:cs="Arial" w:eastAsia="Arial" w:hAnsi="Arial"/>
          <w:sz w:val="18"/>
          <w:szCs w:val="18"/>
          <w:b w:val="1"/>
          <w:bCs w:val="1"/>
          <w:u w:val="single" w:color="auto"/>
          <w:color w:val="0000EE"/>
        </w:rPr>
        <w:t>Owners and Management</w:t>
      </w:r>
    </w:p>
    <w:p>
      <w:pPr>
        <w:ind w:left="485" w:hanging="485"/>
        <w:spacing w:after="0" w:line="185" w:lineRule="auto"/>
        <w:tabs>
          <w:tab w:leader="none" w:pos="485" w:val="left"/>
        </w:tabs>
        <w:numPr>
          <w:ilvl w:val="0"/>
          <w:numId w:val="15"/>
        </w:numPr>
        <w:rPr>
          <w:rFonts w:ascii="Arial" w:cs="Arial" w:eastAsia="Arial" w:hAnsi="Arial"/>
          <w:sz w:val="31"/>
          <w:szCs w:val="31"/>
          <w:u w:val="single" w:color="auto"/>
          <w:color w:val="0000EE"/>
          <w:vertAlign w:val="superscript"/>
        </w:rPr>
      </w:pPr>
      <w:r>
        <w:rPr>
          <w:rFonts w:ascii="Arial" w:cs="Arial" w:eastAsia="Arial" w:hAnsi="Arial"/>
          <w:sz w:val="19"/>
          <w:szCs w:val="19"/>
          <w:b w:val="1"/>
          <w:bCs w:val="1"/>
          <w:color w:val="0000EE"/>
        </w:rPr>
        <w:t>Delinquent Section 16(a) Reports</w:t>
      </w:r>
    </w:p>
    <w:tbl>
      <w:tblPr>
        <w:tblLayout w:type="fixed"/>
        <w:tblInd w:w="5" w:type="dxa"/>
        <w:tblCellMar>
          <w:top w:w="0" w:type="dxa"/>
          <w:left w:w="0" w:type="dxa"/>
          <w:bottom w:w="0" w:type="dxa"/>
          <w:right w:w="0" w:type="dxa"/>
        </w:tblCellMar>
      </w:tblPr>
      <w:tr>
        <w:trPr>
          <w:trHeight w:val="151"/>
        </w:trPr>
        <w:tc>
          <w:tcPr>
            <w:tcW w:w="180" w:type="dxa"/>
            <w:vAlign w:val="bottom"/>
            <w:tcBorders>
              <w:bottom w:val="single" w:sz="8" w:color="0000EE"/>
            </w:tcBorders>
          </w:tcPr>
          <w:p>
            <w:pPr>
              <w:jc w:val="right"/>
              <w:spacing w:after="0" w:line="151" w:lineRule="exact"/>
              <w:rPr>
                <w:sz w:val="20"/>
                <w:szCs w:val="20"/>
                <w:color w:val="auto"/>
              </w:rPr>
            </w:pPr>
            <w:r>
              <w:rPr>
                <w:rFonts w:ascii="Arial" w:cs="Arial" w:eastAsia="Arial" w:hAnsi="Arial"/>
                <w:sz w:val="17"/>
                <w:szCs w:val="17"/>
                <w:color w:val="0000EE"/>
                <w:w w:val="84"/>
              </w:rPr>
              <w:t>16</w:t>
            </w:r>
          </w:p>
        </w:tc>
        <w:tc>
          <w:tcPr>
            <w:tcW w:w="30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3"/>
            <w:vMerge w:val="restart"/>
          </w:tcPr>
          <w:p>
            <w:pPr>
              <w:spacing w:after="0"/>
              <w:rPr>
                <w:sz w:val="20"/>
                <w:szCs w:val="20"/>
                <w:color w:val="auto"/>
              </w:rPr>
            </w:pPr>
            <w:r>
              <w:rPr>
                <w:rFonts w:ascii="Arial" w:cs="Arial" w:eastAsia="Arial" w:hAnsi="Arial"/>
                <w:sz w:val="21"/>
                <w:szCs w:val="21"/>
                <w:b w:val="1"/>
                <w:bCs w:val="1"/>
                <w:color w:val="0000EE"/>
                <w:w w:val="98"/>
              </w:rPr>
              <w:t>Legal Proceedings</w:t>
            </w:r>
          </w:p>
        </w:tc>
        <w:tc>
          <w:tcPr>
            <w:tcW w:w="340" w:type="dxa"/>
            <w:vAlign w:val="bottom"/>
            <w:tcBorders>
              <w:top w:val="single" w:sz="8" w:color="0000EE"/>
            </w:tcBorders>
          </w:tcPr>
          <w:p>
            <w:pPr>
              <w:spacing w:after="0"/>
              <w:rPr>
                <w:sz w:val="13"/>
                <w:szCs w:val="13"/>
                <w:color w:val="auto"/>
              </w:rPr>
            </w:pPr>
          </w:p>
        </w:tc>
        <w:tc>
          <w:tcPr>
            <w:tcW w:w="10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17</w:t>
            </w:r>
          </w:p>
        </w:tc>
        <w:tc>
          <w:tcPr>
            <w:tcW w:w="300" w:type="dxa"/>
            <w:vAlign w:val="bottom"/>
          </w:tcPr>
          <w:p>
            <w:pPr>
              <w:spacing w:after="0"/>
              <w:rPr>
                <w:sz w:val="10"/>
                <w:szCs w:val="10"/>
                <w:color w:val="auto"/>
              </w:rPr>
            </w:pPr>
          </w:p>
        </w:tc>
        <w:tc>
          <w:tcPr>
            <w:tcW w:w="1860" w:type="dxa"/>
            <w:vAlign w:val="bottom"/>
            <w:tcBorders>
              <w:bottom w:val="single" w:sz="8" w:color="0000EE"/>
            </w:tcBorders>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80" w:type="dxa"/>
            <w:vAlign w:val="bottom"/>
            <w:tcBorders>
              <w:bottom w:val="single" w:sz="8" w:color="0000EE"/>
            </w:tcBorders>
            <w:vMerge w:val="continue"/>
          </w:tcPr>
          <w:p>
            <w:pPr>
              <w:spacing w:after="0"/>
              <w:rPr>
                <w:sz w:val="3"/>
                <w:szCs w:val="3"/>
                <w:color w:val="auto"/>
              </w:rPr>
            </w:pPr>
          </w:p>
        </w:tc>
        <w:tc>
          <w:tcPr>
            <w:tcW w:w="4560" w:type="dxa"/>
            <w:vAlign w:val="bottom"/>
            <w:gridSpan w:val="10"/>
            <w:vMerge w:val="restart"/>
          </w:tcPr>
          <w:p>
            <w:pPr>
              <w:ind w:left="300"/>
              <w:spacing w:after="0"/>
              <w:rPr>
                <w:sz w:val="20"/>
                <w:szCs w:val="20"/>
                <w:color w:val="auto"/>
              </w:rPr>
            </w:pPr>
            <w:r>
              <w:rPr>
                <w:rFonts w:ascii="Arial" w:cs="Arial" w:eastAsia="Arial" w:hAnsi="Arial"/>
                <w:sz w:val="21"/>
                <w:szCs w:val="21"/>
                <w:b w:val="1"/>
                <w:bCs w:val="1"/>
                <w:color w:val="0000EE"/>
              </w:rPr>
              <w:t>Transactions with Related Parties</w:t>
            </w:r>
          </w:p>
        </w:tc>
        <w:tc>
          <w:tcPr>
            <w:tcW w:w="0" w:type="dxa"/>
            <w:vAlign w:val="bottom"/>
          </w:tcPr>
          <w:p>
            <w:pPr>
              <w:spacing w:after="0"/>
              <w:rPr>
                <w:sz w:val="1"/>
                <w:szCs w:val="1"/>
                <w:color w:val="auto"/>
              </w:rPr>
            </w:pPr>
          </w:p>
        </w:tc>
      </w:tr>
      <w:tr>
        <w:trPr>
          <w:trHeight w:val="228"/>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17</w:t>
            </w:r>
          </w:p>
        </w:tc>
        <w:tc>
          <w:tcPr>
            <w:tcW w:w="4560" w:type="dxa"/>
            <w:vAlign w:val="bottom"/>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0000EE"/>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3240" w:type="dxa"/>
            <w:vAlign w:val="bottom"/>
            <w:tcBorders>
              <w:top w:val="single" w:sz="8" w:color="0000EE"/>
              <w:bottom w:val="single" w:sz="8" w:color="0000EE"/>
            </w:tcBorders>
            <w:gridSpan w:val="5"/>
            <w:vMerge w:val="restart"/>
          </w:tcPr>
          <w:p>
            <w:pPr>
              <w:spacing w:after="0"/>
              <w:rPr>
                <w:sz w:val="20"/>
                <w:szCs w:val="20"/>
                <w:color w:val="auto"/>
              </w:rPr>
            </w:pPr>
            <w:r>
              <w:rPr>
                <w:rFonts w:ascii="Arial" w:cs="Arial" w:eastAsia="Arial" w:hAnsi="Arial"/>
                <w:sz w:val="21"/>
                <w:szCs w:val="21"/>
                <w:b w:val="1"/>
                <w:bCs w:val="1"/>
                <w:color w:val="0000EE"/>
                <w:w w:val="98"/>
              </w:rPr>
              <w:t>Householding of Proxy Materials</w:t>
            </w: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17</w:t>
            </w:r>
          </w:p>
        </w:tc>
        <w:tc>
          <w:tcPr>
            <w:tcW w:w="300" w:type="dxa"/>
            <w:vAlign w:val="bottom"/>
          </w:tcPr>
          <w:p>
            <w:pPr>
              <w:spacing w:after="0"/>
              <w:rPr>
                <w:sz w:val="11"/>
                <w:szCs w:val="11"/>
                <w:color w:val="auto"/>
              </w:rPr>
            </w:pPr>
          </w:p>
        </w:tc>
        <w:tc>
          <w:tcPr>
            <w:tcW w:w="3240" w:type="dxa"/>
            <w:vAlign w:val="bottom"/>
            <w:tcBorders>
              <w:bottom w:val="single" w:sz="8" w:color="0000EE"/>
            </w:tcBorders>
            <w:gridSpan w:val="5"/>
            <w:vMerge w:val="continue"/>
          </w:tcPr>
          <w:p>
            <w:pPr>
              <w:spacing w:after="0"/>
              <w:rPr>
                <w:sz w:val="11"/>
                <w:szCs w:val="11"/>
                <w:color w:val="auto"/>
              </w:rPr>
            </w:pPr>
          </w:p>
        </w:tc>
        <w:tc>
          <w:tcPr>
            <w:tcW w:w="10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0" w:type="dxa"/>
            <w:vAlign w:val="bottom"/>
            <w:tcBorders>
              <w:bottom w:val="single" w:sz="8" w:color="0000EE"/>
            </w:tcBorders>
            <w:vMerge w:val="continue"/>
          </w:tcPr>
          <w:p>
            <w:pPr>
              <w:spacing w:after="0"/>
              <w:rPr>
                <w:sz w:val="5"/>
                <w:szCs w:val="5"/>
                <w:color w:val="auto"/>
              </w:rPr>
            </w:pPr>
          </w:p>
        </w:tc>
        <w:tc>
          <w:tcPr>
            <w:tcW w:w="4560" w:type="dxa"/>
            <w:vAlign w:val="bottom"/>
            <w:gridSpan w:val="10"/>
            <w:vMerge w:val="restart"/>
          </w:tcPr>
          <w:p>
            <w:pPr>
              <w:ind w:left="300"/>
              <w:spacing w:after="0"/>
              <w:rPr>
                <w:sz w:val="20"/>
                <w:szCs w:val="20"/>
                <w:color w:val="auto"/>
              </w:rPr>
            </w:pPr>
            <w:r>
              <w:rPr>
                <w:rFonts w:ascii="Arial" w:cs="Arial" w:eastAsia="Arial" w:hAnsi="Arial"/>
                <w:sz w:val="21"/>
                <w:szCs w:val="21"/>
                <w:b w:val="1"/>
                <w:bCs w:val="1"/>
                <w:color w:val="0000EE"/>
                <w:w w:val="99"/>
              </w:rPr>
              <w:t>Questions and Answers about these Proxy</w:t>
            </w:r>
          </w:p>
        </w:tc>
        <w:tc>
          <w:tcPr>
            <w:tcW w:w="0" w:type="dxa"/>
            <w:vAlign w:val="bottom"/>
          </w:tcPr>
          <w:p>
            <w:pPr>
              <w:spacing w:after="0"/>
              <w:rPr>
                <w:sz w:val="1"/>
                <w:szCs w:val="1"/>
                <w:color w:val="auto"/>
              </w:rPr>
            </w:pPr>
          </w:p>
        </w:tc>
      </w:tr>
      <w:tr>
        <w:trPr>
          <w:trHeight w:val="202"/>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18</w:t>
            </w:r>
          </w:p>
        </w:tc>
        <w:tc>
          <w:tcPr>
            <w:tcW w:w="456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0" w:type="dxa"/>
            <w:vAlign w:val="bottom"/>
            <w:tcBorders>
              <w:bottom w:val="single" w:sz="8" w:color="0000EE"/>
            </w:tcBorders>
            <w:vMerge w:val="continue"/>
          </w:tcPr>
          <w:p>
            <w:pPr>
              <w:spacing w:after="0"/>
              <w:rPr>
                <w:sz w:val="14"/>
                <w:szCs w:val="14"/>
                <w:color w:val="auto"/>
              </w:rPr>
            </w:pPr>
          </w:p>
        </w:tc>
        <w:tc>
          <w:tcPr>
            <w:tcW w:w="300" w:type="dxa"/>
            <w:vAlign w:val="bottom"/>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2040" w:type="dxa"/>
            <w:vAlign w:val="bottom"/>
            <w:tcBorders>
              <w:top w:val="single" w:sz="8" w:color="0000EE"/>
              <w:bottom w:val="single" w:sz="8" w:color="0000EE"/>
            </w:tcBorders>
            <w:gridSpan w:val="3"/>
            <w:vMerge w:val="restart"/>
          </w:tcPr>
          <w:p>
            <w:pPr>
              <w:spacing w:after="0" w:line="215" w:lineRule="exact"/>
              <w:rPr>
                <w:sz w:val="20"/>
                <w:szCs w:val="20"/>
                <w:color w:val="auto"/>
              </w:rPr>
            </w:pPr>
            <w:r>
              <w:rPr>
                <w:rFonts w:ascii="Arial" w:cs="Arial" w:eastAsia="Arial" w:hAnsi="Arial"/>
                <w:sz w:val="21"/>
                <w:szCs w:val="21"/>
                <w:b w:val="1"/>
                <w:bCs w:val="1"/>
                <w:color w:val="0000EE"/>
                <w:w w:val="98"/>
              </w:rPr>
              <w:t>Materials and Voting</w:t>
            </w:r>
          </w:p>
        </w:tc>
        <w:tc>
          <w:tcPr>
            <w:tcW w:w="2040" w:type="dxa"/>
            <w:vAlign w:val="bottom"/>
            <w:tcBorders>
              <w:top w:val="single" w:sz="8" w:color="0000EE"/>
              <w:bottom w:val="single" w:sz="8" w:color="0000EE"/>
            </w:tcBorders>
            <w:gridSpan w:val="4"/>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80" w:type="dxa"/>
            <w:vAlign w:val="bottom"/>
            <w:vMerge w:val="restart"/>
          </w:tcPr>
          <w:p>
            <w:pPr>
              <w:jc w:val="right"/>
              <w:spacing w:after="0"/>
              <w:rPr>
                <w:sz w:val="20"/>
                <w:szCs w:val="20"/>
                <w:color w:val="auto"/>
              </w:rPr>
            </w:pPr>
            <w:r>
              <w:rPr>
                <w:rFonts w:ascii="Arial" w:cs="Arial" w:eastAsia="Arial" w:hAnsi="Arial"/>
                <w:sz w:val="17"/>
                <w:szCs w:val="17"/>
                <w:color w:val="0000EE"/>
                <w:w w:val="84"/>
              </w:rPr>
              <w:t>18</w:t>
            </w:r>
          </w:p>
        </w:tc>
        <w:tc>
          <w:tcPr>
            <w:tcW w:w="3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40" w:type="dxa"/>
            <w:vAlign w:val="bottom"/>
            <w:tcBorders>
              <w:bottom w:val="single" w:sz="8" w:color="0000EE"/>
            </w:tcBorders>
            <w:gridSpan w:val="3"/>
            <w:vMerge w:val="continue"/>
          </w:tcPr>
          <w:p>
            <w:pPr>
              <w:spacing w:after="0"/>
              <w:rPr>
                <w:sz w:val="2"/>
                <w:szCs w:val="2"/>
                <w:color w:val="auto"/>
              </w:rPr>
            </w:pPr>
          </w:p>
        </w:tc>
        <w:tc>
          <w:tcPr>
            <w:tcW w:w="20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80" w:type="dxa"/>
            <w:vAlign w:val="bottom"/>
            <w:tcBorders>
              <w:bottom w:val="single" w:sz="8" w:color="0000EE"/>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21"/>
                <w:szCs w:val="21"/>
                <w:b w:val="1"/>
                <w:bCs w:val="1"/>
                <w:color w:val="0000EE"/>
                <w:w w:val="98"/>
              </w:rPr>
              <w:t>Other Matters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vMerge w:val="restart"/>
          </w:tcPr>
          <w:p>
            <w:pPr>
              <w:jc w:val="right"/>
              <w:spacing w:after="0" w:line="189" w:lineRule="exact"/>
              <w:rPr>
                <w:sz w:val="20"/>
                <w:szCs w:val="20"/>
                <w:color w:val="auto"/>
              </w:rPr>
            </w:pPr>
            <w:r>
              <w:rPr>
                <w:rFonts w:ascii="Arial" w:cs="Arial" w:eastAsia="Arial" w:hAnsi="Arial"/>
                <w:sz w:val="17"/>
                <w:szCs w:val="17"/>
                <w:color w:val="0000EE"/>
                <w:w w:val="84"/>
              </w:rPr>
              <w:t>18</w:t>
            </w:r>
          </w:p>
        </w:tc>
        <w:tc>
          <w:tcPr>
            <w:tcW w:w="300" w:type="dxa"/>
            <w:vAlign w:val="bottom"/>
            <w:vMerge w:val="restart"/>
          </w:tcPr>
          <w:p>
            <w:pPr>
              <w:spacing w:after="0"/>
              <w:rPr>
                <w:sz w:val="11"/>
                <w:szCs w:val="11"/>
                <w:color w:val="auto"/>
              </w:rPr>
            </w:pPr>
          </w:p>
        </w:tc>
        <w:tc>
          <w:tcPr>
            <w:tcW w:w="1360" w:type="dxa"/>
            <w:vAlign w:val="bottom"/>
            <w:tcBorders>
              <w:bottom w:val="single" w:sz="8" w:color="0000EE"/>
            </w:tcBorders>
            <w:gridSpan w:val="2"/>
            <w:vMerge w:val="continue"/>
          </w:tcPr>
          <w:p>
            <w:pPr>
              <w:spacing w:after="0"/>
              <w:rPr>
                <w:sz w:val="11"/>
                <w:szCs w:val="11"/>
                <w:color w:val="auto"/>
              </w:rPr>
            </w:pPr>
          </w:p>
        </w:tc>
        <w:tc>
          <w:tcPr>
            <w:tcW w:w="290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80" w:type="dxa"/>
            <w:vAlign w:val="bottom"/>
            <w:tcBorders>
              <w:bottom w:val="single" w:sz="8" w:color="0000EE"/>
            </w:tcBorders>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360" w:type="dxa"/>
            <w:vAlign w:val="bottom"/>
            <w:gridSpan w:val="2"/>
          </w:tcPr>
          <w:p>
            <w:pPr>
              <w:spacing w:after="0"/>
              <w:rPr>
                <w:sz w:val="2"/>
                <w:szCs w:val="2"/>
                <w:color w:val="auto"/>
              </w:rPr>
            </w:pPr>
          </w:p>
        </w:tc>
        <w:tc>
          <w:tcPr>
            <w:tcW w:w="290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-1177925</wp:posOffset>
            </wp:positionV>
            <wp:extent cx="3220085" cy="1993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20085" cy="1993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-779145</wp:posOffset>
            </wp:positionV>
            <wp:extent cx="3220085" cy="199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0085" cy="1993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-223520</wp:posOffset>
            </wp:positionV>
            <wp:extent cx="3220085" cy="199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20085" cy="199390"/>
                    </a:xfrm>
                    <a:prstGeom prst="rect">
                      <a:avLst/>
                    </a:prstGeom>
                    <a:noFill/>
                  </pic:spPr>
                </pic:pic>
              </a:graphicData>
            </a:graphic>
          </wp:anchor>
        </w:drawing>
      </w:r>
    </w:p>
    <w:p>
      <w:pPr>
        <w:ind w:left="485" w:hanging="485"/>
        <w:spacing w:after="0" w:line="186" w:lineRule="auto"/>
        <w:tabs>
          <w:tab w:leader="none" w:pos="485" w:val="left"/>
        </w:tabs>
        <w:numPr>
          <w:ilvl w:val="0"/>
          <w:numId w:val="16"/>
        </w:numPr>
        <w:rPr>
          <w:rFonts w:ascii="Arial" w:cs="Arial" w:eastAsia="Arial" w:hAnsi="Arial"/>
          <w:sz w:val="35"/>
          <w:szCs w:val="35"/>
          <w:u w:val="single" w:color="auto"/>
          <w:color w:val="0000EE"/>
          <w:vertAlign w:val="superscript"/>
        </w:rPr>
      </w:pPr>
      <w:r>
        <w:rPr>
          <w:rFonts w:ascii="Arial" w:cs="Arial" w:eastAsia="Arial" w:hAnsi="Arial"/>
          <w:sz w:val="21"/>
          <w:szCs w:val="21"/>
          <w:b w:val="1"/>
          <w:bCs w:val="1"/>
          <w:u w:val="single" w:color="auto"/>
          <w:color w:val="0000EE"/>
        </w:rPr>
        <w:t>APPENDIX A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-22860</wp:posOffset>
            </wp:positionV>
            <wp:extent cx="3220085" cy="356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20085" cy="356870"/>
                    </a:xfrm>
                    <a:prstGeom prst="rect">
                      <a:avLst/>
                    </a:prstGeom>
                    <a:noFill/>
                  </pic:spPr>
                </pic:pic>
              </a:graphicData>
            </a:graphic>
          </wp:anchor>
        </w:drawing>
      </w:r>
    </w:p>
    <w:p>
      <w:pPr>
        <w:ind w:left="645" w:hanging="645"/>
        <w:spacing w:after="0" w:line="194" w:lineRule="auto"/>
        <w:tabs>
          <w:tab w:leader="none" w:pos="471" w:val="left"/>
        </w:tabs>
        <w:numPr>
          <w:ilvl w:val="0"/>
          <w:numId w:val="17"/>
        </w:numPr>
        <w:rPr>
          <w:rFonts w:ascii="Arial" w:cs="Arial" w:eastAsia="Arial" w:hAnsi="Arial"/>
          <w:sz w:val="35"/>
          <w:szCs w:val="35"/>
          <w:u w:val="single" w:color="auto"/>
          <w:color w:val="0000EE"/>
          <w:vertAlign w:val="superscript"/>
        </w:rPr>
      </w:pPr>
      <w:r>
        <w:rPr>
          <w:rFonts w:ascii="Arial" w:cs="Arial" w:eastAsia="Arial" w:hAnsi="Arial"/>
          <w:sz w:val="21"/>
          <w:szCs w:val="21"/>
          <w:b w:val="1"/>
          <w:bCs w:val="1"/>
          <w:u w:val="single" w:color="auto"/>
          <w:color w:val="0000EE"/>
        </w:rPr>
        <w:t>APPENDIX B Proposed Amended and Restated Charter</w:t>
      </w:r>
    </w:p>
    <w:p>
      <w:pPr>
        <w:spacing w:after="0" w:line="208"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0000EE"/>
        </w:rPr>
        <w:t>24</w:t>
      </w:r>
    </w:p>
    <w:p>
      <w:pPr>
        <w:spacing w:after="0" w:line="66"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0000EE"/>
        </w:rPr>
        <w:t>24</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7"/>
          <w:szCs w:val="17"/>
          <w:u w:val="single" w:color="auto"/>
          <w:color w:val="0000E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652145</wp:posOffset>
            </wp:positionV>
            <wp:extent cx="66141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0" w:hanging="137"/>
        <w:spacing w:after="0"/>
        <w:tabs>
          <w:tab w:leader="none" w:pos="140" w:val="left"/>
        </w:tabs>
        <w:numPr>
          <w:ilvl w:val="0"/>
          <w:numId w:val="18"/>
        </w:numPr>
        <w:rPr>
          <w:rFonts w:ascii="Arial" w:cs="Arial" w:eastAsia="Arial" w:hAnsi="Arial"/>
          <w:sz w:val="19"/>
          <w:szCs w:val="19"/>
          <w:b w:val="1"/>
          <w:bCs w:val="1"/>
          <w:color w:val="auto"/>
        </w:rPr>
      </w:pPr>
      <w:r>
        <w:rPr>
          <w:rFonts w:ascii="Arial" w:cs="Arial" w:eastAsia="Arial" w:hAnsi="Arial"/>
          <w:sz w:val="16"/>
          <w:szCs w:val="16"/>
          <w:u w:val="single" w:color="auto"/>
          <w:color w:val="0000EE"/>
        </w:rPr>
        <w:t>26</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75" w:lineRule="exact"/>
        <w:rPr>
          <w:rFonts w:ascii="Arial" w:cs="Arial" w:eastAsia="Arial" w:hAnsi="Arial"/>
          <w:sz w:val="19"/>
          <w:szCs w:val="19"/>
          <w:b w:val="1"/>
          <w:bCs w:val="1"/>
          <w:color w:val="auto"/>
        </w:rPr>
      </w:pPr>
    </w:p>
    <w:p>
      <w:pPr>
        <w:ind w:left="140" w:hanging="137"/>
        <w:spacing w:after="0"/>
        <w:tabs>
          <w:tab w:leader="none" w:pos="140" w:val="left"/>
        </w:tabs>
        <w:numPr>
          <w:ilvl w:val="0"/>
          <w:numId w:val="18"/>
        </w:numPr>
        <w:rPr>
          <w:rFonts w:ascii="Arial" w:cs="Arial" w:eastAsia="Arial" w:hAnsi="Arial"/>
          <w:sz w:val="19"/>
          <w:szCs w:val="19"/>
          <w:b w:val="1"/>
          <w:bCs w:val="1"/>
          <w:color w:val="auto"/>
        </w:rPr>
      </w:pPr>
      <w:r>
        <w:rPr>
          <w:rFonts w:ascii="Arial" w:cs="Arial" w:eastAsia="Arial" w:hAnsi="Arial"/>
          <w:sz w:val="16"/>
          <w:szCs w:val="16"/>
          <w:u w:val="single" w:color="auto"/>
          <w:color w:val="0000EE"/>
        </w:rPr>
        <w:t>28</w:t>
      </w:r>
    </w:p>
    <w:p>
      <w:pPr>
        <w:spacing w:after="0" w:line="343" w:lineRule="exact"/>
        <w:rPr>
          <w:rFonts w:ascii="Arial" w:cs="Arial" w:eastAsia="Arial" w:hAnsi="Arial"/>
          <w:sz w:val="19"/>
          <w:szCs w:val="19"/>
          <w:b w:val="1"/>
          <w:bCs w:val="1"/>
          <w:color w:val="auto"/>
        </w:rPr>
      </w:pPr>
    </w:p>
    <w:p>
      <w:pPr>
        <w:ind w:left="140" w:hanging="137"/>
        <w:spacing w:after="0"/>
        <w:tabs>
          <w:tab w:leader="none" w:pos="140" w:val="left"/>
        </w:tabs>
        <w:numPr>
          <w:ilvl w:val="0"/>
          <w:numId w:val="18"/>
        </w:numPr>
        <w:rPr>
          <w:rFonts w:ascii="Arial" w:cs="Arial" w:eastAsia="Arial" w:hAnsi="Arial"/>
          <w:sz w:val="19"/>
          <w:szCs w:val="19"/>
          <w:b w:val="1"/>
          <w:bCs w:val="1"/>
          <w:color w:val="auto"/>
        </w:rPr>
      </w:pPr>
      <w:r>
        <w:rPr>
          <w:rFonts w:ascii="Arial" w:cs="Arial" w:eastAsia="Arial" w:hAnsi="Arial"/>
          <w:sz w:val="16"/>
          <w:szCs w:val="16"/>
          <w:u w:val="single" w:color="auto"/>
          <w:color w:val="0000EE"/>
        </w:rPr>
        <w:t>30</w:t>
      </w:r>
    </w:p>
    <w:p>
      <w:pPr>
        <w:spacing w:after="0" w:line="121" w:lineRule="exact"/>
        <w:rPr>
          <w:rFonts w:ascii="Arial" w:cs="Arial" w:eastAsia="Arial" w:hAnsi="Arial"/>
          <w:sz w:val="19"/>
          <w:szCs w:val="19"/>
          <w:b w:val="1"/>
          <w:bCs w:val="1"/>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47</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48</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57</w:t>
      </w:r>
    </w:p>
    <w:p>
      <w:pPr>
        <w:spacing w:after="0" w:line="351"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9"/>
          <w:szCs w:val="19"/>
          <w:b w:val="1"/>
          <w:bCs w:val="1"/>
          <w:color w:val="auto"/>
        </w:rPr>
      </w:pPr>
      <w:r>
        <w:rPr>
          <w:rFonts w:ascii="Arial" w:cs="Arial" w:eastAsia="Arial" w:hAnsi="Arial"/>
          <w:sz w:val="16"/>
          <w:szCs w:val="16"/>
          <w:u w:val="single" w:color="auto"/>
          <w:color w:val="0000EE"/>
        </w:rPr>
        <w:t>58</w:t>
      </w:r>
    </w:p>
    <w:p>
      <w:pPr>
        <w:spacing w:after="0" w:line="121" w:lineRule="exact"/>
        <w:rPr>
          <w:rFonts w:ascii="Arial" w:cs="Arial" w:eastAsia="Arial" w:hAnsi="Arial"/>
          <w:sz w:val="19"/>
          <w:szCs w:val="19"/>
          <w:b w:val="1"/>
          <w:bCs w:val="1"/>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60</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60</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60</w:t>
      </w:r>
    </w:p>
    <w:p>
      <w:pPr>
        <w:spacing w:after="0" w:line="129"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EE"/>
        </w:rPr>
        <w:t>63</w:t>
      </w:r>
    </w:p>
    <w:p>
      <w:pPr>
        <w:spacing w:after="0" w:line="351" w:lineRule="exact"/>
        <w:rPr>
          <w:rFonts w:ascii="Arial" w:cs="Arial" w:eastAsia="Arial" w:hAnsi="Arial"/>
          <w:sz w:val="16"/>
          <w:szCs w:val="16"/>
          <w:color w:val="auto"/>
        </w:rPr>
      </w:pPr>
    </w:p>
    <w:p>
      <w:pPr>
        <w:ind w:left="140" w:hanging="137"/>
        <w:spacing w:after="0"/>
        <w:tabs>
          <w:tab w:leader="none" w:pos="140" w:val="left"/>
        </w:tabs>
        <w:numPr>
          <w:ilvl w:val="0"/>
          <w:numId w:val="18"/>
        </w:numPr>
        <w:rPr>
          <w:rFonts w:ascii="Arial" w:cs="Arial" w:eastAsia="Arial" w:hAnsi="Arial"/>
          <w:sz w:val="19"/>
          <w:szCs w:val="19"/>
          <w:b w:val="1"/>
          <w:bCs w:val="1"/>
          <w:color w:val="auto"/>
        </w:rPr>
      </w:pPr>
      <w:r>
        <w:rPr>
          <w:rFonts w:ascii="Arial" w:cs="Arial" w:eastAsia="Arial" w:hAnsi="Arial"/>
          <w:sz w:val="16"/>
          <w:szCs w:val="16"/>
          <w:u w:val="single" w:color="auto"/>
          <w:color w:val="0000EE"/>
        </w:rPr>
        <w:t>64</w:t>
      </w:r>
    </w:p>
    <w:p>
      <w:pPr>
        <w:spacing w:after="0" w:line="121" w:lineRule="exact"/>
        <w:rPr>
          <w:rFonts w:ascii="Arial" w:cs="Arial" w:eastAsia="Arial" w:hAnsi="Arial"/>
          <w:sz w:val="19"/>
          <w:szCs w:val="19"/>
          <w:b w:val="1"/>
          <w:bCs w:val="1"/>
          <w:color w:val="auto"/>
        </w:rPr>
      </w:pPr>
    </w:p>
    <w:p>
      <w:pPr>
        <w:jc w:val="right"/>
        <w:ind w:firstLine="3"/>
        <w:spacing w:after="0" w:line="427" w:lineRule="auto"/>
        <w:tabs>
          <w:tab w:leader="none" w:pos="129"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0000EE"/>
        </w:rPr>
        <w:t xml:space="preserve">69 </w:t>
      </w:r>
      <w:r>
        <w:rPr>
          <w:rFonts w:ascii="Arial" w:cs="Arial" w:eastAsia="Arial" w:hAnsi="Arial"/>
          <w:sz w:val="17"/>
          <w:szCs w:val="17"/>
          <w:color w:val="000000"/>
        </w:rPr>
        <w:t>​</w:t>
      </w:r>
      <w:r>
        <w:rPr>
          <w:rFonts w:ascii="Arial" w:cs="Arial" w:eastAsia="Arial" w:hAnsi="Arial"/>
          <w:sz w:val="17"/>
          <w:szCs w:val="17"/>
          <w:u w:val="single" w:color="auto"/>
          <w:color w:val="0000EE"/>
        </w:rPr>
        <w:t>A-1</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17"/>
          <w:szCs w:val="17"/>
          <w:u w:val="single" w:color="auto"/>
          <w:color w:val="0000EE"/>
        </w:rPr>
        <w:t>B-1</w:t>
      </w:r>
    </w:p>
    <w:p>
      <w:pPr>
        <w:sectPr>
          <w:pgSz w:w="11900" w:h="16838" w:orient="portrait"/>
          <w:cols w:equalWidth="0" w:num="3">
            <w:col w:w="4840" w:space="75"/>
            <w:col w:w="5165" w:space="60"/>
            <w:col w:w="320"/>
          </w:cols>
          <w:pgMar w:left="760" w:top="94" w:right="67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1</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Election of Directors</w:t>
      </w:r>
    </w:p>
    <w:p>
      <w:pPr>
        <w:spacing w:after="0" w:line="199" w:lineRule="exact"/>
        <w:rPr>
          <w:sz w:val="20"/>
          <w:szCs w:val="20"/>
          <w:color w:val="auto"/>
        </w:rPr>
      </w:pPr>
    </w:p>
    <w:p>
      <w:pPr>
        <w:ind w:left="800" w:right="279"/>
        <w:spacing w:after="0" w:line="262" w:lineRule="auto"/>
        <w:rPr>
          <w:sz w:val="20"/>
          <w:szCs w:val="20"/>
          <w:color w:val="auto"/>
        </w:rPr>
      </w:pPr>
      <w:r>
        <w:rPr>
          <w:rFonts w:ascii="Arial" w:cs="Arial" w:eastAsia="Arial" w:hAnsi="Arial"/>
          <w:sz w:val="17"/>
          <w:szCs w:val="17"/>
          <w:color w:val="auto"/>
        </w:rPr>
        <w:t>The Board of Directors of CrowdStrike Holdings, Inc. (the “Board”) is divided into three classes, designated as Class I, Class II and Class III. Each class consists, as nearly as practicable, of one-third of the total number of directors constituting the entire Board, and each class has a three-year term. One class of directors is elected by the stockholders at each annual meeting to serve from the time of their election until the third annual meeting of stockholders following their election. Each director’s term shall continue until the election and qualification of his or her successor, or his or her earlier death, resignation, or removal. Any additional directorships resulting from an increase in the number of authorized directors will be distributed among the three classes so that, as nearly as possible, each class will consist of one-third of the directors.</w:t>
      </w:r>
    </w:p>
    <w:p>
      <w:pPr>
        <w:spacing w:after="0" w:line="175" w:lineRule="exact"/>
        <w:rPr>
          <w:sz w:val="20"/>
          <w:szCs w:val="20"/>
          <w:color w:val="auto"/>
        </w:rPr>
      </w:pPr>
    </w:p>
    <w:p>
      <w:pPr>
        <w:ind w:left="800" w:right="719"/>
        <w:spacing w:after="0" w:line="298" w:lineRule="auto"/>
        <w:rPr>
          <w:sz w:val="20"/>
          <w:szCs w:val="20"/>
          <w:color w:val="auto"/>
        </w:rPr>
      </w:pPr>
      <w:r>
        <w:rPr>
          <w:rFonts w:ascii="Arial" w:cs="Arial" w:eastAsia="Arial" w:hAnsi="Arial"/>
          <w:sz w:val="17"/>
          <w:szCs w:val="17"/>
          <w:color w:val="auto"/>
        </w:rPr>
        <w:t>The Board currently has nine members. The Board has nominated Johanna Flower and Denis J. O’Leary for election as Class I directors at the Annual Meeting.</w:t>
      </w:r>
    </w:p>
    <w:p>
      <w:pPr>
        <w:spacing w:after="0" w:line="142" w:lineRule="exact"/>
        <w:rPr>
          <w:sz w:val="20"/>
          <w:szCs w:val="20"/>
          <w:color w:val="auto"/>
        </w:rPr>
      </w:pPr>
    </w:p>
    <w:p>
      <w:pPr>
        <w:ind w:left="800" w:right="259"/>
        <w:spacing w:after="0" w:line="267" w:lineRule="auto"/>
        <w:rPr>
          <w:sz w:val="20"/>
          <w:szCs w:val="20"/>
          <w:color w:val="auto"/>
        </w:rPr>
      </w:pPr>
      <w:r>
        <w:rPr>
          <w:rFonts w:ascii="Arial" w:cs="Arial" w:eastAsia="Arial" w:hAnsi="Arial"/>
          <w:sz w:val="17"/>
          <w:szCs w:val="17"/>
          <w:color w:val="auto"/>
        </w:rPr>
        <w:t>Each of the two nominees is currently a director of CrowdStrike. The nominees were recommended for election by the Nominating and Corporate Governance Committee of the Board and the Board has approved such recommendation. If elected at the Annual Meeting, the nominees would serve until the 2029 annual meeting and until their respective successors have been duly elected and qualified, or, if sooner, until the director’s death, resignation or removal.</w:t>
      </w:r>
    </w:p>
    <w:p>
      <w:pPr>
        <w:spacing w:after="0" w:line="167"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Directors are elected by a plurality of the votes of the holders of shares present online at the meeting or represented by proxy and entitled to vote on the election of directors. The nominees receiving the highest number of “FOR” votes will be elected.</w:t>
      </w:r>
    </w:p>
    <w:p>
      <w:pPr>
        <w:spacing w:after="0" w:line="216" w:lineRule="exact"/>
        <w:rPr>
          <w:sz w:val="20"/>
          <w:szCs w:val="20"/>
          <w:color w:val="auto"/>
        </w:rPr>
      </w:pPr>
    </w:p>
    <w:p>
      <w:pPr>
        <w:ind w:left="1840"/>
        <w:spacing w:after="0"/>
        <w:rPr>
          <w:sz w:val="20"/>
          <w:szCs w:val="20"/>
          <w:color w:val="auto"/>
        </w:rPr>
      </w:pPr>
      <w:r>
        <w:rPr>
          <w:sz w:val="1"/>
          <w:szCs w:val="1"/>
          <w:color w:val="auto"/>
        </w:rPr>
        <w:drawing>
          <wp:inline distT="0" distB="0" distL="0" distR="0">
            <wp:extent cx="182880" cy="1828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880" cy="182880"/>
                    </a:xfrm>
                    <a:prstGeom prst="rect">
                      <a:avLst/>
                    </a:prstGeom>
                    <a:noFill/>
                    <a:ln>
                      <a:noFill/>
                    </a:ln>
                  </pic:spPr>
                </pic:pic>
              </a:graphicData>
            </a:graphic>
          </wp:inline>
        </w:drawing>
      </w:r>
      <w:r>
        <w:rPr>
          <w:rFonts w:ascii="Arial" w:cs="Arial" w:eastAsia="Arial" w:hAnsi="Arial"/>
          <w:sz w:val="17"/>
          <w:szCs w:val="17"/>
          <w:b w:val="1"/>
          <w:bCs w:val="1"/>
          <w:color w:val="auto"/>
        </w:rPr>
        <w:t>THE BOARD OF DIRECTORS RECOMMENDS A VOTE “FOR” EACH NAMED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Skills and Experience</w:t>
      </w:r>
    </w:p>
    <w:p>
      <w:pPr>
        <w:spacing w:after="0" w:line="116" w:lineRule="exact"/>
        <w:rPr>
          <w:sz w:val="20"/>
          <w:szCs w:val="20"/>
          <w:color w:val="auto"/>
        </w:rPr>
      </w:pPr>
    </w:p>
    <w:p>
      <w:pPr>
        <w:ind w:left="800" w:right="199"/>
        <w:spacing w:after="0" w:line="270" w:lineRule="auto"/>
        <w:rPr>
          <w:sz w:val="20"/>
          <w:szCs w:val="20"/>
          <w:color w:val="auto"/>
        </w:rPr>
      </w:pPr>
      <w:r>
        <w:rPr>
          <w:rFonts w:ascii="Arial" w:cs="Arial" w:eastAsia="Arial" w:hAnsi="Arial"/>
          <w:sz w:val="17"/>
          <w:szCs w:val="17"/>
          <w:color w:val="auto"/>
        </w:rPr>
        <w:t>The matrix below summarizes key qualifications, skills, or attributes relevant to the decision to nominate candidates to serve on the Board. A mark indicates a specific notable area of focus or expertise. Not having a mark does not mean the director does not possess that qualification or skill. The biographies of our current directors below describe each director’s background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140970</wp:posOffset>
            </wp:positionV>
            <wp:extent cx="5294630" cy="4821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94630" cy="482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Class I and Continuing Directors</w:t>
      </w:r>
    </w:p>
    <w:p>
      <w:pPr>
        <w:spacing w:after="0" w:line="116" w:lineRule="exact"/>
        <w:rPr>
          <w:sz w:val="20"/>
          <w:szCs w:val="20"/>
          <w:color w:val="auto"/>
        </w:rPr>
      </w:pPr>
    </w:p>
    <w:p>
      <w:pPr>
        <w:ind w:left="800" w:right="199"/>
        <w:spacing w:after="0" w:line="270" w:lineRule="auto"/>
        <w:rPr>
          <w:sz w:val="20"/>
          <w:szCs w:val="20"/>
          <w:color w:val="auto"/>
        </w:rPr>
      </w:pPr>
      <w:r>
        <w:rPr>
          <w:rFonts w:ascii="Arial" w:cs="Arial" w:eastAsia="Arial" w:hAnsi="Arial"/>
          <w:sz w:val="17"/>
          <w:szCs w:val="17"/>
          <w:color w:val="auto"/>
        </w:rPr>
        <w:t>The brief biographies below include information, as of the date of this Proxy Statement, regarding the specific and particular experience, qualifications, attributes or skills of the Class I directors. In addition, following the biographies of the Class I directors are the biographies of Class II and Class III directors, containing information regarding each director continuing to serve on the Board.</w:t>
      </w:r>
    </w:p>
    <w:p>
      <w:pPr>
        <w:spacing w:after="0" w:line="182" w:lineRule="exact"/>
        <w:rPr>
          <w:sz w:val="20"/>
          <w:szCs w:val="20"/>
          <w:color w:val="auto"/>
        </w:rPr>
      </w:pPr>
    </w:p>
    <w:p>
      <w:pPr>
        <w:ind w:left="800" w:right="1059"/>
        <w:spacing w:after="0" w:line="267" w:lineRule="auto"/>
        <w:rPr>
          <w:sz w:val="20"/>
          <w:szCs w:val="20"/>
          <w:color w:val="auto"/>
        </w:rPr>
      </w:pPr>
      <w:r>
        <w:rPr>
          <w:rFonts w:ascii="Arial" w:cs="Arial" w:eastAsia="Arial" w:hAnsi="Arial"/>
          <w:sz w:val="31"/>
          <w:szCs w:val="31"/>
          <w:color w:val="auto"/>
        </w:rPr>
        <w:t>Class I Directors Whose Terms Expire at the 2026 Annual Meeting</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-1564005</wp:posOffset>
            </wp:positionV>
            <wp:extent cx="1111885" cy="3078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885" cy="3078480"/>
                    </a:xfrm>
                    <a:prstGeom prst="rect">
                      <a:avLst/>
                    </a:prstGeom>
                    <a:noFill/>
                  </pic:spPr>
                </pic:pic>
              </a:graphicData>
            </a:graphic>
          </wp:anchor>
        </w:drawing>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1237615</wp:posOffset>
            </wp:positionV>
            <wp:extent cx="1111885" cy="3294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885" cy="329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69</w:t>
      </w:r>
    </w:p>
    <w:p>
      <w:pPr>
        <w:spacing w:after="0" w:line="223" w:lineRule="exact"/>
        <w:rPr>
          <w:sz w:val="20"/>
          <w:szCs w:val="20"/>
          <w:color w:val="auto"/>
        </w:rPr>
      </w:pPr>
    </w:p>
    <w:p>
      <w:pPr>
        <w:jc w:val="center"/>
        <w:ind w:left="78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December 2011</w:t>
      </w:r>
    </w:p>
    <w:p>
      <w:pPr>
        <w:spacing w:after="0" w:line="21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Nominating and</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Corporate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Johanna Flower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jc w:val="both"/>
        <w:ind w:left="360" w:right="199" w:hanging="357"/>
        <w:spacing w:after="0" w:line="288" w:lineRule="auto"/>
        <w:tabs>
          <w:tab w:leader="none" w:pos="360" w:val="left"/>
        </w:tabs>
        <w:numPr>
          <w:ilvl w:val="0"/>
          <w:numId w:val="19"/>
        </w:numPr>
        <w:rPr>
          <w:rFonts w:ascii="MS PGothic" w:cs="MS PGothic" w:eastAsia="MS PGothic" w:hAnsi="MS PGothic"/>
          <w:sz w:val="17"/>
          <w:szCs w:val="17"/>
          <w:color w:val="D6515D"/>
        </w:rPr>
      </w:pPr>
      <w:r>
        <w:rPr>
          <w:rFonts w:ascii="Arial" w:cs="Arial" w:eastAsia="Arial" w:hAnsi="Arial"/>
          <w:sz w:val="17"/>
          <w:szCs w:val="17"/>
          <w:color w:val="auto"/>
        </w:rPr>
        <w:t>From January 2022 to November 2022, Ms. Flower served as CrowdStrike’s Chief Marketing Officer, a role she previously held from November 2014 to August 2020.</w:t>
      </w:r>
    </w:p>
    <w:p>
      <w:pPr>
        <w:spacing w:after="0" w:line="40" w:lineRule="exact"/>
        <w:rPr>
          <w:rFonts w:ascii="MS PGothic" w:cs="MS PGothic" w:eastAsia="MS PGothic" w:hAnsi="MS PGothic"/>
          <w:sz w:val="17"/>
          <w:szCs w:val="17"/>
          <w:color w:val="D6515D"/>
        </w:rPr>
      </w:pPr>
    </w:p>
    <w:p>
      <w:pPr>
        <w:ind w:left="360" w:right="159" w:hanging="357"/>
        <w:spacing w:after="0" w:line="270" w:lineRule="auto"/>
        <w:tabs>
          <w:tab w:leader="none" w:pos="360" w:val="left"/>
        </w:tabs>
        <w:numPr>
          <w:ilvl w:val="0"/>
          <w:numId w:val="19"/>
        </w:numPr>
        <w:rPr>
          <w:rFonts w:ascii="MS PGothic" w:cs="MS PGothic" w:eastAsia="MS PGothic" w:hAnsi="MS PGothic"/>
          <w:sz w:val="17"/>
          <w:szCs w:val="17"/>
          <w:color w:val="D6515D"/>
        </w:rPr>
      </w:pPr>
      <w:r>
        <w:rPr>
          <w:rFonts w:ascii="Arial" w:cs="Arial" w:eastAsia="Arial" w:hAnsi="Arial"/>
          <w:sz w:val="17"/>
          <w:szCs w:val="17"/>
          <w:color w:val="auto"/>
        </w:rPr>
        <w:t>From June 2000 to June 2014, Ms. Flower served in various executive roles at Websense Inc., a cybersecurity software company now known as Forcepoint, LLC, where she served most recently as Senior Vice President and Chief Marketing Officer.</w:t>
      </w:r>
    </w:p>
    <w:p>
      <w:pPr>
        <w:spacing w:after="0" w:line="48" w:lineRule="exact"/>
        <w:rPr>
          <w:rFonts w:ascii="MS PGothic" w:cs="MS PGothic" w:eastAsia="MS PGothic" w:hAnsi="MS PGothic"/>
          <w:sz w:val="17"/>
          <w:szCs w:val="17"/>
          <w:color w:val="D6515D"/>
        </w:rPr>
      </w:pPr>
    </w:p>
    <w:p>
      <w:pPr>
        <w:ind w:left="360" w:right="499" w:hanging="357"/>
        <w:spacing w:after="0" w:line="272" w:lineRule="auto"/>
        <w:tabs>
          <w:tab w:leader="none" w:pos="360" w:val="left"/>
        </w:tabs>
        <w:numPr>
          <w:ilvl w:val="0"/>
          <w:numId w:val="19"/>
        </w:numPr>
        <w:rPr>
          <w:rFonts w:ascii="MS PGothic" w:cs="MS PGothic" w:eastAsia="MS PGothic" w:hAnsi="MS PGothic"/>
          <w:sz w:val="17"/>
          <w:szCs w:val="17"/>
          <w:color w:val="D6515D"/>
        </w:rPr>
      </w:pPr>
      <w:r>
        <w:rPr>
          <w:rFonts w:ascii="Arial" w:cs="Arial" w:eastAsia="Arial" w:hAnsi="Arial"/>
          <w:sz w:val="17"/>
          <w:szCs w:val="17"/>
          <w:color w:val="auto"/>
        </w:rPr>
        <w:t>Ms. Flower currently serves on the board of directors of Freshworks, Inc., a provider of modern Software-as-a-Service products, and several privately held companies.</w:t>
      </w:r>
    </w:p>
    <w:p>
      <w:pPr>
        <w:spacing w:after="0" w:line="41" w:lineRule="exact"/>
        <w:rPr>
          <w:rFonts w:ascii="MS PGothic" w:cs="MS PGothic" w:eastAsia="MS PGothic" w:hAnsi="MS PGothic"/>
          <w:sz w:val="17"/>
          <w:szCs w:val="17"/>
          <w:color w:val="D6515D"/>
        </w:rPr>
      </w:pPr>
    </w:p>
    <w:p>
      <w:pPr>
        <w:ind w:left="360" w:right="179" w:hanging="357"/>
        <w:spacing w:after="0" w:line="298" w:lineRule="auto"/>
        <w:tabs>
          <w:tab w:leader="none" w:pos="360" w:val="left"/>
        </w:tabs>
        <w:numPr>
          <w:ilvl w:val="0"/>
          <w:numId w:val="19"/>
        </w:numPr>
        <w:rPr>
          <w:rFonts w:ascii="MS PGothic" w:cs="MS PGothic" w:eastAsia="MS PGothic" w:hAnsi="MS PGothic"/>
          <w:sz w:val="17"/>
          <w:szCs w:val="17"/>
          <w:color w:val="D6515D"/>
        </w:rPr>
      </w:pPr>
      <w:r>
        <w:rPr>
          <w:rFonts w:ascii="Arial" w:cs="Arial" w:eastAsia="Arial" w:hAnsi="Arial"/>
          <w:sz w:val="17"/>
          <w:szCs w:val="17"/>
          <w:color w:val="auto"/>
        </w:rPr>
        <w:t>Ms. Flower previously served on the board of directors of ForgeRock, Inc., a digital identity technology company.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44" w:lineRule="exact"/>
        <w:rPr>
          <w:sz w:val="20"/>
          <w:szCs w:val="20"/>
          <w:color w:val="auto"/>
        </w:rPr>
      </w:pPr>
    </w:p>
    <w:p>
      <w:pPr>
        <w:ind w:right="519"/>
        <w:spacing w:after="0" w:line="263" w:lineRule="auto"/>
        <w:rPr>
          <w:sz w:val="20"/>
          <w:szCs w:val="20"/>
          <w:color w:val="auto"/>
        </w:rPr>
      </w:pPr>
      <w:r>
        <w:rPr>
          <w:rFonts w:ascii="Arial" w:cs="Arial" w:eastAsia="Arial" w:hAnsi="Arial"/>
          <w:sz w:val="17"/>
          <w:szCs w:val="17"/>
          <w:color w:val="auto"/>
        </w:rPr>
        <w:t>Ms. Flower holds a B.A. in Business Administration from the University of Brighton, 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599"/>
        <w:spacing w:after="0" w:line="298" w:lineRule="auto"/>
        <w:rPr>
          <w:sz w:val="20"/>
          <w:szCs w:val="20"/>
          <w:color w:val="auto"/>
        </w:rPr>
      </w:pPr>
      <w:r>
        <w:rPr>
          <w:rFonts w:ascii="Arial" w:cs="Arial" w:eastAsia="Arial" w:hAnsi="Arial"/>
          <w:sz w:val="17"/>
          <w:szCs w:val="17"/>
          <w:color w:val="auto"/>
        </w:rPr>
        <w:t>Ms. Flower brings to the Board extensive cybersecurity, go-to-market and modern governance experience, and knowledge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Denis J. O’Leary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hanging="357"/>
        <w:spacing w:after="0"/>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Mr. O’Leary has been a private investor since January 2016.</w:t>
      </w:r>
    </w:p>
    <w:p>
      <w:pPr>
        <w:spacing w:after="0" w:line="105" w:lineRule="exact"/>
        <w:rPr>
          <w:rFonts w:ascii="MS PGothic" w:cs="MS PGothic" w:eastAsia="MS PGothic" w:hAnsi="MS PGothic"/>
          <w:sz w:val="17"/>
          <w:szCs w:val="17"/>
          <w:color w:val="D6515D"/>
        </w:rPr>
      </w:pPr>
    </w:p>
    <w:p>
      <w:pPr>
        <w:ind w:left="360" w:right="459" w:hanging="357"/>
        <w:spacing w:after="0" w:line="272"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From September 2009 to February 2016, he served as co-managing partner of Encore Financial Partners, Inc., a company focused on the acquisition and management of banking organizations.</w:t>
      </w:r>
    </w:p>
    <w:p>
      <w:pPr>
        <w:spacing w:after="0" w:line="41" w:lineRule="exact"/>
        <w:rPr>
          <w:rFonts w:ascii="MS PGothic" w:cs="MS PGothic" w:eastAsia="MS PGothic" w:hAnsi="MS PGothic"/>
          <w:sz w:val="17"/>
          <w:szCs w:val="17"/>
          <w:color w:val="D6515D"/>
        </w:rPr>
      </w:pPr>
    </w:p>
    <w:p>
      <w:pPr>
        <w:ind w:left="360" w:right="199" w:hanging="357"/>
        <w:spacing w:after="0" w:line="270"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From June 1978 to April 2003, Mr. O’Leary was with JPM Chase &amp; Co., an investment bank and financial services company, where he served in various executive roles, including Corporate Treasurer, CIO, and Head of Retail and Small Business Banking.</w:t>
      </w:r>
    </w:p>
    <w:p>
      <w:pPr>
        <w:spacing w:after="0" w:line="48" w:lineRule="exact"/>
        <w:rPr>
          <w:rFonts w:ascii="MS PGothic" w:cs="MS PGothic" w:eastAsia="MS PGothic" w:hAnsi="MS PGothic"/>
          <w:sz w:val="17"/>
          <w:szCs w:val="17"/>
          <w:color w:val="D6515D"/>
        </w:rPr>
      </w:pPr>
    </w:p>
    <w:p>
      <w:pPr>
        <w:jc w:val="both"/>
        <w:ind w:left="360" w:right="239" w:hanging="357"/>
        <w:spacing w:after="0" w:line="277" w:lineRule="auto"/>
        <w:tabs>
          <w:tab w:leader="none" w:pos="360" w:val="left"/>
        </w:tabs>
        <w:numPr>
          <w:ilvl w:val="0"/>
          <w:numId w:val="20"/>
        </w:numPr>
        <w:rPr>
          <w:rFonts w:ascii="MS PGothic" w:cs="MS PGothic" w:eastAsia="MS PGothic" w:hAnsi="MS PGothic"/>
          <w:sz w:val="17"/>
          <w:szCs w:val="17"/>
          <w:color w:val="D6515D"/>
        </w:rPr>
      </w:pPr>
      <w:r>
        <w:rPr>
          <w:rFonts w:ascii="Arial" w:cs="Arial" w:eastAsia="Arial" w:hAnsi="Arial"/>
          <w:sz w:val="17"/>
          <w:szCs w:val="17"/>
          <w:color w:val="auto"/>
        </w:rPr>
        <w:t>Mr. O’Leary previously served as a director and chairman of the board of directors of Fiserv, Inc., a public provider of financial services technology and as a member of the board of directors of Ventiv, Inc., a privately held software company.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68" w:lineRule="exact"/>
        <w:rPr>
          <w:sz w:val="20"/>
          <w:szCs w:val="20"/>
          <w:color w:val="auto"/>
        </w:rPr>
      </w:pPr>
    </w:p>
    <w:p>
      <w:pPr>
        <w:ind w:right="359"/>
        <w:spacing w:after="0" w:line="298" w:lineRule="auto"/>
        <w:rPr>
          <w:sz w:val="20"/>
          <w:szCs w:val="20"/>
          <w:color w:val="auto"/>
        </w:rPr>
      </w:pPr>
      <w:r>
        <w:rPr>
          <w:rFonts w:ascii="Arial" w:cs="Arial" w:eastAsia="Arial" w:hAnsi="Arial"/>
          <w:sz w:val="17"/>
          <w:szCs w:val="17"/>
          <w:color w:val="auto"/>
        </w:rPr>
        <w:t>Mr. O’Leary holds a B.A. in Economics from the University of Rochester and an MBA from New York University.</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339"/>
        <w:spacing w:after="0" w:line="277" w:lineRule="auto"/>
        <w:rPr>
          <w:sz w:val="20"/>
          <w:szCs w:val="20"/>
          <w:color w:val="auto"/>
        </w:rPr>
      </w:pPr>
      <w:r>
        <w:rPr>
          <w:rFonts w:ascii="Arial" w:cs="Arial" w:eastAsia="Arial" w:hAnsi="Arial"/>
          <w:sz w:val="17"/>
          <w:szCs w:val="17"/>
          <w:color w:val="auto"/>
        </w:rPr>
        <w:t>Mr. O’Leary brings to the Board and the Nominating and Corporate Governance Committee extensive investment and financial experience, executive experience with global businesses, and knowledge of our company.</w:t>
      </w:r>
    </w:p>
    <w:p>
      <w:pPr>
        <w:spacing w:after="0" w:line="200" w:lineRule="exact"/>
        <w:rPr>
          <w:sz w:val="20"/>
          <w:szCs w:val="20"/>
          <w:color w:val="auto"/>
        </w:rPr>
      </w:pPr>
    </w:p>
    <w:p>
      <w:pPr>
        <w:sectPr>
          <w:pgSz w:w="11900" w:h="16838" w:orient="portrait"/>
          <w:cols w:equalWidth="0" w:num="2">
            <w:col w:w="2200" w:space="720"/>
            <w:col w:w="6779"/>
          </w:cols>
          <w:pgMar w:left="760" w:top="94" w:right="1440"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1111885" cy="3460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885" cy="346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72</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December 2017</w:t>
      </w:r>
    </w:p>
    <w:p>
      <w:pPr>
        <w:spacing w:after="0" w:line="141"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Godfrey R. Sullivan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419" w:hanging="357"/>
        <w:spacing w:after="0" w:line="277"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From September 2008 to November 2015, he served as President and Chief Executive Officer of Splunk, Inc., a provider of machine data analytics software, and served on the board of directors of Splunk, Inc. from 2011 to 2019.</w:t>
      </w:r>
    </w:p>
    <w:p>
      <w:pPr>
        <w:spacing w:after="0" w:line="41" w:lineRule="exact"/>
        <w:rPr>
          <w:rFonts w:ascii="MS PGothic" w:cs="MS PGothic" w:eastAsia="MS PGothic" w:hAnsi="MS PGothic"/>
          <w:sz w:val="17"/>
          <w:szCs w:val="17"/>
          <w:color w:val="D6515D"/>
        </w:rPr>
      </w:pPr>
    </w:p>
    <w:p>
      <w:pPr>
        <w:jc w:val="both"/>
        <w:ind w:left="360" w:right="279" w:hanging="357"/>
        <w:spacing w:after="0" w:line="272"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From 2001 to 2004 he served as President and Chief Operating Officer, and from 2004 to 2007 as President, Chief Executive Officer and a member of the board of directors of Hyperion Solutions, an enterprise financial analytics company.</w:t>
      </w:r>
    </w:p>
    <w:p>
      <w:pPr>
        <w:spacing w:after="0" w:line="41" w:lineRule="exact"/>
        <w:rPr>
          <w:rFonts w:ascii="MS PGothic" w:cs="MS PGothic" w:eastAsia="MS PGothic" w:hAnsi="MS PGothic"/>
          <w:sz w:val="17"/>
          <w:szCs w:val="17"/>
          <w:color w:val="D6515D"/>
        </w:rPr>
      </w:pPr>
    </w:p>
    <w:p>
      <w:pPr>
        <w:ind w:left="360" w:right="419" w:hanging="357"/>
        <w:spacing w:after="0" w:line="248"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Mr. Sullivan currently serves on the board of directors of GitLab, Inc., a DevOps software company.</w:t>
      </w:r>
    </w:p>
    <w:p>
      <w:pPr>
        <w:spacing w:after="0" w:line="40" w:lineRule="exact"/>
        <w:rPr>
          <w:rFonts w:ascii="MS PGothic" w:cs="MS PGothic" w:eastAsia="MS PGothic" w:hAnsi="MS PGothic"/>
          <w:sz w:val="17"/>
          <w:szCs w:val="17"/>
          <w:color w:val="D6515D"/>
        </w:rPr>
      </w:pPr>
    </w:p>
    <w:p>
      <w:pPr>
        <w:ind w:left="360" w:right="339" w:hanging="357"/>
        <w:spacing w:after="0" w:line="267" w:lineRule="auto"/>
        <w:tabs>
          <w:tab w:leader="none" w:pos="360" w:val="left"/>
        </w:tabs>
        <w:numPr>
          <w:ilvl w:val="0"/>
          <w:numId w:val="21"/>
        </w:numPr>
        <w:rPr>
          <w:rFonts w:ascii="MS PGothic" w:cs="MS PGothic" w:eastAsia="MS PGothic" w:hAnsi="MS PGothic"/>
          <w:sz w:val="17"/>
          <w:szCs w:val="17"/>
          <w:color w:val="D6515D"/>
        </w:rPr>
      </w:pPr>
      <w:r>
        <w:rPr>
          <w:rFonts w:ascii="Arial" w:cs="Arial" w:eastAsia="Arial" w:hAnsi="Arial"/>
          <w:sz w:val="17"/>
          <w:szCs w:val="17"/>
          <w:color w:val="auto"/>
        </w:rPr>
        <w:t>He previously served on the board of directors of Marqeta, Inc., a modern card issuing company; Citrix Systems, Inc., an enterprise software company; Informatica Corporation, an enterprise data management company; People.ai, a privately held Al revenue intelligence platform company; and RingCentral, Inc., a provider of cloud-based communications and collaboration solutions.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Mr. Sullivan holds a B.B.A. from Baylor University.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159"/>
        <w:spacing w:after="0" w:line="270" w:lineRule="auto"/>
        <w:rPr>
          <w:sz w:val="20"/>
          <w:szCs w:val="20"/>
          <w:color w:val="auto"/>
        </w:rPr>
      </w:pPr>
      <w:r>
        <w:rPr>
          <w:rFonts w:ascii="Arial" w:cs="Arial" w:eastAsia="Arial" w:hAnsi="Arial"/>
          <w:sz w:val="17"/>
          <w:szCs w:val="17"/>
          <w:color w:val="auto"/>
        </w:rPr>
        <w:t>The Board believes Mr. Sullivan’s perspective and experience as a former chief executive officer of other publicly traded companies and his experience as an executive and as a member of the board of directors of other companies in the enterprise software industry benefit the Board and the Audit Committee.</w:t>
      </w:r>
    </w:p>
    <w:p>
      <w:pPr>
        <w:spacing w:after="0" w:line="200" w:lineRule="exact"/>
        <w:rPr>
          <w:sz w:val="20"/>
          <w:szCs w:val="20"/>
          <w:color w:val="auto"/>
        </w:rPr>
      </w:pPr>
    </w:p>
    <w:p>
      <w:pPr>
        <w:sectPr>
          <w:pgSz w:w="11900" w:h="16838" w:orient="portrait"/>
          <w:cols w:equalWidth="0" w:num="2">
            <w:col w:w="2200" w:space="720"/>
            <w:col w:w="6779"/>
          </w:cols>
          <w:pgMar w:left="760" w:top="94" w:right="1440" w:bottom="1030" w:gutter="0" w:footer="0" w:header="0"/>
        </w:sectPr>
      </w:pPr>
    </w:p>
    <w:p>
      <w:pPr>
        <w:spacing w:after="0" w:line="35" w:lineRule="exact"/>
        <w:rPr>
          <w:sz w:val="20"/>
          <w:szCs w:val="20"/>
          <w:color w:val="auto"/>
        </w:rPr>
      </w:pPr>
    </w:p>
    <w:p>
      <w:pPr>
        <w:ind w:left="800"/>
        <w:spacing w:after="0"/>
        <w:rPr>
          <w:sz w:val="20"/>
          <w:szCs w:val="20"/>
          <w:color w:val="auto"/>
        </w:rPr>
      </w:pPr>
      <w:r>
        <w:rPr>
          <w:rFonts w:ascii="Arial" w:cs="Arial" w:eastAsia="Arial" w:hAnsi="Arial"/>
          <w:sz w:val="31"/>
          <w:szCs w:val="31"/>
          <w:color w:val="auto"/>
        </w:rPr>
        <w:t>Continuing Directors</w:t>
      </w:r>
    </w:p>
    <w:p>
      <w:pPr>
        <w:spacing w:after="0" w:line="123" w:lineRule="exact"/>
        <w:rPr>
          <w:sz w:val="20"/>
          <w:szCs w:val="20"/>
          <w:color w:val="auto"/>
        </w:rPr>
      </w:pPr>
    </w:p>
    <w:p>
      <w:pPr>
        <w:ind w:left="800" w:right="279"/>
        <w:spacing w:after="0" w:line="275" w:lineRule="auto"/>
        <w:rPr>
          <w:sz w:val="20"/>
          <w:szCs w:val="20"/>
          <w:color w:val="auto"/>
        </w:rPr>
      </w:pPr>
      <w:r>
        <w:rPr>
          <w:rFonts w:ascii="Arial" w:cs="Arial" w:eastAsia="Arial" w:hAnsi="Arial"/>
          <w:sz w:val="17"/>
          <w:szCs w:val="17"/>
          <w:color w:val="auto"/>
        </w:rPr>
        <w:t>CrowdStrike has six other directors who will continue in office after the Annual Meeting with terms expiring in 2027 and 2028. The following includes a brief biography of each continuing director with terms expiring as shown, with each biography including information regarding the experiences, qualifications, attributes or skills that caused the Nominating and Corporate Governance Committee and the Board to determine that the applicable director should serve as a member of our Board.</w:t>
      </w:r>
    </w:p>
    <w:p>
      <w:pPr>
        <w:spacing w:after="0" w:line="191" w:lineRule="exact"/>
        <w:rPr>
          <w:sz w:val="20"/>
          <w:szCs w:val="20"/>
          <w:color w:val="auto"/>
        </w:rPr>
      </w:pPr>
    </w:p>
    <w:p>
      <w:pPr>
        <w:ind w:left="800" w:right="779"/>
        <w:spacing w:after="0" w:line="267" w:lineRule="auto"/>
        <w:rPr>
          <w:sz w:val="20"/>
          <w:szCs w:val="20"/>
          <w:color w:val="auto"/>
        </w:rPr>
      </w:pPr>
      <w:r>
        <w:rPr>
          <w:rFonts w:ascii="Arial" w:cs="Arial" w:eastAsia="Arial" w:hAnsi="Arial"/>
          <w:sz w:val="31"/>
          <w:szCs w:val="31"/>
          <w:color w:val="auto"/>
        </w:rPr>
        <w:t>Class II Directors Continuing in Office Until the 2027 Annual Meeting</w:t>
      </w:r>
    </w:p>
    <w:p>
      <w:pPr>
        <w:sectPr>
          <w:pgSz w:w="11900" w:h="16838" w:orient="portrait"/>
          <w:cols w:equalWidth="0" w:num="1">
            <w:col w:w="9699"/>
          </w:cols>
          <w:pgMar w:left="760" w:top="94" w:right="1440" w:bottom="10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-1564005</wp:posOffset>
            </wp:positionV>
            <wp:extent cx="1111885" cy="3477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885" cy="347726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September 2018</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Chair </w:t>
      </w:r>
      <w:r>
        <w:rPr>
          <w:rFonts w:ascii="Arial" w:cs="Arial" w:eastAsia="Arial" w:hAnsi="Arial"/>
          <w:sz w:val="17"/>
          <w:szCs w:val="17"/>
          <w:color w:val="000000"/>
        </w:rPr>
        <w:t>Audit</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Compensation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Roxanne S. Austin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81" w:lineRule="exact"/>
        <w:rPr>
          <w:sz w:val="20"/>
          <w:szCs w:val="20"/>
          <w:color w:val="auto"/>
        </w:rPr>
      </w:pPr>
    </w:p>
    <w:p>
      <w:pPr>
        <w:ind w:left="360" w:right="359" w:hanging="357"/>
        <w:spacing w:after="0" w:line="260"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Ms. Austin has served as President of Austin Investment Advisors, a private investment and consulting firm, since January 2004. Ms. Austin also served as chair of the U.S. Mid-Market Investment Advisory Committee of EQT Partners, a private equity group, from 2017 – 2023.</w:t>
      </w:r>
    </w:p>
    <w:p>
      <w:pPr>
        <w:spacing w:after="0" w:line="41" w:lineRule="exact"/>
        <w:rPr>
          <w:rFonts w:ascii="MS PGothic" w:cs="MS PGothic" w:eastAsia="MS PGothic" w:hAnsi="MS PGothic"/>
          <w:sz w:val="17"/>
          <w:szCs w:val="17"/>
          <w:color w:val="D6515D"/>
        </w:rPr>
      </w:pPr>
    </w:p>
    <w:p>
      <w:pPr>
        <w:ind w:left="360" w:right="139" w:hanging="357"/>
        <w:spacing w:after="0" w:line="261"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Ms. Austin currently serves on the boards of directors of AbbVie Inc., a biopharmaceutical company; Freshworks, Inc., a provider of modern Software-as-a-Service products; and Verizon Communications, a telecommunications company.</w:t>
      </w:r>
    </w:p>
    <w:p>
      <w:pPr>
        <w:spacing w:after="0" w:line="41" w:lineRule="exact"/>
        <w:rPr>
          <w:rFonts w:ascii="MS PGothic" w:cs="MS PGothic" w:eastAsia="MS PGothic" w:hAnsi="MS PGothic"/>
          <w:sz w:val="17"/>
          <w:szCs w:val="17"/>
          <w:color w:val="D6515D"/>
        </w:rPr>
      </w:pPr>
    </w:p>
    <w:p>
      <w:pPr>
        <w:ind w:left="360" w:right="259" w:hanging="357"/>
        <w:spacing w:after="0" w:line="255" w:lineRule="auto"/>
        <w:tabs>
          <w:tab w:leader="none" w:pos="360" w:val="left"/>
        </w:tabs>
        <w:numPr>
          <w:ilvl w:val="0"/>
          <w:numId w:val="22"/>
        </w:numPr>
        <w:rPr>
          <w:rFonts w:ascii="MS PGothic" w:cs="MS PGothic" w:eastAsia="MS PGothic" w:hAnsi="MS PGothic"/>
          <w:sz w:val="17"/>
          <w:szCs w:val="17"/>
          <w:color w:val="D6515D"/>
        </w:rPr>
      </w:pPr>
      <w:r>
        <w:rPr>
          <w:rFonts w:ascii="Arial" w:cs="Arial" w:eastAsia="Arial" w:hAnsi="Arial"/>
          <w:sz w:val="17"/>
          <w:szCs w:val="17"/>
          <w:color w:val="auto"/>
        </w:rPr>
        <w:t>She previously served on the board of directors of Abbott Laboratories, a provider of pharmaceuticals, medical devices and nutritional products; Teledyne Technologies Incorporated, an industrial conglomerate; LM Ericsson Telephone Company, a networking and telecommunications company; and Target Corporation, a department store retailer.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Ms. Austin holds a B.B.A. in Accounting from the University of Texas at San Antonio.</w:t>
      </w:r>
    </w:p>
    <w:p>
      <w:pPr>
        <w:spacing w:after="0" w:line="63" w:lineRule="exact"/>
        <w:rPr>
          <w:sz w:val="20"/>
          <w:szCs w:val="20"/>
          <w:color w:val="auto"/>
        </w:rPr>
      </w:pPr>
    </w:p>
    <w:p>
      <w:pPr>
        <w:ind w:right="319"/>
        <w:spacing w:after="0" w:line="282" w:lineRule="auto"/>
        <w:rPr>
          <w:sz w:val="20"/>
          <w:szCs w:val="20"/>
          <w:color w:val="auto"/>
        </w:rPr>
      </w:pPr>
      <w:r>
        <w:rPr>
          <w:rFonts w:ascii="Arial" w:cs="Arial" w:eastAsia="Arial" w:hAnsi="Arial"/>
          <w:sz w:val="17"/>
          <w:szCs w:val="17"/>
          <w:color w:val="auto"/>
        </w:rPr>
        <w:t>Ms. Austin is a member of the California State Society of Certified Public Accountants and the American Institute of Certified Public Accountants.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139"/>
        <w:spacing w:after="0" w:line="260" w:lineRule="auto"/>
        <w:rPr>
          <w:sz w:val="20"/>
          <w:szCs w:val="20"/>
          <w:color w:val="auto"/>
        </w:rPr>
      </w:pPr>
      <w:r>
        <w:rPr>
          <w:rFonts w:ascii="Arial" w:cs="Arial" w:eastAsia="Arial" w:hAnsi="Arial"/>
          <w:sz w:val="17"/>
          <w:szCs w:val="17"/>
          <w:color w:val="auto"/>
        </w:rPr>
        <w:t>Ms. Austin’s extensive management and operating experience with global companies in innovative industries, financial expertise including financial statements, corporate finance and accounting matters, and corporate governance experience make her instrumental to our Board, Audit Committee and Compensation Committee.</w:t>
      </w:r>
    </w:p>
    <w:p>
      <w:pPr>
        <w:spacing w:after="0" w:line="200" w:lineRule="exact"/>
        <w:rPr>
          <w:sz w:val="20"/>
          <w:szCs w:val="20"/>
          <w:color w:val="auto"/>
        </w:rPr>
      </w:pPr>
    </w:p>
    <w:p>
      <w:pPr>
        <w:sectPr>
          <w:pgSz w:w="11900" w:h="16838" w:orient="portrait"/>
          <w:cols w:equalWidth="0" w:num="2">
            <w:col w:w="2200" w:space="720"/>
            <w:col w:w="6779"/>
          </w:cols>
          <w:pgMar w:left="760" w:top="94" w:right="1440" w:bottom="1030" w:gutter="0" w:footer="0" w:header="0"/>
          <w:type w:val="continuous"/>
        </w:sect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 xml:space="preserve">Page 8  </w:t>
      </w:r>
      <w:r>
        <w:rPr>
          <w:rFonts w:ascii="Arial" w:cs="Arial" w:eastAsia="Arial" w:hAnsi="Arial"/>
          <w:sz w:val="13"/>
          <w:szCs w:val="13"/>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3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1111885" cy="3070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88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60</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August 2013</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Compensation</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Transaction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689610</wp:posOffset>
            </wp:positionV>
            <wp:extent cx="1111885" cy="4406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88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65</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April 2012</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Audit Committee;</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Nominating and</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Corporate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Transaction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Sameer K. Gandhi</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719" w:hanging="357"/>
        <w:spacing w:after="0" w:line="288" w:lineRule="auto"/>
        <w:tabs>
          <w:tab w:leader="none" w:pos="360" w:val="left"/>
        </w:tabs>
        <w:numPr>
          <w:ilvl w:val="0"/>
          <w:numId w:val="23"/>
        </w:numPr>
        <w:rPr>
          <w:rFonts w:ascii="MS PGothic" w:cs="MS PGothic" w:eastAsia="MS PGothic" w:hAnsi="MS PGothic"/>
          <w:sz w:val="17"/>
          <w:szCs w:val="17"/>
          <w:color w:val="D6515D"/>
        </w:rPr>
      </w:pPr>
      <w:r>
        <w:rPr>
          <w:rFonts w:ascii="Arial" w:cs="Arial" w:eastAsia="Arial" w:hAnsi="Arial"/>
          <w:sz w:val="17"/>
          <w:szCs w:val="17"/>
          <w:color w:val="auto"/>
        </w:rPr>
        <w:t>Mr. Gandhi is currently a partner at Accel, a venture capital firm he joined in June 2008, focusing on consumer, cloud/SaaS and media companies.</w:t>
      </w:r>
    </w:p>
    <w:p>
      <w:pPr>
        <w:spacing w:after="0" w:line="40" w:lineRule="exact"/>
        <w:rPr>
          <w:rFonts w:ascii="MS PGothic" w:cs="MS PGothic" w:eastAsia="MS PGothic" w:hAnsi="MS PGothic"/>
          <w:sz w:val="17"/>
          <w:szCs w:val="17"/>
          <w:color w:val="D6515D"/>
        </w:rPr>
      </w:pPr>
    </w:p>
    <w:p>
      <w:pPr>
        <w:ind w:left="360" w:right="219" w:hanging="357"/>
        <w:spacing w:after="0" w:line="288" w:lineRule="auto"/>
        <w:tabs>
          <w:tab w:leader="none" w:pos="360" w:val="left"/>
        </w:tabs>
        <w:numPr>
          <w:ilvl w:val="0"/>
          <w:numId w:val="23"/>
        </w:numPr>
        <w:rPr>
          <w:rFonts w:ascii="MS PGothic" w:cs="MS PGothic" w:eastAsia="MS PGothic" w:hAnsi="MS PGothic"/>
          <w:sz w:val="17"/>
          <w:szCs w:val="17"/>
          <w:color w:val="D6515D"/>
        </w:rPr>
      </w:pPr>
      <w:r>
        <w:rPr>
          <w:rFonts w:ascii="Arial" w:cs="Arial" w:eastAsia="Arial" w:hAnsi="Arial"/>
          <w:sz w:val="17"/>
          <w:szCs w:val="17"/>
          <w:color w:val="auto"/>
        </w:rPr>
        <w:t>He is responsible for Accel’s investments in Spotify, Dropbox, Flipkart and Venmo, among others throughout his 25 years of investing.</w:t>
      </w:r>
    </w:p>
    <w:p>
      <w:pPr>
        <w:spacing w:after="0" w:line="40" w:lineRule="exact"/>
        <w:rPr>
          <w:rFonts w:ascii="MS PGothic" w:cs="MS PGothic" w:eastAsia="MS PGothic" w:hAnsi="MS PGothic"/>
          <w:sz w:val="17"/>
          <w:szCs w:val="17"/>
          <w:color w:val="D6515D"/>
        </w:rPr>
      </w:pPr>
    </w:p>
    <w:p>
      <w:pPr>
        <w:ind w:left="360" w:right="159" w:hanging="357"/>
        <w:spacing w:after="0" w:line="277" w:lineRule="auto"/>
        <w:tabs>
          <w:tab w:leader="none" w:pos="360" w:val="left"/>
        </w:tabs>
        <w:numPr>
          <w:ilvl w:val="0"/>
          <w:numId w:val="23"/>
        </w:numPr>
        <w:rPr>
          <w:rFonts w:ascii="MS PGothic" w:cs="MS PGothic" w:eastAsia="MS PGothic" w:hAnsi="MS PGothic"/>
          <w:sz w:val="17"/>
          <w:szCs w:val="17"/>
          <w:color w:val="D6515D"/>
        </w:rPr>
      </w:pPr>
      <w:r>
        <w:rPr>
          <w:rFonts w:ascii="Arial" w:cs="Arial" w:eastAsia="Arial" w:hAnsi="Arial"/>
          <w:sz w:val="17"/>
          <w:szCs w:val="17"/>
          <w:color w:val="auto"/>
        </w:rPr>
        <w:t>Mr. Gandhi currently serves on the board of Freshworks, Inc., a provider of modern Software-as-a-Service products, as well as on the boards of several privately held companies.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68" w:lineRule="exact"/>
        <w:rPr>
          <w:sz w:val="20"/>
          <w:szCs w:val="20"/>
          <w:color w:val="auto"/>
        </w:rPr>
      </w:pPr>
    </w:p>
    <w:p>
      <w:pPr>
        <w:jc w:val="both"/>
        <w:ind w:right="359"/>
        <w:spacing w:after="0" w:line="277" w:lineRule="auto"/>
        <w:rPr>
          <w:sz w:val="20"/>
          <w:szCs w:val="20"/>
          <w:color w:val="auto"/>
        </w:rPr>
      </w:pPr>
      <w:r>
        <w:rPr>
          <w:rFonts w:ascii="Arial" w:cs="Arial" w:eastAsia="Arial" w:hAnsi="Arial"/>
          <w:sz w:val="17"/>
          <w:szCs w:val="17"/>
          <w:color w:val="auto"/>
        </w:rPr>
        <w:t>Mr. Gandhi has a B.S. in Electrical Engineering and an M.S. in Electrical Engineering and Computer Science from the Massachusetts Institute of Technology, and an MBA from the Stanford Graduate School of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559"/>
        <w:spacing w:after="0" w:line="267" w:lineRule="auto"/>
        <w:rPr>
          <w:sz w:val="20"/>
          <w:szCs w:val="20"/>
          <w:color w:val="auto"/>
        </w:rPr>
      </w:pPr>
      <w:r>
        <w:rPr>
          <w:rFonts w:ascii="Arial" w:cs="Arial" w:eastAsia="Arial" w:hAnsi="Arial"/>
          <w:sz w:val="17"/>
          <w:szCs w:val="17"/>
          <w:color w:val="auto"/>
        </w:rPr>
        <w:t>The Board believes Mr. Gandhi’s extensive knowledge of our company and his experience as an investor, including more than 25 years of investing experience in cybersecurity companies and other technology and media companies that have significant worldwide operations, bring specific expertise to the Board, the Compensation Committee and the Transaction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Gerhard Watzinger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299" w:hanging="357"/>
        <w:spacing w:after="0" w:line="288"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From April 2013 to September 2013, he served as the Chief Executive Officer for IGATE Corporation, an IT services company.</w:t>
      </w:r>
    </w:p>
    <w:p>
      <w:pPr>
        <w:spacing w:after="0" w:line="40" w:lineRule="exact"/>
        <w:rPr>
          <w:rFonts w:ascii="MS PGothic" w:cs="MS PGothic" w:eastAsia="MS PGothic" w:hAnsi="MS PGothic"/>
          <w:sz w:val="17"/>
          <w:szCs w:val="17"/>
          <w:color w:val="D6515D"/>
        </w:rPr>
      </w:pPr>
    </w:p>
    <w:p>
      <w:pPr>
        <w:jc w:val="both"/>
        <w:ind w:left="360" w:right="279" w:hanging="357"/>
        <w:spacing w:after="0" w:line="268"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Mr. Watzinger served as the Executive Vice President for Corporate Strategy and Mergers &amp; Acquisitions of the McAfee business unit of Intel Corporation (“Intel”) a designer and manufacturer of digital technology platforms, until his resignation in March 2012.</w:t>
      </w:r>
    </w:p>
    <w:p>
      <w:pPr>
        <w:spacing w:after="0" w:line="41" w:lineRule="exact"/>
        <w:rPr>
          <w:rFonts w:ascii="MS PGothic" w:cs="MS PGothic" w:eastAsia="MS PGothic" w:hAnsi="MS PGothic"/>
          <w:sz w:val="17"/>
          <w:szCs w:val="17"/>
          <w:color w:val="D6515D"/>
        </w:rPr>
      </w:pPr>
    </w:p>
    <w:p>
      <w:pPr>
        <w:ind w:left="360" w:hanging="357"/>
        <w:spacing w:after="0"/>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Mr. Watzinger joined Intel in February 2011 upon Intel’s acquisition of McAfee.</w:t>
      </w:r>
    </w:p>
    <w:p>
      <w:pPr>
        <w:spacing w:after="0" w:line="78" w:lineRule="exact"/>
        <w:rPr>
          <w:rFonts w:ascii="MS PGothic" w:cs="MS PGothic" w:eastAsia="MS PGothic" w:hAnsi="MS PGothic"/>
          <w:sz w:val="17"/>
          <w:szCs w:val="17"/>
          <w:color w:val="D6515D"/>
        </w:rPr>
      </w:pPr>
    </w:p>
    <w:p>
      <w:pPr>
        <w:ind w:left="360" w:right="139" w:hanging="357"/>
        <w:spacing w:after="0" w:line="272"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Mr. Watzinger joined McAfee in November 2007 upon McAfee’s acquisition of SafeBoot Corporation, a global leader in data protection software, where he served as Chief Executive Officer from February 2004 to November 2007.</w:t>
      </w:r>
    </w:p>
    <w:p>
      <w:pPr>
        <w:spacing w:after="0" w:line="41" w:lineRule="exact"/>
        <w:rPr>
          <w:rFonts w:ascii="MS PGothic" w:cs="MS PGothic" w:eastAsia="MS PGothic" w:hAnsi="MS PGothic"/>
          <w:sz w:val="17"/>
          <w:szCs w:val="17"/>
          <w:color w:val="D6515D"/>
        </w:rPr>
      </w:pPr>
    </w:p>
    <w:p>
      <w:pPr>
        <w:ind w:left="360" w:right="279" w:hanging="357"/>
        <w:spacing w:after="0" w:line="277"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He currently serves on the board of directors of Invicti Security, an application security company; NinjaOne, an IT management company; and KnowBe4, Inc., a security awareness training company.</w:t>
      </w:r>
    </w:p>
    <w:p>
      <w:pPr>
        <w:spacing w:after="0" w:line="41" w:lineRule="exact"/>
        <w:rPr>
          <w:rFonts w:ascii="MS PGothic" w:cs="MS PGothic" w:eastAsia="MS PGothic" w:hAnsi="MS PGothic"/>
          <w:sz w:val="17"/>
          <w:szCs w:val="17"/>
          <w:color w:val="D6515D"/>
        </w:rPr>
      </w:pPr>
    </w:p>
    <w:p>
      <w:pPr>
        <w:ind w:left="360" w:right="379" w:hanging="357"/>
        <w:spacing w:after="0" w:line="270" w:lineRule="auto"/>
        <w:tabs>
          <w:tab w:leader="none" w:pos="360" w:val="left"/>
        </w:tabs>
        <w:numPr>
          <w:ilvl w:val="0"/>
          <w:numId w:val="24"/>
        </w:numPr>
        <w:rPr>
          <w:rFonts w:ascii="MS PGothic" w:cs="MS PGothic" w:eastAsia="MS PGothic" w:hAnsi="MS PGothic"/>
          <w:sz w:val="17"/>
          <w:szCs w:val="17"/>
          <w:color w:val="D6515D"/>
        </w:rPr>
      </w:pPr>
      <w:r>
        <w:rPr>
          <w:rFonts w:ascii="Arial" w:cs="Arial" w:eastAsia="Arial" w:hAnsi="Arial"/>
          <w:sz w:val="17"/>
          <w:szCs w:val="17"/>
          <w:color w:val="auto"/>
        </w:rPr>
        <w:t>He previously served on the board of directors of Mastech Digital, Inc., a digital transformation and information technology services company; TeleSign, a digital identity company; and Absolute Software Corporation, a persistent software 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68" w:lineRule="exact"/>
        <w:rPr>
          <w:sz w:val="20"/>
          <w:szCs w:val="20"/>
          <w:color w:val="auto"/>
        </w:rPr>
      </w:pPr>
    </w:p>
    <w:p>
      <w:pPr>
        <w:ind w:right="359"/>
        <w:spacing w:after="0" w:line="298" w:lineRule="auto"/>
        <w:rPr>
          <w:sz w:val="20"/>
          <w:szCs w:val="20"/>
          <w:color w:val="auto"/>
        </w:rPr>
      </w:pPr>
      <w:r>
        <w:rPr>
          <w:rFonts w:ascii="Arial" w:cs="Arial" w:eastAsia="Arial" w:hAnsi="Arial"/>
          <w:sz w:val="17"/>
          <w:szCs w:val="17"/>
          <w:color w:val="auto"/>
        </w:rPr>
        <w:t>Mr. Watzinger holds an advanced degree in Computer Science from the University of Applied Sciences in Munich.</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199"/>
        <w:spacing w:after="0" w:line="267" w:lineRule="auto"/>
        <w:rPr>
          <w:sz w:val="20"/>
          <w:szCs w:val="20"/>
          <w:color w:val="auto"/>
        </w:rPr>
      </w:pPr>
      <w:r>
        <w:rPr>
          <w:rFonts w:ascii="Arial" w:cs="Arial" w:eastAsia="Arial" w:hAnsi="Arial"/>
          <w:sz w:val="17"/>
          <w:szCs w:val="17"/>
          <w:color w:val="auto"/>
        </w:rPr>
        <w:t>Mr. Watzinger brings to the Board, the Audit Committee, the Nominating and Corporate Governance Committee and the Transaction Committee deep operational expertise in the cybersecurity and IT industries, including experience as a chief executive officer and board member of several information technology companies, as well as extensive perspective and operational insight as our current Chairman.</w:t>
      </w:r>
    </w:p>
    <w:p>
      <w:pPr>
        <w:spacing w:after="0" w:line="200" w:lineRule="exact"/>
        <w:rPr>
          <w:sz w:val="20"/>
          <w:szCs w:val="20"/>
          <w:color w:val="auto"/>
        </w:rPr>
      </w:pPr>
    </w:p>
    <w:p>
      <w:pPr>
        <w:sectPr>
          <w:pgSz w:w="11900" w:h="16838" w:orient="portrait"/>
          <w:cols w:equalWidth="0" w:num="2">
            <w:col w:w="2220" w:space="700"/>
            <w:col w:w="677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2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67" w:lineRule="exact"/>
        <w:rPr>
          <w:sz w:val="20"/>
          <w:szCs w:val="20"/>
          <w:color w:val="auto"/>
        </w:rPr>
      </w:pPr>
    </w:p>
    <w:p>
      <w:pPr>
        <w:ind w:left="800" w:right="699"/>
        <w:spacing w:after="0" w:line="267" w:lineRule="auto"/>
        <w:rPr>
          <w:sz w:val="20"/>
          <w:szCs w:val="20"/>
          <w:color w:val="auto"/>
        </w:rPr>
      </w:pPr>
      <w:r>
        <w:rPr>
          <w:rFonts w:ascii="Arial" w:cs="Arial" w:eastAsia="Arial" w:hAnsi="Arial"/>
          <w:sz w:val="31"/>
          <w:szCs w:val="31"/>
          <w:color w:val="auto"/>
        </w:rPr>
        <w:t>Class III Directors Continuing in Office Until the 2028 Annual Meeting</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-1564005</wp:posOffset>
            </wp:positionV>
            <wp:extent cx="1111885" cy="30372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885" cy="3037205"/>
                    </a:xfrm>
                    <a:prstGeom prst="rect">
                      <a:avLst/>
                    </a:prstGeom>
                    <a:noFill/>
                  </pic:spPr>
                </pic:pic>
              </a:graphicData>
            </a:graphic>
          </wp:anchor>
        </w:drawing>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July 2013</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Chair</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Compensation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748030</wp:posOffset>
            </wp:positionV>
            <wp:extent cx="1111885" cy="4124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885" cy="412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55</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November 2011</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Chair </w:t>
      </w:r>
      <w:r>
        <w:rPr>
          <w:rFonts w:ascii="Arial" w:cs="Arial" w:eastAsia="Arial" w:hAnsi="Arial"/>
          <w:sz w:val="17"/>
          <w:szCs w:val="17"/>
          <w:color w:val="000000"/>
        </w:rPr>
        <w:t>Transaction</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Cary J. Davis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579" w:hanging="357"/>
        <w:spacing w:after="0" w:line="277"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Mr. Davis is a Managing Director at Warburg Pincus, which he joined in October 1994, where he focuses on investments in the software and financial technology sectors.</w:t>
      </w:r>
    </w:p>
    <w:p>
      <w:pPr>
        <w:spacing w:after="0" w:line="41" w:lineRule="exact"/>
        <w:rPr>
          <w:rFonts w:ascii="MS PGothic" w:cs="MS PGothic" w:eastAsia="MS PGothic" w:hAnsi="MS PGothic"/>
          <w:sz w:val="17"/>
          <w:szCs w:val="17"/>
          <w:color w:val="D6515D"/>
        </w:rPr>
      </w:pPr>
    </w:p>
    <w:p>
      <w:pPr>
        <w:jc w:val="both"/>
        <w:ind w:left="360" w:right="199" w:hanging="357"/>
        <w:spacing w:after="0" w:line="277"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Prior to joining Warburg Pincus, he was Executive Assistant to Michael Dell at Dell Inc., a multinational computer technology company, and a consultant at McKinsey &amp; Company, a worldwide management consulting firm.</w:t>
      </w:r>
    </w:p>
    <w:p>
      <w:pPr>
        <w:spacing w:after="0" w:line="41" w:lineRule="exact"/>
        <w:rPr>
          <w:rFonts w:ascii="MS PGothic" w:cs="MS PGothic" w:eastAsia="MS PGothic" w:hAnsi="MS PGothic"/>
          <w:sz w:val="17"/>
          <w:szCs w:val="17"/>
          <w:color w:val="D6515D"/>
        </w:rPr>
      </w:pPr>
    </w:p>
    <w:p>
      <w:pPr>
        <w:ind w:left="360" w:right="419" w:hanging="357"/>
        <w:spacing w:after="0" w:line="267"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Mr. Davis currently serves on the boards of directors of Clearwater Analytics Holdings, Inc., a Software-as-a-Service investment data platform company, and several privately held companies.</w:t>
      </w:r>
    </w:p>
    <w:p>
      <w:pPr>
        <w:spacing w:after="0" w:line="40" w:lineRule="exact"/>
        <w:rPr>
          <w:rFonts w:ascii="MS PGothic" w:cs="MS PGothic" w:eastAsia="MS PGothic" w:hAnsi="MS PGothic"/>
          <w:sz w:val="17"/>
          <w:szCs w:val="17"/>
          <w:color w:val="D6515D"/>
        </w:rPr>
      </w:pPr>
    </w:p>
    <w:p>
      <w:pPr>
        <w:ind w:left="360" w:right="479" w:hanging="357"/>
        <w:spacing w:after="0" w:line="266" w:lineRule="auto"/>
        <w:tabs>
          <w:tab w:leader="none" w:pos="360" w:val="left"/>
        </w:tabs>
        <w:numPr>
          <w:ilvl w:val="0"/>
          <w:numId w:val="25"/>
        </w:numPr>
        <w:rPr>
          <w:rFonts w:ascii="MS PGothic" w:cs="MS PGothic" w:eastAsia="MS PGothic" w:hAnsi="MS PGothic"/>
          <w:sz w:val="17"/>
          <w:szCs w:val="17"/>
          <w:color w:val="D6515D"/>
        </w:rPr>
      </w:pPr>
      <w:r>
        <w:rPr>
          <w:rFonts w:ascii="Arial" w:cs="Arial" w:eastAsia="Arial" w:hAnsi="Arial"/>
          <w:sz w:val="17"/>
          <w:szCs w:val="17"/>
          <w:color w:val="auto"/>
        </w:rPr>
        <w:t>Mr. Davis previously served on the board of directors of Cyren, a cybersecurity company.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ind w:right="419"/>
        <w:spacing w:after="0" w:line="250" w:lineRule="auto"/>
        <w:rPr>
          <w:sz w:val="20"/>
          <w:szCs w:val="20"/>
          <w:color w:val="auto"/>
        </w:rPr>
      </w:pPr>
      <w:r>
        <w:rPr>
          <w:rFonts w:ascii="Arial" w:cs="Arial" w:eastAsia="Arial" w:hAnsi="Arial"/>
          <w:sz w:val="17"/>
          <w:szCs w:val="17"/>
          <w:color w:val="auto"/>
        </w:rPr>
        <w:t>Mr. Davis holds a B.A. in Economics from Yale University and an MBA from Harvard Business School.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68" w:lineRule="exact"/>
        <w:rPr>
          <w:sz w:val="20"/>
          <w:szCs w:val="20"/>
          <w:color w:val="auto"/>
        </w:rPr>
      </w:pPr>
    </w:p>
    <w:p>
      <w:pPr>
        <w:ind w:right="419"/>
        <w:spacing w:after="0" w:line="298" w:lineRule="auto"/>
        <w:rPr>
          <w:sz w:val="20"/>
          <w:szCs w:val="20"/>
          <w:color w:val="auto"/>
        </w:rPr>
      </w:pPr>
      <w:r>
        <w:rPr>
          <w:rFonts w:ascii="Arial" w:cs="Arial" w:eastAsia="Arial" w:hAnsi="Arial"/>
          <w:sz w:val="17"/>
          <w:szCs w:val="17"/>
          <w:color w:val="auto"/>
        </w:rPr>
        <w:t>Mr. Davis brings to the Board and the Compensation Committee extensive business and investment expertise and his knowledge of our company and our industry.</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George Kurtz</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right="179"/>
        <w:spacing w:after="0" w:line="298" w:lineRule="auto"/>
        <w:rPr>
          <w:sz w:val="20"/>
          <w:szCs w:val="20"/>
          <w:color w:val="auto"/>
        </w:rPr>
      </w:pPr>
      <w:r>
        <w:rPr>
          <w:rFonts w:ascii="Arial" w:cs="Arial" w:eastAsia="Arial" w:hAnsi="Arial"/>
          <w:sz w:val="17"/>
          <w:szCs w:val="17"/>
          <w:color w:val="auto"/>
        </w:rPr>
        <w:t>Mr. Kurtz is our founder and has served as our Chief Executive Officer, President and a member of our board of directors since November 2011.</w:t>
      </w:r>
    </w:p>
    <w:p>
      <w:pPr>
        <w:spacing w:after="0" w:line="37" w:lineRule="exact"/>
        <w:rPr>
          <w:sz w:val="20"/>
          <w:szCs w:val="20"/>
          <w:color w:val="auto"/>
        </w:rPr>
      </w:pPr>
    </w:p>
    <w:p>
      <w:pPr>
        <w:ind w:left="360" w:right="779" w:hanging="357"/>
        <w:spacing w:after="0" w:line="270"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From October 2004 to October 2011, Mr. Kurtz served in executive roles at McAfee, Inc., a security technology company, including as Executive Vice President and Worldwide Chief Technology Officer from October 2009 to October 2011.</w:t>
      </w:r>
    </w:p>
    <w:p>
      <w:pPr>
        <w:spacing w:after="0" w:line="48" w:lineRule="exact"/>
        <w:rPr>
          <w:rFonts w:ascii="MS PGothic" w:cs="MS PGothic" w:eastAsia="MS PGothic" w:hAnsi="MS PGothic"/>
          <w:sz w:val="17"/>
          <w:szCs w:val="17"/>
          <w:color w:val="D6515D"/>
        </w:rPr>
      </w:pPr>
    </w:p>
    <w:p>
      <w:pPr>
        <w:ind w:left="360" w:right="379" w:hanging="357"/>
        <w:spacing w:after="0" w:line="277"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In October 1999, Mr. Kurtz founded Foundstone, Inc., a security technology company, where he served as its Chief Executive Officer until it was acquired by McAfee, Inc. in October 2004.</w:t>
      </w:r>
    </w:p>
    <w:p>
      <w:pPr>
        <w:spacing w:after="0" w:line="41" w:lineRule="exact"/>
        <w:rPr>
          <w:rFonts w:ascii="MS PGothic" w:cs="MS PGothic" w:eastAsia="MS PGothic" w:hAnsi="MS PGothic"/>
          <w:sz w:val="17"/>
          <w:szCs w:val="17"/>
          <w:color w:val="D6515D"/>
        </w:rPr>
      </w:pPr>
    </w:p>
    <w:p>
      <w:pPr>
        <w:ind w:left="360" w:right="179" w:hanging="357"/>
        <w:spacing w:after="0" w:line="268"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Since November 2017, he has also served as Chairman and as a board member for the CrowdStrike Foundation, a nonprofit established to support the next generation of talent and research in cybersecurity and artificial intelligence through grants and other activities.</w:t>
      </w:r>
    </w:p>
    <w:p>
      <w:pPr>
        <w:spacing w:after="0" w:line="41" w:lineRule="exact"/>
        <w:rPr>
          <w:rFonts w:ascii="MS PGothic" w:cs="MS PGothic" w:eastAsia="MS PGothic" w:hAnsi="MS PGothic"/>
          <w:sz w:val="17"/>
          <w:szCs w:val="17"/>
          <w:color w:val="D6515D"/>
        </w:rPr>
      </w:pPr>
    </w:p>
    <w:p>
      <w:pPr>
        <w:ind w:left="360" w:right="339" w:hanging="357"/>
        <w:spacing w:after="0" w:line="298" w:lineRule="auto"/>
        <w:tabs>
          <w:tab w:leader="none" w:pos="360" w:val="left"/>
        </w:tabs>
        <w:numPr>
          <w:ilvl w:val="0"/>
          <w:numId w:val="26"/>
        </w:numPr>
        <w:rPr>
          <w:rFonts w:ascii="MS PGothic" w:cs="MS PGothic" w:eastAsia="MS PGothic" w:hAnsi="MS PGothic"/>
          <w:sz w:val="17"/>
          <w:szCs w:val="17"/>
          <w:color w:val="D6515D"/>
        </w:rPr>
      </w:pPr>
      <w:r>
        <w:rPr>
          <w:rFonts w:ascii="Arial" w:cs="Arial" w:eastAsia="Arial" w:hAnsi="Arial"/>
          <w:sz w:val="17"/>
          <w:szCs w:val="17"/>
          <w:color w:val="auto"/>
        </w:rPr>
        <w:t>He served on the board of directors of Hewlett Packard Enterprise, an enterprise information technology company from June 2019 until April 2023.</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ind w:right="299"/>
        <w:spacing w:after="0" w:line="298" w:lineRule="auto"/>
        <w:rPr>
          <w:sz w:val="20"/>
          <w:szCs w:val="20"/>
          <w:color w:val="auto"/>
        </w:rPr>
      </w:pPr>
      <w:r>
        <w:rPr>
          <w:rFonts w:ascii="Arial" w:cs="Arial" w:eastAsia="Arial" w:hAnsi="Arial"/>
          <w:sz w:val="17"/>
          <w:szCs w:val="17"/>
          <w:color w:val="auto"/>
        </w:rPr>
        <w:t>Mr. Kurtz holds a B.S. in Accounting from Seton Hall University. Mr. Kurtz also holds a CPA license from the State of New Jersey with an inactive status.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359"/>
        <w:spacing w:after="0" w:line="267" w:lineRule="auto"/>
        <w:rPr>
          <w:sz w:val="20"/>
          <w:szCs w:val="20"/>
          <w:color w:val="auto"/>
        </w:rPr>
      </w:pPr>
      <w:r>
        <w:rPr>
          <w:rFonts w:ascii="Arial" w:cs="Arial" w:eastAsia="Arial" w:hAnsi="Arial"/>
          <w:sz w:val="17"/>
          <w:szCs w:val="17"/>
          <w:color w:val="auto"/>
        </w:rPr>
        <w:t>The Board believes Mr. Kurtz provides valuable insight to the Board and the Transaction Committee as a security industry pioneer with more than 30 years of experience in the security space, a technology business leader, and as an accomplished entrepreneur who has accumulated extensive perspective, operational insight, and expertise as our founder, Chief Executive Officer and President.</w:t>
      </w:r>
    </w:p>
    <w:p>
      <w:pPr>
        <w:spacing w:after="0" w:line="200" w:lineRule="exact"/>
        <w:rPr>
          <w:sz w:val="20"/>
          <w:szCs w:val="20"/>
          <w:color w:val="auto"/>
        </w:rPr>
      </w:pPr>
    </w:p>
    <w:p>
      <w:pPr>
        <w:sectPr>
          <w:pgSz w:w="11900" w:h="16838" w:orient="portrait"/>
          <w:cols w:equalWidth="0" w:num="2">
            <w:col w:w="2280" w:space="640"/>
            <w:col w:w="6779"/>
          </w:cols>
          <w:pgMar w:left="760" w:top="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 xml:space="preserve">Page 10  </w:t>
      </w:r>
      <w:r>
        <w:rPr>
          <w:rFonts w:ascii="Arial" w:cs="Arial" w:eastAsia="Arial" w:hAnsi="Arial"/>
          <w:sz w:val="12"/>
          <w:szCs w:val="12"/>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129540</wp:posOffset>
            </wp:positionV>
            <wp:extent cx="66141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1111885" cy="3394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885" cy="339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 xml:space="preserve">Age </w:t>
      </w:r>
      <w:r>
        <w:rPr>
          <w:rFonts w:ascii="Arial" w:cs="Arial" w:eastAsia="Arial" w:hAnsi="Arial"/>
          <w:sz w:val="17"/>
          <w:szCs w:val="17"/>
          <w:color w:val="000000"/>
        </w:rPr>
        <w:t>62</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D6515D"/>
        </w:rPr>
        <w:t>Director Since</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November 2020</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D6515D"/>
        </w:rPr>
        <w:t xml:space="preserve">Chair </w:t>
      </w:r>
      <w:r>
        <w:rPr>
          <w:rFonts w:ascii="Arial" w:cs="Arial" w:eastAsia="Arial" w:hAnsi="Arial"/>
          <w:sz w:val="17"/>
          <w:szCs w:val="17"/>
          <w:color w:val="000000"/>
        </w:rPr>
        <w:t>Nominating</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 Corporate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Laura J. Schumacher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Background</w:t>
      </w:r>
    </w:p>
    <w:p>
      <w:pPr>
        <w:spacing w:after="0" w:line="94" w:lineRule="exact"/>
        <w:rPr>
          <w:sz w:val="20"/>
          <w:szCs w:val="20"/>
          <w:color w:val="auto"/>
        </w:rPr>
      </w:pPr>
    </w:p>
    <w:p>
      <w:pPr>
        <w:ind w:left="360" w:right="459" w:hanging="357"/>
        <w:spacing w:after="0" w:line="288"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From December 2018 to December 2022, Ms. Schumacher served as the Vice Chairman, External Affairs and Chief Legal Officer of AbbVie, Inc.</w:t>
      </w:r>
    </w:p>
    <w:p>
      <w:pPr>
        <w:spacing w:after="0" w:line="40" w:lineRule="exact"/>
        <w:rPr>
          <w:rFonts w:ascii="MS PGothic" w:cs="MS PGothic" w:eastAsia="MS PGothic" w:hAnsi="MS PGothic"/>
          <w:sz w:val="17"/>
          <w:szCs w:val="17"/>
          <w:color w:val="D6515D"/>
        </w:rPr>
      </w:pPr>
    </w:p>
    <w:p>
      <w:pPr>
        <w:ind w:left="360" w:right="139" w:hanging="357"/>
        <w:spacing w:after="0" w:line="288"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Prior to that, Ms. Schumacher served as Executive Vice President, External Affairs, General Counsel and Corporate Secretary of AbbVie, Inc.</w:t>
      </w:r>
    </w:p>
    <w:p>
      <w:pPr>
        <w:spacing w:after="0" w:line="40" w:lineRule="exact"/>
        <w:rPr>
          <w:rFonts w:ascii="MS PGothic" w:cs="MS PGothic" w:eastAsia="MS PGothic" w:hAnsi="MS PGothic"/>
          <w:sz w:val="17"/>
          <w:szCs w:val="17"/>
          <w:color w:val="D6515D"/>
        </w:rPr>
      </w:pPr>
    </w:p>
    <w:p>
      <w:pPr>
        <w:ind w:left="360" w:right="259" w:hanging="357"/>
        <w:spacing w:after="0" w:line="272"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Prior to AbbVie’s separation from Abbott Laboratories, Ms. Schumacher served in various leadership positions at Abbott, including as Executive Vice President, General Counsel from 2007 to 2012.</w:t>
      </w:r>
    </w:p>
    <w:p>
      <w:pPr>
        <w:spacing w:after="0" w:line="41" w:lineRule="exact"/>
        <w:rPr>
          <w:rFonts w:ascii="MS PGothic" w:cs="MS PGothic" w:eastAsia="MS PGothic" w:hAnsi="MS PGothic"/>
          <w:sz w:val="17"/>
          <w:szCs w:val="17"/>
          <w:color w:val="D6515D"/>
        </w:rPr>
      </w:pPr>
    </w:p>
    <w:p>
      <w:pPr>
        <w:ind w:left="360" w:right="279" w:hanging="357"/>
        <w:spacing w:after="0" w:line="270" w:lineRule="auto"/>
        <w:tabs>
          <w:tab w:leader="none" w:pos="360" w:val="left"/>
        </w:tabs>
        <w:numPr>
          <w:ilvl w:val="0"/>
          <w:numId w:val="27"/>
        </w:numPr>
        <w:rPr>
          <w:rFonts w:ascii="MS PGothic" w:cs="MS PGothic" w:eastAsia="MS PGothic" w:hAnsi="MS PGothic"/>
          <w:sz w:val="17"/>
          <w:szCs w:val="17"/>
          <w:color w:val="D6515D"/>
        </w:rPr>
      </w:pPr>
      <w:r>
        <w:rPr>
          <w:rFonts w:ascii="Arial" w:cs="Arial" w:eastAsia="Arial" w:hAnsi="Arial"/>
          <w:sz w:val="17"/>
          <w:szCs w:val="17"/>
          <w:color w:val="auto"/>
        </w:rPr>
        <w:t>Ms. Schumacher currently serves on the board of directors of General Dynamics Corporation, a global aerospace and defense company; the Board of Trustees for Ronald McDonald House Charities; and the Notre Dame College of Science Advisory Board.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Education</w:t>
      </w:r>
    </w:p>
    <w:p>
      <w:pPr>
        <w:spacing w:after="0" w:line="55" w:lineRule="exact"/>
        <w:rPr>
          <w:sz w:val="20"/>
          <w:szCs w:val="20"/>
          <w:color w:val="auto"/>
        </w:rPr>
      </w:pPr>
    </w:p>
    <w:p>
      <w:pPr>
        <w:ind w:right="219"/>
        <w:spacing w:after="0" w:line="298" w:lineRule="auto"/>
        <w:rPr>
          <w:sz w:val="20"/>
          <w:szCs w:val="20"/>
          <w:color w:val="auto"/>
        </w:rPr>
      </w:pPr>
      <w:r>
        <w:rPr>
          <w:rFonts w:ascii="Arial" w:cs="Arial" w:eastAsia="Arial" w:hAnsi="Arial"/>
          <w:sz w:val="17"/>
          <w:szCs w:val="17"/>
          <w:color w:val="auto"/>
        </w:rPr>
        <w:t>Ms. Schumacher holds a B.B.A. from the University of Notre Dame and a J.D. from the University of Wisconsin at Madison.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D6515D"/>
        </w:rPr>
        <w:t>Qualifications</w:t>
      </w:r>
    </w:p>
    <w:p>
      <w:pPr>
        <w:spacing w:after="0" w:line="55" w:lineRule="exact"/>
        <w:rPr>
          <w:sz w:val="20"/>
          <w:szCs w:val="20"/>
          <w:color w:val="auto"/>
        </w:rPr>
      </w:pPr>
    </w:p>
    <w:p>
      <w:pPr>
        <w:ind w:right="359"/>
        <w:spacing w:after="0" w:line="270" w:lineRule="auto"/>
        <w:rPr>
          <w:sz w:val="20"/>
          <w:szCs w:val="20"/>
          <w:color w:val="auto"/>
        </w:rPr>
      </w:pPr>
      <w:r>
        <w:rPr>
          <w:rFonts w:ascii="Arial" w:cs="Arial" w:eastAsia="Arial" w:hAnsi="Arial"/>
          <w:sz w:val="17"/>
          <w:szCs w:val="17"/>
          <w:color w:val="auto"/>
        </w:rPr>
        <w:t>Ms. Schumacher brings to the Board and Nominating and Corporate Governance Committee extensive experience with respect to risk management and the types of legal and regulatory risks facing public companies, as well as an important understanding of corporate governance matters and complex corporate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114935</wp:posOffset>
            </wp:positionV>
            <wp:extent cx="66141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2">
            <w:col w:w="2260" w:space="660"/>
            <w:col w:w="6779"/>
          </w:cols>
          <w:pgMar w:left="760" w:top="94"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33" w:lineRule="exact"/>
        <w:rPr>
          <w:sz w:val="20"/>
          <w:szCs w:val="20"/>
          <w:color w:val="auto"/>
        </w:rPr>
      </w:pPr>
    </w:p>
    <w:p>
      <w:pPr>
        <w:ind w:left="800" w:right="619"/>
        <w:spacing w:after="0" w:line="261" w:lineRule="auto"/>
        <w:rPr>
          <w:sz w:val="20"/>
          <w:szCs w:val="20"/>
          <w:color w:val="auto"/>
        </w:rPr>
      </w:pPr>
      <w:r>
        <w:rPr>
          <w:rFonts w:ascii="Arial" w:cs="Arial" w:eastAsia="Arial" w:hAnsi="Arial"/>
          <w:sz w:val="47"/>
          <w:szCs w:val="47"/>
          <w:b w:val="1"/>
          <w:bCs w:val="1"/>
          <w:color w:val="auto"/>
        </w:rPr>
        <w:t>Information Regarding the Board of Directors and Corporate Governance</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Corporate Governance Highlights</w:t>
      </w:r>
    </w:p>
    <w:p>
      <w:pPr>
        <w:sectPr>
          <w:pgSz w:w="11900" w:h="16838" w:orient="portrait"/>
          <w:cols w:equalWidth="0" w:num="1">
            <w:col w:w="9699"/>
          </w:cols>
          <w:pgMar w:left="760" w:top="94" w:right="1440" w:bottom="1440" w:gutter="0" w:footer="0" w:header="0"/>
        </w:sectPr>
      </w:pPr>
    </w:p>
    <w:p>
      <w:pPr>
        <w:spacing w:after="0" w:line="333" w:lineRule="exact"/>
        <w:rPr>
          <w:sz w:val="20"/>
          <w:szCs w:val="20"/>
          <w:color w:val="auto"/>
        </w:rPr>
      </w:pPr>
    </w:p>
    <w:p>
      <w:pPr>
        <w:ind w:left="1140" w:right="360"/>
        <w:spacing w:after="0" w:line="328" w:lineRule="auto"/>
        <w:rPr>
          <w:sz w:val="20"/>
          <w:szCs w:val="20"/>
          <w:color w:val="auto"/>
        </w:rPr>
      </w:pPr>
      <w:r>
        <w:rPr>
          <w:rFonts w:ascii="Arial" w:cs="Arial" w:eastAsia="Arial" w:hAnsi="Arial"/>
          <w:sz w:val="17"/>
          <w:szCs w:val="17"/>
          <w:color w:val="auto"/>
        </w:rPr>
        <w:t>One share, one vote (dual class structure was sunset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-302895</wp:posOffset>
            </wp:positionV>
            <wp:extent cx="74930"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left="1140" w:right="260"/>
        <w:spacing w:after="0" w:line="268" w:lineRule="auto"/>
        <w:rPr>
          <w:sz w:val="20"/>
          <w:szCs w:val="20"/>
          <w:color w:val="auto"/>
        </w:rPr>
      </w:pPr>
      <w:r>
        <w:rPr>
          <w:rFonts w:ascii="Arial" w:cs="Arial" w:eastAsia="Arial" w:hAnsi="Arial"/>
          <w:sz w:val="17"/>
          <w:szCs w:val="17"/>
          <w:color w:val="auto"/>
        </w:rPr>
        <w:t>100% independent Audit Committee, Compensation Committee and Nominating and Corporate Governance Committee Independent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-534670</wp:posOffset>
            </wp:positionV>
            <wp:extent cx="74930"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930" cy="9144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-128270</wp:posOffset>
            </wp:positionV>
            <wp:extent cx="74930" cy="91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Board composed of 89%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-104775</wp:posOffset>
            </wp:positionV>
            <wp:extent cx="74930" cy="9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20" w:lineRule="exact"/>
        <w:rPr>
          <w:sz w:val="20"/>
          <w:szCs w:val="20"/>
          <w:color w:val="auto"/>
        </w:rPr>
      </w:pPr>
    </w:p>
    <w:p>
      <w:pPr>
        <w:ind w:left="1140" w:right="560"/>
        <w:spacing w:after="0" w:line="248" w:lineRule="auto"/>
        <w:rPr>
          <w:sz w:val="20"/>
          <w:szCs w:val="20"/>
          <w:color w:val="auto"/>
        </w:rPr>
      </w:pPr>
      <w:r>
        <w:rPr>
          <w:rFonts w:ascii="Arial" w:cs="Arial" w:eastAsia="Arial" w:hAnsi="Arial"/>
          <w:sz w:val="17"/>
          <w:szCs w:val="17"/>
          <w:color w:val="auto"/>
        </w:rPr>
        <w:t>Regular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-236855</wp:posOffset>
            </wp:positionV>
            <wp:extent cx="74930" cy="9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left="1140"/>
        <w:spacing w:after="0" w:line="330" w:lineRule="auto"/>
        <w:rPr>
          <w:sz w:val="20"/>
          <w:szCs w:val="20"/>
          <w:color w:val="auto"/>
        </w:rPr>
      </w:pPr>
      <w:r>
        <w:rPr>
          <w:rFonts w:ascii="Arial" w:cs="Arial" w:eastAsia="Arial" w:hAnsi="Arial"/>
          <w:sz w:val="17"/>
          <w:szCs w:val="17"/>
          <w:color w:val="auto"/>
        </w:rPr>
        <w:t>Rigorous director selection and evaluation process Annual 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-313690</wp:posOffset>
            </wp:positionV>
            <wp:extent cx="74930" cy="91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930" cy="9144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-163830</wp:posOffset>
            </wp:positionV>
            <wp:extent cx="74930" cy="91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959"/>
        <w:spacing w:after="0" w:line="320" w:lineRule="auto"/>
        <w:rPr>
          <w:sz w:val="20"/>
          <w:szCs w:val="20"/>
          <w:color w:val="auto"/>
        </w:rPr>
      </w:pPr>
      <w:r>
        <w:rPr>
          <w:rFonts w:ascii="Arial" w:cs="Arial" w:eastAsia="Arial" w:hAnsi="Arial"/>
          <w:sz w:val="17"/>
          <w:szCs w:val="17"/>
          <w:color w:val="auto"/>
        </w:rPr>
        <w:t>Annual review of committee charters and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-294640</wp:posOffset>
            </wp:positionV>
            <wp:extent cx="74930" cy="91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right="899"/>
        <w:spacing w:after="0" w:line="288" w:lineRule="auto"/>
        <w:rPr>
          <w:sz w:val="20"/>
          <w:szCs w:val="20"/>
          <w:color w:val="auto"/>
        </w:rPr>
      </w:pPr>
      <w:r>
        <w:rPr>
          <w:rFonts w:ascii="Arial" w:cs="Arial" w:eastAsia="Arial" w:hAnsi="Arial"/>
          <w:sz w:val="17"/>
          <w:szCs w:val="17"/>
          <w:color w:val="auto"/>
        </w:rPr>
        <w:t>Board continuing education program Robust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-269875</wp:posOffset>
            </wp:positionV>
            <wp:extent cx="74930" cy="91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930" cy="9144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-120650</wp:posOffset>
            </wp:positionV>
            <wp:extent cx="74930" cy="9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right="699"/>
        <w:spacing w:after="0" w:line="256" w:lineRule="auto"/>
        <w:rPr>
          <w:sz w:val="20"/>
          <w:szCs w:val="20"/>
          <w:color w:val="auto"/>
        </w:rPr>
      </w:pPr>
      <w:r>
        <w:rPr>
          <w:rFonts w:ascii="Arial" w:cs="Arial" w:eastAsia="Arial" w:hAnsi="Arial"/>
          <w:sz w:val="17"/>
          <w:szCs w:val="17"/>
          <w:color w:val="auto"/>
        </w:rPr>
        <w:t>Stock ownership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-236855</wp:posOffset>
            </wp:positionV>
            <wp:extent cx="7493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ind w:right="1059"/>
        <w:spacing w:after="0" w:line="248" w:lineRule="auto"/>
        <w:rPr>
          <w:sz w:val="20"/>
          <w:szCs w:val="20"/>
          <w:color w:val="auto"/>
        </w:rPr>
      </w:pPr>
      <w:r>
        <w:rPr>
          <w:rFonts w:ascii="Arial" w:cs="Arial" w:eastAsia="Arial" w:hAnsi="Arial"/>
          <w:sz w:val="17"/>
          <w:szCs w:val="17"/>
          <w:color w:val="auto"/>
        </w:rPr>
        <w:t>Restrictions on hedging and pledging of CrowdStrike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-236855</wp:posOffset>
            </wp:positionV>
            <wp:extent cx="74930" cy="91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-96520</wp:posOffset>
            </wp:positionV>
            <wp:extent cx="74930" cy="91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Active management of director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-96520</wp:posOffset>
            </wp:positionV>
            <wp:extent cx="74930" cy="91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930" cy="91440"/>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4980" w:space="660"/>
            <w:col w:w="4059"/>
          </w:cols>
          <w:pgMar w:left="760" w:top="94" w:right="1440" w:bottom="1440" w:gutter="0" w:footer="0" w:header="0"/>
          <w:type w:val="continuous"/>
        </w:sectPr>
      </w:pPr>
    </w:p>
    <w:p>
      <w:pPr>
        <w:ind w:left="800"/>
        <w:spacing w:after="0"/>
        <w:rPr>
          <w:sz w:val="20"/>
          <w:szCs w:val="20"/>
          <w:color w:val="auto"/>
        </w:rPr>
      </w:pPr>
      <w:r>
        <w:rPr>
          <w:rFonts w:ascii="Arial" w:cs="Arial" w:eastAsia="Arial" w:hAnsi="Arial"/>
          <w:sz w:val="45"/>
          <w:szCs w:val="45"/>
          <w:color w:val="auto"/>
        </w:rPr>
        <w:t>Independence of the Board of Directors</w:t>
      </w:r>
    </w:p>
    <w:p>
      <w:pPr>
        <w:spacing w:after="0" w:line="103" w:lineRule="exact"/>
        <w:rPr>
          <w:sz w:val="20"/>
          <w:szCs w:val="20"/>
          <w:color w:val="auto"/>
        </w:rPr>
      </w:pPr>
    </w:p>
    <w:p>
      <w:pPr>
        <w:ind w:left="800" w:right="499"/>
        <w:spacing w:after="0" w:line="250" w:lineRule="auto"/>
        <w:rPr>
          <w:sz w:val="20"/>
          <w:szCs w:val="20"/>
          <w:color w:val="auto"/>
        </w:rPr>
      </w:pPr>
      <w:r>
        <w:rPr>
          <w:rFonts w:ascii="Arial" w:cs="Arial" w:eastAsia="Arial" w:hAnsi="Arial"/>
          <w:sz w:val="17"/>
          <w:szCs w:val="17"/>
          <w:color w:val="auto"/>
        </w:rPr>
        <w:t>As required under Nasdaq listing standards, a majority of the members of a listed company’s board of directors must qualify as “independent,” as affirmatively determined by the board. Our Board consults with CrowdStrike’s</w:t>
      </w:r>
    </w:p>
    <w:p>
      <w:pPr>
        <w:spacing w:after="0" w:line="1" w:lineRule="exact"/>
        <w:rPr>
          <w:sz w:val="20"/>
          <w:szCs w:val="20"/>
          <w:color w:val="auto"/>
        </w:rPr>
      </w:pPr>
    </w:p>
    <w:p>
      <w:pPr>
        <w:ind w:left="800" w:right="719"/>
        <w:spacing w:after="0" w:line="232" w:lineRule="auto"/>
        <w:rPr>
          <w:sz w:val="20"/>
          <w:szCs w:val="20"/>
          <w:color w:val="auto"/>
        </w:rPr>
      </w:pPr>
      <w:r>
        <w:rPr>
          <w:rFonts w:ascii="Arial" w:cs="Arial" w:eastAsia="Arial" w:hAnsi="Arial"/>
          <w:sz w:val="17"/>
          <w:szCs w:val="17"/>
          <w:color w:val="auto"/>
        </w:rPr>
        <w:t>counsel to ensure that the Board’s determinations are consistent with relevant securities and other laws and regulations regarding the definition of “independent,” including those set forth in pertinent listing standards of</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Nasdaq, as in effect from time to time.</w:t>
      </w:r>
    </w:p>
    <w:p>
      <w:pPr>
        <w:spacing w:after="0" w:line="194" w:lineRule="exact"/>
        <w:rPr>
          <w:sz w:val="20"/>
          <w:szCs w:val="20"/>
          <w:color w:val="auto"/>
        </w:rPr>
      </w:pPr>
    </w:p>
    <w:p>
      <w:pPr>
        <w:ind w:left="800" w:right="539"/>
        <w:spacing w:after="0" w:line="242" w:lineRule="auto"/>
        <w:rPr>
          <w:sz w:val="20"/>
          <w:szCs w:val="20"/>
          <w:color w:val="auto"/>
        </w:rPr>
      </w:pPr>
      <w:r>
        <w:rPr>
          <w:rFonts w:ascii="Arial" w:cs="Arial" w:eastAsia="Arial" w:hAnsi="Arial"/>
          <w:sz w:val="17"/>
          <w:szCs w:val="17"/>
          <w:color w:val="auto"/>
        </w:rPr>
        <w:t>Under the rules of Nasdaq, subject to specified exceptions, each member of a listed company’s audit, compensation and nominating and corporate governance committees must be independent. Under the rules of</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Nasdaq, a director will only qualify as an “independent director” if, in the opinion of that company’s board of</w:t>
      </w:r>
    </w:p>
    <w:p>
      <w:pPr>
        <w:spacing w:after="0" w:line="1" w:lineRule="exact"/>
        <w:rPr>
          <w:sz w:val="20"/>
          <w:szCs w:val="20"/>
          <w:color w:val="auto"/>
        </w:rPr>
      </w:pPr>
    </w:p>
    <w:p>
      <w:pPr>
        <w:ind w:left="800" w:right="159"/>
        <w:spacing w:after="0" w:line="232" w:lineRule="auto"/>
        <w:rPr>
          <w:sz w:val="20"/>
          <w:szCs w:val="20"/>
          <w:color w:val="auto"/>
        </w:rPr>
      </w:pPr>
      <w:r>
        <w:rPr>
          <w:rFonts w:ascii="Arial" w:cs="Arial" w:eastAsia="Arial" w:hAnsi="Arial"/>
          <w:sz w:val="17"/>
          <w:szCs w:val="17"/>
          <w:color w:val="auto"/>
        </w:rPr>
        <w:t>directors, that person does not have a relationship that would interfere with the exercise of independent judgment in carrying out the responsibilities of a director. Compensation committee members must not have a relationship with</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us that is material to the director’s ability to be independent from management in connection with the duties of a</w:t>
      </w:r>
    </w:p>
    <w:p>
      <w:pPr>
        <w:spacing w:after="0" w:line="1" w:lineRule="exact"/>
        <w:rPr>
          <w:sz w:val="20"/>
          <w:szCs w:val="20"/>
          <w:color w:val="auto"/>
        </w:rPr>
      </w:pPr>
    </w:p>
    <w:p>
      <w:pPr>
        <w:ind w:left="800" w:right="579"/>
        <w:spacing w:after="0" w:line="232" w:lineRule="auto"/>
        <w:rPr>
          <w:sz w:val="20"/>
          <w:szCs w:val="20"/>
          <w:color w:val="auto"/>
        </w:rPr>
      </w:pPr>
      <w:r>
        <w:rPr>
          <w:rFonts w:ascii="Arial" w:cs="Arial" w:eastAsia="Arial" w:hAnsi="Arial"/>
          <w:sz w:val="17"/>
          <w:szCs w:val="17"/>
          <w:color w:val="auto"/>
        </w:rPr>
        <w:t>compensation committee member. Additionally, audit committee members must also satisfy the independence criteria set forth in Rule 10A-3 under the Securities Exchange Act of 1934 (the “Exchange Act”). In order to be</w:t>
      </w:r>
    </w:p>
    <w:p>
      <w:pPr>
        <w:spacing w:after="0" w:line="1" w:lineRule="exact"/>
        <w:rPr>
          <w:sz w:val="20"/>
          <w:szCs w:val="20"/>
          <w:color w:val="auto"/>
        </w:rPr>
      </w:pPr>
    </w:p>
    <w:p>
      <w:pPr>
        <w:ind w:left="800" w:right="199"/>
        <w:spacing w:after="0" w:line="232" w:lineRule="auto"/>
        <w:rPr>
          <w:sz w:val="20"/>
          <w:szCs w:val="20"/>
          <w:color w:val="auto"/>
        </w:rPr>
      </w:pPr>
      <w:r>
        <w:rPr>
          <w:rFonts w:ascii="Arial" w:cs="Arial" w:eastAsia="Arial" w:hAnsi="Arial"/>
          <w:sz w:val="17"/>
          <w:szCs w:val="17"/>
          <w:color w:val="auto"/>
        </w:rPr>
        <w:t>considered independent for purposes of Rule 10A-3, a member of an audit committee of a listed company may not, other than in his or her capacity as a member of the board of directors or a committee of the board, accept, directly</w:t>
      </w:r>
    </w:p>
    <w:p>
      <w:pPr>
        <w:spacing w:after="0" w:line="1" w:lineRule="exact"/>
        <w:rPr>
          <w:sz w:val="20"/>
          <w:szCs w:val="20"/>
          <w:color w:val="auto"/>
        </w:rPr>
      </w:pPr>
    </w:p>
    <w:p>
      <w:pPr>
        <w:ind w:left="800" w:right="119"/>
        <w:spacing w:after="0" w:line="263" w:lineRule="auto"/>
        <w:rPr>
          <w:sz w:val="20"/>
          <w:szCs w:val="20"/>
          <w:color w:val="auto"/>
        </w:rPr>
      </w:pPr>
      <w:r>
        <w:rPr>
          <w:rFonts w:ascii="Arial" w:cs="Arial" w:eastAsia="Arial" w:hAnsi="Arial"/>
          <w:sz w:val="17"/>
          <w:szCs w:val="17"/>
          <w:color w:val="auto"/>
        </w:rPr>
        <w:t>or indirectly, any consulting, advisory or other compensatory fee from the listed company or any of its subsidiaries or be an affiliated person of the listed company or any of its subsidiaries.</w:t>
      </w:r>
    </w:p>
    <w:p>
      <w:pPr>
        <w:spacing w:after="0" w:line="144" w:lineRule="exact"/>
        <w:rPr>
          <w:sz w:val="20"/>
          <w:szCs w:val="20"/>
          <w:color w:val="auto"/>
        </w:rPr>
      </w:pPr>
    </w:p>
    <w:p>
      <w:pPr>
        <w:ind w:left="800" w:right="139"/>
        <w:spacing w:after="0" w:line="250" w:lineRule="auto"/>
        <w:rPr>
          <w:sz w:val="20"/>
          <w:szCs w:val="20"/>
          <w:color w:val="auto"/>
        </w:rPr>
      </w:pPr>
      <w:r>
        <w:rPr>
          <w:rFonts w:ascii="Arial" w:cs="Arial" w:eastAsia="Arial" w:hAnsi="Arial"/>
          <w:sz w:val="17"/>
          <w:szCs w:val="17"/>
          <w:color w:val="auto"/>
        </w:rPr>
        <w:t>Our Board has undertaken a review of the independence of each director and considered whether each director has a material relationship with us that could compromise his or her ability to exercise independent judgment in carrying</w:t>
      </w:r>
    </w:p>
    <w:p>
      <w:pPr>
        <w:spacing w:after="0" w:line="1" w:lineRule="exact"/>
        <w:rPr>
          <w:sz w:val="20"/>
          <w:szCs w:val="20"/>
          <w:color w:val="auto"/>
        </w:rPr>
      </w:pPr>
    </w:p>
    <w:p>
      <w:pPr>
        <w:ind w:left="800" w:right="139"/>
        <w:spacing w:after="0" w:line="232" w:lineRule="auto"/>
        <w:rPr>
          <w:sz w:val="20"/>
          <w:szCs w:val="20"/>
          <w:color w:val="auto"/>
        </w:rPr>
      </w:pPr>
      <w:r>
        <w:rPr>
          <w:rFonts w:ascii="Arial" w:cs="Arial" w:eastAsia="Arial" w:hAnsi="Arial"/>
          <w:sz w:val="17"/>
          <w:szCs w:val="17"/>
          <w:color w:val="auto"/>
        </w:rPr>
        <w:t>out his or her responsibilities. Based upon information requested from and provided by each director concerning their background, employment and affiliations, including family relationships and as a result of this review, our Board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determined that each of Roxanne S. Austin, Cary J. Davis, Johanna Flower, Sameer K. Gandhi, Denis J. O’Leary,</w:t>
      </w:r>
    </w:p>
    <w:p>
      <w:pPr>
        <w:spacing w:after="0" w:line="1" w:lineRule="exact"/>
        <w:rPr>
          <w:sz w:val="20"/>
          <w:szCs w:val="20"/>
          <w:color w:val="auto"/>
        </w:rPr>
      </w:pPr>
    </w:p>
    <w:p>
      <w:pPr>
        <w:ind w:left="800" w:right="359"/>
        <w:spacing w:after="0" w:line="232" w:lineRule="auto"/>
        <w:rPr>
          <w:sz w:val="20"/>
          <w:szCs w:val="20"/>
          <w:color w:val="auto"/>
        </w:rPr>
      </w:pPr>
      <w:r>
        <w:rPr>
          <w:rFonts w:ascii="Arial" w:cs="Arial" w:eastAsia="Arial" w:hAnsi="Arial"/>
          <w:sz w:val="17"/>
          <w:szCs w:val="17"/>
          <w:color w:val="auto"/>
        </w:rPr>
        <w:t>Laura J. Schumacher, Godfrey R. Sullivan, and Gerhard Watzinger, representing eight of our nine directors, does not have a relationship that would interfere with the exercise of independent judgment in carrying out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responsibilities of a director and is an “independent director” as defined under the applicable rules and regulations</w:t>
      </w:r>
    </w:p>
    <w:p>
      <w:pPr>
        <w:spacing w:after="0" w:line="1" w:lineRule="exact"/>
        <w:rPr>
          <w:sz w:val="20"/>
          <w:szCs w:val="20"/>
          <w:color w:val="auto"/>
        </w:rPr>
      </w:pPr>
    </w:p>
    <w:p>
      <w:pPr>
        <w:ind w:left="800" w:right="379"/>
        <w:spacing w:after="0" w:line="232" w:lineRule="auto"/>
        <w:rPr>
          <w:sz w:val="20"/>
          <w:szCs w:val="20"/>
          <w:color w:val="auto"/>
        </w:rPr>
      </w:pPr>
      <w:r>
        <w:rPr>
          <w:rFonts w:ascii="Arial" w:cs="Arial" w:eastAsia="Arial" w:hAnsi="Arial"/>
          <w:sz w:val="17"/>
          <w:szCs w:val="17"/>
          <w:color w:val="auto"/>
        </w:rPr>
        <w:t>of the SEC and the listing requirements and rules of Nasdaq. In making this determination, our Board considered the current and prior relationships that each non-employee director has with our company and all other facts and</w:t>
      </w:r>
    </w:p>
    <w:p>
      <w:pPr>
        <w:spacing w:after="0" w:line="1" w:lineRule="exact"/>
        <w:rPr>
          <w:sz w:val="20"/>
          <w:szCs w:val="20"/>
          <w:color w:val="auto"/>
        </w:rPr>
      </w:pPr>
    </w:p>
    <w:p>
      <w:pPr>
        <w:ind w:left="800" w:right="219"/>
        <w:spacing w:after="0" w:line="263" w:lineRule="auto"/>
        <w:rPr>
          <w:sz w:val="20"/>
          <w:szCs w:val="20"/>
          <w:color w:val="auto"/>
        </w:rPr>
      </w:pPr>
      <w:r>
        <w:rPr>
          <w:rFonts w:ascii="Arial" w:cs="Arial" w:eastAsia="Arial" w:hAnsi="Arial"/>
          <w:sz w:val="17"/>
          <w:szCs w:val="17"/>
          <w:color w:val="auto"/>
        </w:rPr>
        <w:t>circumstances our Board deemed relevant in determining their independence, including the beneficial ownership of our capital stock by each non-employee director.</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45"/>
          <w:szCs w:val="45"/>
          <w:color w:val="auto"/>
        </w:rPr>
        <w:t>Board Leadership Structure</w:t>
      </w:r>
    </w:p>
    <w:p>
      <w:pPr>
        <w:spacing w:after="0" w:line="103" w:lineRule="exact"/>
        <w:rPr>
          <w:sz w:val="20"/>
          <w:szCs w:val="20"/>
          <w:color w:val="auto"/>
        </w:rPr>
      </w:pPr>
    </w:p>
    <w:p>
      <w:pPr>
        <w:ind w:left="800" w:right="119"/>
        <w:spacing w:after="0" w:line="250" w:lineRule="auto"/>
        <w:rPr>
          <w:sz w:val="20"/>
          <w:szCs w:val="20"/>
          <w:color w:val="auto"/>
        </w:rPr>
      </w:pPr>
      <w:r>
        <w:rPr>
          <w:rFonts w:ascii="Arial" w:cs="Arial" w:eastAsia="Arial" w:hAnsi="Arial"/>
          <w:sz w:val="17"/>
          <w:szCs w:val="17"/>
          <w:color w:val="auto"/>
        </w:rPr>
        <w:t>Our Board has an independent Chair, Mr. Watzinger, who has authority, among other things, to call and preside over Board meetings, including meetings of the independent directors, as well as the authority to call special meetings of</w:t>
      </w:r>
    </w:p>
    <w:p>
      <w:pPr>
        <w:spacing w:after="0" w:line="1" w:lineRule="exact"/>
        <w:rPr>
          <w:sz w:val="20"/>
          <w:szCs w:val="20"/>
          <w:color w:val="auto"/>
        </w:rPr>
      </w:pPr>
    </w:p>
    <w:p>
      <w:pPr>
        <w:ind w:left="800" w:right="239"/>
        <w:spacing w:after="0" w:line="232" w:lineRule="auto"/>
        <w:rPr>
          <w:sz w:val="20"/>
          <w:szCs w:val="20"/>
          <w:color w:val="auto"/>
        </w:rPr>
      </w:pPr>
      <w:r>
        <w:rPr>
          <w:rFonts w:ascii="Arial" w:cs="Arial" w:eastAsia="Arial" w:hAnsi="Arial"/>
          <w:sz w:val="17"/>
          <w:szCs w:val="17"/>
          <w:color w:val="auto"/>
        </w:rPr>
        <w:t>the stockholders. Accordingly, the Chair of the Board has substantial ability to shape the work of the Board. We believe that separation of the positions of the Chair and Chief Executive Officer reinforces the independence of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Board in its oversight of the business and affairs of the Company. In addition, we believe</w:t>
      </w:r>
    </w:p>
    <w:p>
      <w:pPr>
        <w:spacing w:after="0" w:line="200" w:lineRule="exact"/>
        <w:rPr>
          <w:sz w:val="20"/>
          <w:szCs w:val="20"/>
          <w:color w:val="auto"/>
        </w:rPr>
      </w:pPr>
    </w:p>
    <w:p>
      <w:pPr>
        <w:spacing w:after="0" w:line="22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800" w:right="459"/>
        <w:spacing w:after="0" w:line="242" w:lineRule="auto"/>
        <w:rPr>
          <w:sz w:val="20"/>
          <w:szCs w:val="20"/>
          <w:color w:val="auto"/>
        </w:rPr>
      </w:pPr>
      <w:r>
        <w:rPr>
          <w:rFonts w:ascii="Arial" w:cs="Arial" w:eastAsia="Arial" w:hAnsi="Arial"/>
          <w:sz w:val="17"/>
          <w:szCs w:val="17"/>
          <w:color w:val="auto"/>
        </w:rPr>
        <w:t>that having an independent Chair creates an environment that is more conducive to objective evaluation and oversight of management’s performance, increasing management accountability and improving the ability of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Board to monitor whether management’s actions are in the best interests of the Company and its stockholders. As a</w:t>
      </w:r>
    </w:p>
    <w:p>
      <w:pPr>
        <w:spacing w:after="0" w:line="1" w:lineRule="exact"/>
        <w:rPr>
          <w:sz w:val="20"/>
          <w:szCs w:val="20"/>
          <w:color w:val="auto"/>
        </w:rPr>
      </w:pPr>
    </w:p>
    <w:p>
      <w:pPr>
        <w:ind w:left="800" w:right="459"/>
        <w:spacing w:after="0" w:line="232" w:lineRule="auto"/>
        <w:rPr>
          <w:sz w:val="20"/>
          <w:szCs w:val="20"/>
          <w:color w:val="auto"/>
        </w:rPr>
      </w:pPr>
      <w:r>
        <w:rPr>
          <w:rFonts w:ascii="Arial" w:cs="Arial" w:eastAsia="Arial" w:hAnsi="Arial"/>
          <w:sz w:val="17"/>
          <w:szCs w:val="17"/>
          <w:color w:val="auto"/>
        </w:rPr>
        <w:t>result, we believe that having an independent Chair can enhance the effectiveness of the Board as a whole. We believe that the leadership structure of our Board, including Mr. Watzinger’s role as Chair, as well as the strong</w:t>
      </w:r>
    </w:p>
    <w:p>
      <w:pPr>
        <w:spacing w:after="0" w:line="1" w:lineRule="exact"/>
        <w:rPr>
          <w:sz w:val="20"/>
          <w:szCs w:val="20"/>
          <w:color w:val="auto"/>
        </w:rPr>
      </w:pPr>
    </w:p>
    <w:p>
      <w:pPr>
        <w:ind w:left="800" w:right="459"/>
        <w:spacing w:after="0" w:line="263" w:lineRule="auto"/>
        <w:rPr>
          <w:sz w:val="20"/>
          <w:szCs w:val="20"/>
          <w:color w:val="auto"/>
        </w:rPr>
      </w:pPr>
      <w:r>
        <w:rPr>
          <w:rFonts w:ascii="Arial" w:cs="Arial" w:eastAsia="Arial" w:hAnsi="Arial"/>
          <w:sz w:val="17"/>
          <w:szCs w:val="17"/>
          <w:color w:val="auto"/>
        </w:rPr>
        <w:t>independent committees of our Board, is appropriate and enhances our Board’s ability to effectively carry out its roles and responsibilities on behalf of our stockholders.</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45"/>
          <w:szCs w:val="45"/>
          <w:color w:val="auto"/>
        </w:rPr>
        <w:t>Role of the Board in Risk Oversight</w:t>
      </w:r>
    </w:p>
    <w:p>
      <w:pPr>
        <w:spacing w:after="0" w:line="103" w:lineRule="exact"/>
        <w:rPr>
          <w:sz w:val="20"/>
          <w:szCs w:val="20"/>
          <w:color w:val="auto"/>
        </w:rPr>
      </w:pPr>
    </w:p>
    <w:p>
      <w:pPr>
        <w:ind w:left="800" w:right="519"/>
        <w:spacing w:after="0" w:line="250"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cybersecurity, legal and compliance, and reputational risks, in the pursuit and achievement of our</w:t>
      </w:r>
    </w:p>
    <w:p>
      <w:pPr>
        <w:spacing w:after="0" w:line="1" w:lineRule="exact"/>
        <w:rPr>
          <w:sz w:val="20"/>
          <w:szCs w:val="20"/>
          <w:color w:val="auto"/>
        </w:rPr>
      </w:pPr>
    </w:p>
    <w:p>
      <w:pPr>
        <w:ind w:left="800" w:right="159"/>
        <w:spacing w:after="0" w:line="232" w:lineRule="auto"/>
        <w:rPr>
          <w:sz w:val="20"/>
          <w:szCs w:val="20"/>
          <w:color w:val="auto"/>
        </w:rPr>
      </w:pPr>
      <w:r>
        <w:rPr>
          <w:rFonts w:ascii="Arial" w:cs="Arial" w:eastAsia="Arial" w:hAnsi="Arial"/>
          <w:sz w:val="17"/>
          <w:szCs w:val="17"/>
          <w:color w:val="auto"/>
        </w:rPr>
        <w:t>strategic objectives. We have designed and implemented processes to manage risk in our operations. Management is responsible for the day-to-day oversight and management of strategic, operational, legal and compliance,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cybersecurity, and financial risks, while our Board, as a whole and assisted by its committees, has responsibility for</w:t>
      </w:r>
    </w:p>
    <w:p>
      <w:pPr>
        <w:spacing w:after="0" w:line="1" w:lineRule="exact"/>
        <w:rPr>
          <w:sz w:val="20"/>
          <w:szCs w:val="20"/>
          <w:color w:val="auto"/>
        </w:rPr>
      </w:pPr>
    </w:p>
    <w:p>
      <w:pPr>
        <w:ind w:left="800" w:right="219"/>
        <w:spacing w:after="0" w:line="232" w:lineRule="auto"/>
        <w:rPr>
          <w:sz w:val="20"/>
          <w:szCs w:val="20"/>
          <w:color w:val="auto"/>
        </w:rPr>
      </w:pPr>
      <w:r>
        <w:rPr>
          <w:rFonts w:ascii="Arial" w:cs="Arial" w:eastAsia="Arial" w:hAnsi="Arial"/>
          <w:sz w:val="17"/>
          <w:szCs w:val="17"/>
          <w:color w:val="auto"/>
        </w:rPr>
        <w:t>the oversight of our risk management framework, which is designed to identify, assess, and manage risks to which our Company is exposed, as well as foster a corporate culture of integrity. Consistent with this approach, our Board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regularly reviews our strategic and operational risks in the context of discussions with management, question and</w:t>
      </w:r>
    </w:p>
    <w:p>
      <w:pPr>
        <w:spacing w:after="0" w:line="1" w:lineRule="exact"/>
        <w:rPr>
          <w:sz w:val="20"/>
          <w:szCs w:val="20"/>
          <w:color w:val="auto"/>
        </w:rPr>
      </w:pPr>
    </w:p>
    <w:p>
      <w:pPr>
        <w:ind w:left="800" w:right="199"/>
        <w:spacing w:after="0" w:line="232" w:lineRule="auto"/>
        <w:rPr>
          <w:sz w:val="20"/>
          <w:szCs w:val="20"/>
          <w:color w:val="auto"/>
        </w:rPr>
      </w:pPr>
      <w:r>
        <w:rPr>
          <w:rFonts w:ascii="Arial" w:cs="Arial" w:eastAsia="Arial" w:hAnsi="Arial"/>
          <w:sz w:val="17"/>
          <w:szCs w:val="17"/>
          <w:color w:val="auto"/>
        </w:rPr>
        <w:t>answer sessions, and reports from the management team at each regular board meeting. Our Board also receives regular reports on all significant committee activities at each regular board meeting and evaluates the risks inherent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significant transactions.</w:t>
      </w:r>
    </w:p>
    <w:p>
      <w:pPr>
        <w:spacing w:after="0" w:line="194" w:lineRule="exact"/>
        <w:rPr>
          <w:sz w:val="20"/>
          <w:szCs w:val="20"/>
          <w:color w:val="auto"/>
        </w:rPr>
      </w:pPr>
    </w:p>
    <w:p>
      <w:pPr>
        <w:ind w:left="800" w:right="439"/>
        <w:spacing w:after="0" w:line="242" w:lineRule="auto"/>
        <w:rPr>
          <w:sz w:val="20"/>
          <w:szCs w:val="20"/>
          <w:color w:val="auto"/>
        </w:rPr>
      </w:pPr>
      <w:r>
        <w:rPr>
          <w:rFonts w:ascii="Arial" w:cs="Arial" w:eastAsia="Arial" w:hAnsi="Arial"/>
          <w:sz w:val="17"/>
          <w:szCs w:val="17"/>
          <w:color w:val="auto"/>
        </w:rPr>
        <w:t>In addition, our Board has tasked designated standing committees with oversight of certain categories of risk management. Our Audit Committee assists our Board in fulfilling its oversight responsibilities with respect to risk</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assessment and risk management, including the Company’s policies and practices pertaining to financial</w:t>
      </w:r>
    </w:p>
    <w:p>
      <w:pPr>
        <w:spacing w:after="0" w:line="1" w:lineRule="exact"/>
        <w:rPr>
          <w:sz w:val="20"/>
          <w:szCs w:val="20"/>
          <w:color w:val="auto"/>
        </w:rPr>
      </w:pPr>
    </w:p>
    <w:p>
      <w:pPr>
        <w:ind w:left="800" w:right="319"/>
        <w:spacing w:after="0" w:line="232" w:lineRule="auto"/>
        <w:rPr>
          <w:sz w:val="20"/>
          <w:szCs w:val="20"/>
          <w:color w:val="auto"/>
        </w:rPr>
      </w:pPr>
      <w:r>
        <w:rPr>
          <w:rFonts w:ascii="Arial" w:cs="Arial" w:eastAsia="Arial" w:hAnsi="Arial"/>
          <w:sz w:val="17"/>
          <w:szCs w:val="17"/>
          <w:color w:val="auto"/>
        </w:rPr>
        <w:t>accounting, investment, tax, and privacy and cybersecurity matters, and discusses with management, our internal audit function and our independent auditor the Company’s major financial risk exposures. Our Compensation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Committee reviews and assesses risks arising from the Company’s employee compensation policies and practices</w:t>
      </w:r>
    </w:p>
    <w:p>
      <w:pPr>
        <w:spacing w:after="0" w:line="1" w:lineRule="exact"/>
        <w:rPr>
          <w:sz w:val="20"/>
          <w:szCs w:val="20"/>
          <w:color w:val="auto"/>
        </w:rPr>
      </w:pPr>
    </w:p>
    <w:p>
      <w:pPr>
        <w:ind w:left="800" w:right="799"/>
        <w:spacing w:after="0" w:line="232" w:lineRule="auto"/>
        <w:rPr>
          <w:sz w:val="20"/>
          <w:szCs w:val="20"/>
          <w:color w:val="auto"/>
        </w:rPr>
      </w:pPr>
      <w:r>
        <w:rPr>
          <w:rFonts w:ascii="Arial" w:cs="Arial" w:eastAsia="Arial" w:hAnsi="Arial"/>
          <w:sz w:val="17"/>
          <w:szCs w:val="17"/>
          <w:color w:val="auto"/>
        </w:rPr>
        <w:t>and whether any such risks are reasonably likely to have a material adverse effect on the Company. Our Nominating and Corporate Governance Committee monitors the effectiveness of our corporate governance</w:t>
      </w:r>
    </w:p>
    <w:p>
      <w:pPr>
        <w:spacing w:after="0" w:line="1" w:lineRule="exact"/>
        <w:rPr>
          <w:sz w:val="20"/>
          <w:szCs w:val="20"/>
          <w:color w:val="auto"/>
        </w:rPr>
      </w:pPr>
    </w:p>
    <w:p>
      <w:pPr>
        <w:ind w:left="800" w:right="839"/>
        <w:spacing w:after="0" w:line="246" w:lineRule="auto"/>
        <w:rPr>
          <w:sz w:val="20"/>
          <w:szCs w:val="20"/>
          <w:color w:val="auto"/>
        </w:rPr>
      </w:pPr>
      <w:r>
        <w:rPr>
          <w:rFonts w:ascii="Arial" w:cs="Arial" w:eastAsia="Arial" w:hAnsi="Arial"/>
          <w:sz w:val="17"/>
          <w:szCs w:val="17"/>
          <w:color w:val="auto"/>
        </w:rPr>
        <w:t>guidelines and policies. Our Transaction Committee reviews and evaluates certain risks related to potential acquisitions of businesses, entities or technologies.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Board believes its current leadership structure supports the risk oversight function of the Board.</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Family Relationships</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are no family relationships among the directors and executive officers.</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Meetings of the Board of Directors</w:t>
      </w:r>
    </w:p>
    <w:p>
      <w:pPr>
        <w:spacing w:after="0" w:line="103" w:lineRule="exact"/>
        <w:rPr>
          <w:sz w:val="20"/>
          <w:szCs w:val="20"/>
          <w:color w:val="auto"/>
        </w:rPr>
      </w:pPr>
    </w:p>
    <w:p>
      <w:pPr>
        <w:ind w:left="800" w:right="219"/>
        <w:spacing w:after="0" w:line="250" w:lineRule="auto"/>
        <w:rPr>
          <w:sz w:val="20"/>
          <w:szCs w:val="20"/>
          <w:color w:val="auto"/>
        </w:rPr>
      </w:pPr>
      <w:r>
        <w:rPr>
          <w:rFonts w:ascii="Arial" w:cs="Arial" w:eastAsia="Arial" w:hAnsi="Arial"/>
          <w:sz w:val="17"/>
          <w:szCs w:val="17"/>
          <w:color w:val="auto"/>
        </w:rPr>
        <w:t>The Board met nine times during fiscal 2026. Each Board member attended 75% or more of the aggregate number of meetings of the Board and of the committees on which he or she served that were held during the portion of the</w:t>
      </w:r>
    </w:p>
    <w:p>
      <w:pPr>
        <w:spacing w:after="0" w:line="1" w:lineRule="exact"/>
        <w:rPr>
          <w:sz w:val="20"/>
          <w:szCs w:val="20"/>
          <w:color w:val="auto"/>
        </w:rPr>
      </w:pPr>
    </w:p>
    <w:p>
      <w:pPr>
        <w:jc w:val="both"/>
        <w:ind w:left="800" w:right="219"/>
        <w:spacing w:after="0" w:line="232" w:lineRule="auto"/>
        <w:rPr>
          <w:sz w:val="20"/>
          <w:szCs w:val="20"/>
          <w:color w:val="auto"/>
        </w:rPr>
      </w:pPr>
      <w:r>
        <w:rPr>
          <w:rFonts w:ascii="Arial" w:cs="Arial" w:eastAsia="Arial" w:hAnsi="Arial"/>
          <w:sz w:val="17"/>
          <w:szCs w:val="17"/>
          <w:color w:val="auto"/>
        </w:rPr>
        <w:t>last fiscal year for which he or she was a director or committee member. We do not currently have a policy relating to director attendance, but the Company’s directors are encouraged to attend our annual meetings of stockholders.</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of our then-directors attended our 2025 Annual Meeting of Stockholders.</w:t>
      </w:r>
    </w:p>
    <w:p>
      <w:pPr>
        <w:spacing w:after="0" w:line="188" w:lineRule="exact"/>
        <w:rPr>
          <w:sz w:val="20"/>
          <w:szCs w:val="20"/>
          <w:color w:val="auto"/>
        </w:rPr>
      </w:pPr>
    </w:p>
    <w:p>
      <w:pPr>
        <w:ind w:left="800" w:right="759"/>
        <w:spacing w:after="0" w:line="258" w:lineRule="auto"/>
        <w:rPr>
          <w:sz w:val="20"/>
          <w:szCs w:val="20"/>
          <w:color w:val="auto"/>
        </w:rPr>
      </w:pPr>
      <w:r>
        <w:rPr>
          <w:rFonts w:ascii="Arial" w:cs="Arial" w:eastAsia="Arial" w:hAnsi="Arial"/>
          <w:sz w:val="45"/>
          <w:szCs w:val="45"/>
          <w:color w:val="auto"/>
        </w:rPr>
        <w:t>Information Regarding Committees of the Board of Directors</w:t>
      </w:r>
    </w:p>
    <w:p>
      <w:pPr>
        <w:spacing w:after="0" w:line="4" w:lineRule="exact"/>
        <w:rPr>
          <w:sz w:val="20"/>
          <w:szCs w:val="20"/>
          <w:color w:val="auto"/>
        </w:rPr>
      </w:pPr>
    </w:p>
    <w:p>
      <w:pPr>
        <w:ind w:left="800" w:right="779"/>
        <w:spacing w:after="0" w:line="282" w:lineRule="auto"/>
        <w:rPr>
          <w:sz w:val="20"/>
          <w:szCs w:val="20"/>
          <w:color w:val="auto"/>
        </w:rPr>
      </w:pPr>
      <w:r>
        <w:rPr>
          <w:rFonts w:ascii="Arial" w:cs="Arial" w:eastAsia="Arial" w:hAnsi="Arial"/>
          <w:sz w:val="17"/>
          <w:szCs w:val="17"/>
          <w:color w:val="auto"/>
        </w:rPr>
        <w:t>The Board has an Audit Committee, a Compensation Committee, a Nominating and Corporate Governance Committee and a Transaction Committee.</w:t>
      </w:r>
    </w:p>
    <w:p>
      <w:pPr>
        <w:spacing w:after="0" w:line="129" w:lineRule="exact"/>
        <w:rPr>
          <w:sz w:val="20"/>
          <w:szCs w:val="20"/>
          <w:color w:val="auto"/>
        </w:rPr>
      </w:pPr>
    </w:p>
    <w:p>
      <w:pPr>
        <w:ind w:left="800" w:right="139"/>
        <w:spacing w:after="0" w:line="250" w:lineRule="auto"/>
        <w:rPr>
          <w:sz w:val="20"/>
          <w:szCs w:val="20"/>
          <w:color w:val="auto"/>
        </w:rPr>
      </w:pPr>
      <w:r>
        <w:rPr>
          <w:rFonts w:ascii="Arial" w:cs="Arial" w:eastAsia="Arial" w:hAnsi="Arial"/>
          <w:sz w:val="17"/>
          <w:szCs w:val="17"/>
          <w:color w:val="auto"/>
        </w:rPr>
        <w:t>Each such committee has authority to engage legal counsel or other experts or consultants, as it deems appropriate to carry out its responsibilities. The Board has determined that each member of the Audit Committee,</w:t>
      </w:r>
    </w:p>
    <w:p>
      <w:pPr>
        <w:spacing w:after="0" w:line="1" w:lineRule="exact"/>
        <w:rPr>
          <w:sz w:val="20"/>
          <w:szCs w:val="20"/>
          <w:color w:val="auto"/>
        </w:rPr>
      </w:pPr>
    </w:p>
    <w:p>
      <w:pPr>
        <w:ind w:left="800" w:right="259"/>
        <w:spacing w:after="0" w:line="232" w:lineRule="auto"/>
        <w:rPr>
          <w:sz w:val="20"/>
          <w:szCs w:val="20"/>
          <w:color w:val="auto"/>
        </w:rPr>
      </w:pPr>
      <w:r>
        <w:rPr>
          <w:rFonts w:ascii="Arial" w:cs="Arial" w:eastAsia="Arial" w:hAnsi="Arial"/>
          <w:sz w:val="17"/>
          <w:szCs w:val="17"/>
          <w:color w:val="auto"/>
        </w:rPr>
        <w:t>Compensation Committee and Nominating and Corporate Governance Committee meets the applicable Nasdaq rules and regulations regarding “independence” and that each member is free of any relationship that would impair</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that member’s individual exercise of independent judgment with regard to the Company. The Board has also</w:t>
      </w:r>
    </w:p>
    <w:p>
      <w:pPr>
        <w:spacing w:after="0" w:line="1" w:lineRule="exact"/>
        <w:rPr>
          <w:sz w:val="20"/>
          <w:szCs w:val="20"/>
          <w:color w:val="auto"/>
        </w:rPr>
      </w:pPr>
    </w:p>
    <w:p>
      <w:pPr>
        <w:ind w:left="800" w:right="239"/>
        <w:spacing w:after="0" w:line="232" w:lineRule="auto"/>
        <w:rPr>
          <w:sz w:val="20"/>
          <w:szCs w:val="20"/>
          <w:color w:val="auto"/>
        </w:rPr>
      </w:pPr>
      <w:r>
        <w:rPr>
          <w:rFonts w:ascii="Arial" w:cs="Arial" w:eastAsia="Arial" w:hAnsi="Arial"/>
          <w:sz w:val="17"/>
          <w:szCs w:val="17"/>
          <w:color w:val="auto"/>
        </w:rPr>
        <w:t>determined that each Audit Committee member meets the applicable rules for financial literacy under the rules and regulations of Nasdaq and the SEC and that Roxanne S. Austin qualifies as an “Audit Committee financial expert”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defined in the SEC rules and satisfies the financial sophistication requirements of Nasdaq.</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5576570" cy="191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6570" cy="191135"/>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Audit Committee</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D6515D"/>
        </w:rPr>
        <w:t>Members</w:t>
      </w:r>
    </w:p>
    <w:p>
      <w:pPr>
        <w:spacing w:after="0" w:line="49" w:lineRule="exact"/>
        <w:rPr>
          <w:sz w:val="20"/>
          <w:szCs w:val="20"/>
          <w:color w:val="auto"/>
        </w:rPr>
      </w:pPr>
    </w:p>
    <w:p>
      <w:pPr>
        <w:ind w:left="1100" w:hanging="255"/>
        <w:spacing w:after="0"/>
        <w:tabs>
          <w:tab w:leader="none" w:pos="1100" w:val="left"/>
        </w:tabs>
        <w:numPr>
          <w:ilvl w:val="0"/>
          <w:numId w:val="28"/>
        </w:numPr>
        <w:rPr>
          <w:rFonts w:ascii="MS PGothic" w:cs="MS PGothic" w:eastAsia="MS PGothic" w:hAnsi="MS PGothic"/>
          <w:sz w:val="17"/>
          <w:szCs w:val="17"/>
          <w:color w:val="auto"/>
        </w:rPr>
      </w:pPr>
      <w:r>
        <w:rPr>
          <w:rFonts w:ascii="Arial" w:cs="Arial" w:eastAsia="Arial" w:hAnsi="Arial"/>
          <w:sz w:val="17"/>
          <w:szCs w:val="17"/>
          <w:b w:val="1"/>
          <w:bCs w:val="1"/>
          <w:color w:val="auto"/>
        </w:rPr>
        <w:t>Roxanne S. Austin, Chair</w:t>
      </w:r>
    </w:p>
    <w:p>
      <w:pPr>
        <w:spacing w:after="0" w:line="57" w:lineRule="exact"/>
        <w:rPr>
          <w:rFonts w:ascii="MS PGothic" w:cs="MS PGothic" w:eastAsia="MS PGothic" w:hAnsi="MS PGothic"/>
          <w:sz w:val="17"/>
          <w:szCs w:val="17"/>
          <w:color w:val="auto"/>
        </w:rPr>
      </w:pPr>
    </w:p>
    <w:p>
      <w:pPr>
        <w:ind w:left="1100" w:hanging="255"/>
        <w:spacing w:after="0"/>
        <w:tabs>
          <w:tab w:leader="none" w:pos="1100" w:val="left"/>
        </w:tabs>
        <w:numPr>
          <w:ilvl w:val="0"/>
          <w:numId w:val="28"/>
        </w:numPr>
        <w:rPr>
          <w:rFonts w:ascii="MS PGothic" w:cs="MS PGothic" w:eastAsia="MS PGothic" w:hAnsi="MS PGothic"/>
          <w:sz w:val="17"/>
          <w:szCs w:val="17"/>
          <w:color w:val="auto"/>
        </w:rPr>
      </w:pPr>
      <w:r>
        <w:rPr>
          <w:rFonts w:ascii="Arial" w:cs="Arial" w:eastAsia="Arial" w:hAnsi="Arial"/>
          <w:sz w:val="17"/>
          <w:szCs w:val="17"/>
          <w:color w:val="auto"/>
        </w:rPr>
        <w:t>Godfrey R. Sullivan</w:t>
      </w:r>
    </w:p>
    <w:p>
      <w:pPr>
        <w:spacing w:after="0" w:line="42" w:lineRule="exact"/>
        <w:rPr>
          <w:rFonts w:ascii="MS PGothic" w:cs="MS PGothic" w:eastAsia="MS PGothic" w:hAnsi="MS PGothic"/>
          <w:sz w:val="17"/>
          <w:szCs w:val="17"/>
          <w:color w:val="auto"/>
        </w:rPr>
      </w:pPr>
    </w:p>
    <w:p>
      <w:pPr>
        <w:ind w:left="1100" w:hanging="255"/>
        <w:spacing w:after="0"/>
        <w:tabs>
          <w:tab w:leader="none" w:pos="1100" w:val="left"/>
        </w:tabs>
        <w:numPr>
          <w:ilvl w:val="0"/>
          <w:numId w:val="28"/>
        </w:numPr>
        <w:rPr>
          <w:rFonts w:ascii="MS PGothic" w:cs="MS PGothic" w:eastAsia="MS PGothic" w:hAnsi="MS PGothic"/>
          <w:sz w:val="17"/>
          <w:szCs w:val="17"/>
          <w:color w:val="auto"/>
        </w:rPr>
      </w:pPr>
      <w:r>
        <w:rPr>
          <w:rFonts w:ascii="Arial" w:cs="Arial" w:eastAsia="Arial" w:hAnsi="Arial"/>
          <w:sz w:val="17"/>
          <w:szCs w:val="17"/>
          <w:color w:val="auto"/>
        </w:rPr>
        <w:t>Gerhard Watzinger</w:t>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D6515D"/>
        </w:rPr>
        <w:t>Principal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659"/>
        <w:spacing w:after="0"/>
        <w:rPr>
          <w:sz w:val="20"/>
          <w:szCs w:val="20"/>
          <w:color w:val="auto"/>
        </w:rPr>
      </w:pPr>
      <w:r>
        <w:rPr>
          <w:rFonts w:ascii="Arial" w:cs="Arial" w:eastAsia="Arial" w:hAnsi="Arial"/>
          <w:sz w:val="19"/>
          <w:szCs w:val="19"/>
          <w:b w:val="1"/>
          <w:bCs w:val="1"/>
          <w:color w:val="auto"/>
        </w:rPr>
        <w:t>Meetings in FY2026: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25400</wp:posOffset>
            </wp:positionV>
            <wp:extent cx="5576570" cy="4713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6570" cy="4713605"/>
                    </a:xfrm>
                    <a:prstGeom prst="rect">
                      <a:avLst/>
                    </a:prstGeom>
                    <a:noFill/>
                  </pic:spPr>
                </pic:pic>
              </a:graphicData>
            </a:graphic>
          </wp:anchor>
        </w:drawing>
      </w:r>
    </w:p>
    <w:p>
      <w:pPr>
        <w:spacing w:after="0" w:line="317" w:lineRule="exact"/>
        <w:rPr>
          <w:sz w:val="20"/>
          <w:szCs w:val="20"/>
          <w:color w:val="auto"/>
        </w:rPr>
      </w:pPr>
    </w:p>
    <w:p>
      <w:pPr>
        <w:ind w:right="659"/>
        <w:spacing w:after="0" w:line="270" w:lineRule="auto"/>
        <w:rPr>
          <w:sz w:val="20"/>
          <w:szCs w:val="20"/>
          <w:color w:val="auto"/>
        </w:rPr>
      </w:pPr>
      <w:r>
        <w:rPr>
          <w:rFonts w:ascii="Arial" w:cs="Arial" w:eastAsia="Arial" w:hAnsi="Arial"/>
          <w:sz w:val="17"/>
          <w:szCs w:val="17"/>
          <w:color w:val="auto"/>
        </w:rPr>
        <w:t>Our Audit Committee is comprised of Roxanne S. Austin, Godfrey R. Sullivan, and Gerhard Watzinger, each of whom meets the requirements for independence under Nasdaq listing standards and SEC rules and regulations.</w:t>
      </w:r>
    </w:p>
    <w:p>
      <w:pPr>
        <w:spacing w:after="0" w:line="270" w:lineRule="exact"/>
        <w:rPr>
          <w:sz w:val="20"/>
          <w:szCs w:val="20"/>
          <w:color w:val="auto"/>
        </w:rPr>
      </w:pPr>
    </w:p>
    <w:p>
      <w:pPr>
        <w:sectPr>
          <w:pgSz w:w="11900" w:h="16838" w:orient="portrait"/>
          <w:cols w:equalWidth="0" w:num="2">
            <w:col w:w="3180" w:space="380"/>
            <w:col w:w="6139"/>
          </w:cols>
          <w:pgMar w:left="760" w:top="94" w:right="1440" w:bottom="1440" w:gutter="0" w:footer="0" w:header="0"/>
          <w:type w:val="continuous"/>
        </w:sectPr>
      </w:pPr>
    </w:p>
    <w:p>
      <w:pPr>
        <w:ind w:left="840"/>
        <w:spacing w:after="0"/>
        <w:rPr>
          <w:sz w:val="20"/>
          <w:szCs w:val="20"/>
          <w:color w:val="auto"/>
        </w:rPr>
      </w:pPr>
      <w:r>
        <w:rPr>
          <w:rFonts w:ascii="Arial" w:cs="Arial" w:eastAsia="Arial" w:hAnsi="Arial"/>
          <w:sz w:val="17"/>
          <w:szCs w:val="17"/>
          <w:color w:val="auto"/>
        </w:rPr>
        <w:t>The Audit Committee is responsible for, among other things:</w:t>
      </w:r>
    </w:p>
    <w:p>
      <w:pPr>
        <w:spacing w:after="0" w:line="66" w:lineRule="exact"/>
        <w:rPr>
          <w:sz w:val="20"/>
          <w:szCs w:val="20"/>
          <w:color w:val="auto"/>
        </w:rPr>
      </w:pPr>
    </w:p>
    <w:p>
      <w:pPr>
        <w:ind w:left="1200" w:hanging="181"/>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selecting and hiring our independent registered public accounting firm;</w:t>
      </w:r>
    </w:p>
    <w:p>
      <w:pPr>
        <w:spacing w:after="0" w:line="52" w:lineRule="exact"/>
        <w:rPr>
          <w:rFonts w:ascii="Arial" w:cs="Arial" w:eastAsia="Arial" w:hAnsi="Arial"/>
          <w:sz w:val="17"/>
          <w:szCs w:val="17"/>
          <w:color w:val="auto"/>
        </w:rPr>
      </w:pPr>
    </w:p>
    <w:p>
      <w:pPr>
        <w:ind w:left="1200" w:hanging="181"/>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evaluating the performance and independence of our registered public accounting firm;</w:t>
      </w:r>
    </w:p>
    <w:p>
      <w:pPr>
        <w:spacing w:after="0" w:line="52" w:lineRule="exact"/>
        <w:rPr>
          <w:rFonts w:ascii="Arial" w:cs="Arial" w:eastAsia="Arial" w:hAnsi="Arial"/>
          <w:sz w:val="17"/>
          <w:szCs w:val="17"/>
          <w:color w:val="auto"/>
        </w:rPr>
      </w:pPr>
    </w:p>
    <w:p>
      <w:pPr>
        <w:ind w:left="1200" w:right="759" w:hanging="181"/>
        <w:spacing w:after="0" w:line="250"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approving the audit and pre-approving any non-audit services to be performed by our registered public accounting firm;</w:t>
      </w:r>
    </w:p>
    <w:p>
      <w:pPr>
        <w:spacing w:after="0" w:line="37" w:lineRule="exact"/>
        <w:rPr>
          <w:rFonts w:ascii="Arial" w:cs="Arial" w:eastAsia="Arial" w:hAnsi="Arial"/>
          <w:sz w:val="17"/>
          <w:szCs w:val="17"/>
          <w:color w:val="auto"/>
        </w:rPr>
      </w:pPr>
    </w:p>
    <w:p>
      <w:pPr>
        <w:ind w:left="1200" w:right="1059" w:hanging="181"/>
        <w:spacing w:after="0" w:line="296"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reviewing the integrity of our financial statements and related disclosures and reviewing our critical accounting policies and practices;</w:t>
      </w:r>
    </w:p>
    <w:p>
      <w:pPr>
        <w:spacing w:after="0" w:line="1" w:lineRule="exact"/>
        <w:rPr>
          <w:rFonts w:ascii="Arial" w:cs="Arial" w:eastAsia="Arial" w:hAnsi="Arial"/>
          <w:sz w:val="17"/>
          <w:szCs w:val="17"/>
          <w:color w:val="auto"/>
        </w:rPr>
      </w:pPr>
    </w:p>
    <w:p>
      <w:pPr>
        <w:ind w:left="1200" w:right="1179" w:hanging="181"/>
        <w:spacing w:after="0" w:line="296"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policies and procedures and our disclosure controls and procedures;</w:t>
      </w:r>
    </w:p>
    <w:p>
      <w:pPr>
        <w:spacing w:after="0" w:line="1" w:lineRule="exact"/>
        <w:rPr>
          <w:rFonts w:ascii="Arial" w:cs="Arial" w:eastAsia="Arial" w:hAnsi="Arial"/>
          <w:sz w:val="17"/>
          <w:szCs w:val="17"/>
          <w:color w:val="auto"/>
        </w:rPr>
      </w:pPr>
    </w:p>
    <w:p>
      <w:pPr>
        <w:ind w:left="1200" w:right="679" w:hanging="181"/>
        <w:spacing w:after="0" w:line="288"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discussing with management and, as applicable, our independent registered public accounting firm, our disclosure controls and procedures over sustainability reporting data and disclosures;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evaluating the performance of our internal audit function;</w:t>
      </w:r>
    </w:p>
    <w:p>
      <w:pPr>
        <w:spacing w:after="0" w:line="52" w:lineRule="exact"/>
        <w:rPr>
          <w:rFonts w:ascii="Arial" w:cs="Arial" w:eastAsia="Arial" w:hAnsi="Arial"/>
          <w:sz w:val="17"/>
          <w:szCs w:val="17"/>
          <w:color w:val="auto"/>
        </w:rPr>
      </w:pPr>
    </w:p>
    <w:p>
      <w:pPr>
        <w:ind w:left="1200" w:right="899" w:hanging="181"/>
        <w:spacing w:after="0" w:line="250"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overseeing procedures for the treatment of complaints on accounting, internal accounting controls or audit matters;</w:t>
      </w:r>
    </w:p>
    <w:p>
      <w:pPr>
        <w:spacing w:after="0" w:line="37" w:lineRule="exact"/>
        <w:rPr>
          <w:rFonts w:ascii="Arial" w:cs="Arial" w:eastAsia="Arial" w:hAnsi="Arial"/>
          <w:sz w:val="17"/>
          <w:szCs w:val="17"/>
          <w:color w:val="auto"/>
        </w:rPr>
      </w:pPr>
    </w:p>
    <w:p>
      <w:pPr>
        <w:ind w:left="1200" w:right="799" w:hanging="181"/>
        <w:spacing w:after="0" w:line="288"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the results of our annual audit, our quarterly financial statements and our publicly filed reports;</w:t>
      </w:r>
    </w:p>
    <w:p>
      <w:pPr>
        <w:spacing w:after="0" w:line="1" w:lineRule="exact"/>
        <w:rPr>
          <w:rFonts w:ascii="Arial" w:cs="Arial" w:eastAsia="Arial" w:hAnsi="Arial"/>
          <w:sz w:val="17"/>
          <w:szCs w:val="17"/>
          <w:color w:val="auto"/>
        </w:rPr>
      </w:pPr>
    </w:p>
    <w:p>
      <w:pPr>
        <w:ind w:left="1200" w:right="659" w:hanging="181"/>
        <w:spacing w:after="0" w:line="250"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37" w:lineRule="exact"/>
        <w:rPr>
          <w:rFonts w:ascii="Arial" w:cs="Arial" w:eastAsia="Arial" w:hAnsi="Arial"/>
          <w:sz w:val="17"/>
          <w:szCs w:val="17"/>
          <w:color w:val="auto"/>
        </w:rPr>
      </w:pPr>
    </w:p>
    <w:p>
      <w:pPr>
        <w:ind w:left="1200" w:right="1119" w:hanging="181"/>
        <w:spacing w:after="0" w:line="288"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assessing and managing risks, including with respect to financial accounting, investment, tax, and privacy and cybersecurity matters;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reviewing and approving in advance any proposed related-person transactions; and</w:t>
      </w:r>
    </w:p>
    <w:p>
      <w:pPr>
        <w:spacing w:after="0" w:line="52" w:lineRule="exact"/>
        <w:rPr>
          <w:rFonts w:ascii="Arial" w:cs="Arial" w:eastAsia="Arial" w:hAnsi="Arial"/>
          <w:sz w:val="17"/>
          <w:szCs w:val="17"/>
          <w:color w:val="auto"/>
        </w:rPr>
      </w:pPr>
    </w:p>
    <w:p>
      <w:pPr>
        <w:ind w:left="1200" w:hanging="181"/>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preparing the Audit Committee report that the SEC requires in our annual proxy statement.</w:t>
      </w:r>
    </w:p>
    <w:p>
      <w:pPr>
        <w:spacing w:after="0" w:line="34" w:lineRule="exact"/>
        <w:rPr>
          <w:sz w:val="20"/>
          <w:szCs w:val="20"/>
          <w:color w:val="auto"/>
        </w:rPr>
      </w:pPr>
    </w:p>
    <w:p>
      <w:pPr>
        <w:jc w:val="both"/>
        <w:ind w:left="840" w:right="819"/>
        <w:spacing w:after="0" w:line="273" w:lineRule="auto"/>
        <w:rPr>
          <w:sz w:val="20"/>
          <w:szCs w:val="20"/>
          <w:color w:val="auto"/>
        </w:rPr>
      </w:pPr>
      <w:r>
        <w:rPr>
          <w:rFonts w:ascii="Arial" w:cs="Arial" w:eastAsia="Arial" w:hAnsi="Arial"/>
          <w:sz w:val="17"/>
          <w:szCs w:val="17"/>
          <w:color w:val="auto"/>
        </w:rPr>
        <w:t>Our Audit Committee operates under a written charter that satisfies the applicable rules and regulations of the SEC and the listing standards of Nasdaq. A copy of the charter for our Audit Committee is available on our website at ir.crowdstrike.com.</w:t>
      </w:r>
    </w:p>
    <w:p>
      <w:pPr>
        <w:spacing w:after="0" w:line="287" w:lineRule="exact"/>
        <w:rPr>
          <w:sz w:val="20"/>
          <w:szCs w:val="20"/>
          <w:color w:val="auto"/>
        </w:rPr>
      </w:pPr>
    </w:p>
    <w:p>
      <w:pPr>
        <w:ind w:left="800" w:right="359"/>
        <w:spacing w:after="0" w:line="261" w:lineRule="auto"/>
        <w:rPr>
          <w:sz w:val="20"/>
          <w:szCs w:val="20"/>
          <w:color w:val="auto"/>
        </w:rPr>
      </w:pPr>
      <w:r>
        <w:rPr>
          <w:rFonts w:ascii="Arial" w:cs="Arial" w:eastAsia="Arial" w:hAnsi="Arial"/>
          <w:sz w:val="45"/>
          <w:szCs w:val="45"/>
          <w:color w:val="auto"/>
        </w:rPr>
        <w:t>Report of the Audit Committee of the Board of Directors</w:t>
      </w:r>
    </w:p>
    <w:p>
      <w:pPr>
        <w:spacing w:after="0" w:line="4" w:lineRule="exact"/>
        <w:rPr>
          <w:sz w:val="20"/>
          <w:szCs w:val="20"/>
          <w:color w:val="auto"/>
        </w:rPr>
      </w:pPr>
    </w:p>
    <w:p>
      <w:pPr>
        <w:ind w:left="800" w:right="239"/>
        <w:spacing w:after="0" w:line="253"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January 31, 2026 with management of the Company. The Audit Committee has discussed with the Company’s independent registered public accounting firm, PricewaterhouseCoopers LLP, the matters required to be discussed by the Public Company Accounting Oversight Board (“PCAOB”) and the SEC. The Audit Committee has also received the written disclosures and the letter from PricewaterhouseCoopers LLP required by applicable requirements of the PCAOB regarding the independent accountants’ communications with the Audit Committee concerning independence and has discussed with PricewaterhouseCoopers LLP the accounting firm’s independence.</w:t>
      </w:r>
    </w:p>
    <w:p>
      <w:pPr>
        <w:spacing w:after="0" w:line="63" w:lineRule="exact"/>
        <w:rPr>
          <w:sz w:val="20"/>
          <w:szCs w:val="20"/>
          <w:color w:val="auto"/>
        </w:rPr>
      </w:pPr>
    </w:p>
    <w:p>
      <w:pPr>
        <w:ind w:left="800" w:right="339"/>
        <w:spacing w:after="0" w:line="282" w:lineRule="auto"/>
        <w:rPr>
          <w:sz w:val="20"/>
          <w:szCs w:val="20"/>
          <w:color w:val="auto"/>
        </w:rPr>
      </w:pPr>
      <w:r>
        <w:rPr>
          <w:rFonts w:ascii="Arial" w:cs="Arial" w:eastAsia="Arial" w:hAnsi="Arial"/>
          <w:sz w:val="17"/>
          <w:szCs w:val="17"/>
          <w:color w:val="auto"/>
        </w:rPr>
        <w:t>Based on the foregoing, the Audit Committee recommended to the Board that the audited financial statements be included in the Company’s Annual Report on Form 10-K for the fiscal year ended January 31, 2026.</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Respectfully submitted by the members of the Audit Committee of the Board.</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Roxanne S. Austin</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Godfrey R. Sullivan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Gerhard Watzinger</w:t>
      </w:r>
    </w:p>
    <w:p>
      <w:pPr>
        <w:spacing w:after="0" w:line="89" w:lineRule="exact"/>
        <w:rPr>
          <w:sz w:val="20"/>
          <w:szCs w:val="20"/>
          <w:color w:val="auto"/>
        </w:rPr>
      </w:pPr>
    </w:p>
    <w:p>
      <w:pPr>
        <w:ind w:left="800" w:right="319"/>
        <w:spacing w:after="0" w:line="259" w:lineRule="auto"/>
        <w:rPr>
          <w:sz w:val="20"/>
          <w:szCs w:val="20"/>
          <w:color w:val="auto"/>
        </w:rPr>
      </w:pPr>
      <w:r>
        <w:rPr>
          <w:rFonts w:ascii="Arial" w:cs="Arial" w:eastAsia="Arial" w:hAnsi="Arial"/>
          <w:sz w:val="17"/>
          <w:szCs w:val="17"/>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377"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6417945" cy="191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7945" cy="19113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800"/>
        <w:spacing w:after="0"/>
        <w:tabs>
          <w:tab w:leader="none" w:pos="8920" w:val="left"/>
        </w:tabs>
        <w:rPr>
          <w:sz w:val="20"/>
          <w:szCs w:val="20"/>
          <w:color w:val="auto"/>
        </w:rPr>
      </w:pPr>
      <w:r>
        <w:rPr>
          <w:rFonts w:ascii="Arial" w:cs="Arial" w:eastAsia="Arial" w:hAnsi="Arial"/>
          <w:sz w:val="24"/>
          <w:szCs w:val="24"/>
          <w:b w:val="1"/>
          <w:bCs w:val="1"/>
          <w:color w:val="auto"/>
        </w:rPr>
        <w:t>Compensation Committee</w:t>
      </w:r>
      <w:r>
        <w:rPr>
          <w:sz w:val="20"/>
          <w:szCs w:val="20"/>
          <w:color w:val="auto"/>
        </w:rPr>
        <w:tab/>
      </w:r>
      <w:r>
        <w:rPr>
          <w:rFonts w:ascii="Arial" w:cs="Arial" w:eastAsia="Arial" w:hAnsi="Arial"/>
          <w:sz w:val="18"/>
          <w:szCs w:val="18"/>
          <w:b w:val="1"/>
          <w:bCs w:val="1"/>
          <w:color w:val="auto"/>
        </w:rPr>
        <w:t>Meetings in FY2026: 1</w:t>
      </w:r>
    </w:p>
    <w:p>
      <w:pPr>
        <w:sectPr>
          <w:pgSz w:w="11900" w:h="16838" w:orient="portrait"/>
          <w:cols w:equalWidth="0" w:num="1">
            <w:col w:w="10900"/>
          </w:cols>
          <w:pgMar w:left="760" w:top="94" w:right="239" w:bottom="1440" w:gutter="0" w:footer="0" w:header="0"/>
        </w:sectPr>
      </w:pPr>
    </w:p>
    <w:p>
      <w:pPr>
        <w:spacing w:after="0" w:line="5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D6515D"/>
        </w:rPr>
        <w:t>Members</w:t>
      </w:r>
    </w:p>
    <w:p>
      <w:pPr>
        <w:spacing w:after="0" w:line="49" w:lineRule="exact"/>
        <w:rPr>
          <w:sz w:val="20"/>
          <w:szCs w:val="20"/>
          <w:color w:val="auto"/>
        </w:rPr>
      </w:pPr>
    </w:p>
    <w:p>
      <w:pPr>
        <w:ind w:left="1060" w:hanging="267"/>
        <w:spacing w:after="0"/>
        <w:tabs>
          <w:tab w:leader="none" w:pos="1060" w:val="left"/>
        </w:tabs>
        <w:numPr>
          <w:ilvl w:val="0"/>
          <w:numId w:val="30"/>
        </w:numPr>
        <w:rPr>
          <w:rFonts w:ascii="MS PGothic" w:cs="MS PGothic" w:eastAsia="MS PGothic" w:hAnsi="MS PGothic"/>
          <w:sz w:val="17"/>
          <w:szCs w:val="17"/>
          <w:color w:val="auto"/>
        </w:rPr>
      </w:pPr>
      <w:r>
        <w:rPr>
          <w:rFonts w:ascii="Arial" w:cs="Arial" w:eastAsia="Arial" w:hAnsi="Arial"/>
          <w:sz w:val="17"/>
          <w:szCs w:val="17"/>
          <w:b w:val="1"/>
          <w:bCs w:val="1"/>
          <w:color w:val="auto"/>
        </w:rPr>
        <w:t>Cary J. Davis, Chair</w:t>
      </w:r>
    </w:p>
    <w:p>
      <w:pPr>
        <w:spacing w:after="0" w:line="57" w:lineRule="exact"/>
        <w:rPr>
          <w:rFonts w:ascii="MS PGothic" w:cs="MS PGothic" w:eastAsia="MS PGothic" w:hAnsi="MS PGothic"/>
          <w:sz w:val="17"/>
          <w:szCs w:val="17"/>
          <w:color w:val="auto"/>
        </w:rPr>
      </w:pPr>
    </w:p>
    <w:p>
      <w:pPr>
        <w:ind w:left="1060" w:hanging="267"/>
        <w:spacing w:after="0"/>
        <w:tabs>
          <w:tab w:leader="none" w:pos="1060" w:val="left"/>
        </w:tabs>
        <w:numPr>
          <w:ilvl w:val="0"/>
          <w:numId w:val="30"/>
        </w:numPr>
        <w:rPr>
          <w:rFonts w:ascii="MS PGothic" w:cs="MS PGothic" w:eastAsia="MS PGothic" w:hAnsi="MS PGothic"/>
          <w:sz w:val="17"/>
          <w:szCs w:val="17"/>
          <w:color w:val="auto"/>
        </w:rPr>
      </w:pPr>
      <w:r>
        <w:rPr>
          <w:rFonts w:ascii="Arial" w:cs="Arial" w:eastAsia="Arial" w:hAnsi="Arial"/>
          <w:sz w:val="17"/>
          <w:szCs w:val="17"/>
          <w:color w:val="auto"/>
        </w:rPr>
        <w:t>Roxanne S. Austin</w:t>
      </w:r>
    </w:p>
    <w:p>
      <w:pPr>
        <w:spacing w:after="0" w:line="39" w:lineRule="exact"/>
        <w:rPr>
          <w:rFonts w:ascii="MS PGothic" w:cs="MS PGothic" w:eastAsia="MS PGothic" w:hAnsi="MS PGothic"/>
          <w:sz w:val="17"/>
          <w:szCs w:val="17"/>
          <w:color w:val="auto"/>
        </w:rPr>
      </w:pPr>
    </w:p>
    <w:p>
      <w:pPr>
        <w:ind w:left="1060" w:hanging="267"/>
        <w:spacing w:after="0"/>
        <w:tabs>
          <w:tab w:leader="none" w:pos="1060" w:val="left"/>
        </w:tabs>
        <w:numPr>
          <w:ilvl w:val="0"/>
          <w:numId w:val="30"/>
        </w:numPr>
        <w:rPr>
          <w:rFonts w:ascii="MS PGothic" w:cs="MS PGothic" w:eastAsia="MS PGothic" w:hAnsi="MS PGothic"/>
          <w:sz w:val="17"/>
          <w:szCs w:val="17"/>
          <w:color w:val="auto"/>
        </w:rPr>
      </w:pPr>
      <w:r>
        <w:rPr>
          <w:rFonts w:ascii="Arial" w:cs="Arial" w:eastAsia="Arial" w:hAnsi="Arial"/>
          <w:sz w:val="17"/>
          <w:szCs w:val="17"/>
          <w:color w:val="auto"/>
        </w:rPr>
        <w:t>Sameer K. Gandhi</w:t>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D6515D"/>
        </w:rPr>
        <w:t>Principal Responsibilities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Compensation Committee is comprised of Cary J. Davis, Roxanne S. Austin and Sameer K. Gandhi, each of whom meets the requirements for independence under the current Nasdaq listing standards and SEC rules and regulations.</w:t>
      </w:r>
    </w:p>
    <w:p>
      <w:pPr>
        <w:spacing w:after="0" w:line="309" w:lineRule="exact"/>
        <w:rPr>
          <w:sz w:val="20"/>
          <w:szCs w:val="20"/>
          <w:color w:val="auto"/>
        </w:rPr>
      </w:pPr>
    </w:p>
    <w:p>
      <w:pPr>
        <w:sectPr>
          <w:pgSz w:w="11900" w:h="16838" w:orient="portrait"/>
          <w:cols w:equalWidth="0" w:num="2">
            <w:col w:w="2920" w:space="600"/>
            <w:col w:w="7380"/>
          </w:cols>
          <w:pgMar w:left="760" w:top="94" w:right="23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The Compensation Committee is responsible for, among other things:</w:t>
      </w:r>
    </w:p>
    <w:p>
      <w:pPr>
        <w:spacing w:after="0" w:line="66" w:lineRule="exact"/>
        <w:rPr>
          <w:sz w:val="20"/>
          <w:szCs w:val="20"/>
          <w:color w:val="auto"/>
        </w:rPr>
      </w:pPr>
    </w:p>
    <w:p>
      <w:pPr>
        <w:ind w:left="1140" w:right="320" w:hanging="173"/>
        <w:spacing w:after="0" w:line="280"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determining, or recommending to the board for determination, the compensation of our executive officers, including our Chief Executive Officer;</w:t>
      </w:r>
    </w:p>
    <w:p>
      <w:pPr>
        <w:spacing w:after="0" w:line="1" w:lineRule="exact"/>
        <w:rPr>
          <w:rFonts w:ascii="Arial" w:cs="Arial" w:eastAsia="Arial" w:hAnsi="Arial"/>
          <w:sz w:val="17"/>
          <w:szCs w:val="17"/>
          <w:color w:val="auto"/>
        </w:rPr>
      </w:pPr>
    </w:p>
    <w:p>
      <w:pPr>
        <w:ind w:left="1140" w:hanging="173"/>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overseeing and setting compensation for the members of our Board;</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administering our equity compensation plans;</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reviewing matters related to human capital resources, including employee development, engagement and well-being;</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overseeing our overall compensation policies and practices, compensation plans, and benefits programs;</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reviewing and administering our Clawback Policy; and</w:t>
      </w:r>
    </w:p>
    <w:p>
      <w:pPr>
        <w:spacing w:after="0" w:line="39" w:lineRule="exact"/>
        <w:rPr>
          <w:rFonts w:ascii="Arial" w:cs="Arial" w:eastAsia="Arial" w:hAnsi="Arial"/>
          <w:sz w:val="17"/>
          <w:szCs w:val="17"/>
          <w:color w:val="auto"/>
        </w:rPr>
      </w:pPr>
    </w:p>
    <w:p>
      <w:pPr>
        <w:ind w:left="1140" w:hanging="173"/>
        <w:spacing w:after="0"/>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reviewing management succession planning.</w:t>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the Compensation Committee reviews with management the Company’s Executive Compensation Discussion and Analys</w:t>
      </w:r>
    </w:p>
    <w:p>
      <w:pPr>
        <w:spacing w:after="0" w:line="53" w:lineRule="exact"/>
        <w:rPr>
          <w:sz w:val="20"/>
          <w:szCs w:val="20"/>
          <w:color w:val="auto"/>
        </w:rPr>
      </w:pPr>
    </w:p>
    <w:p>
      <w:pPr>
        <w:jc w:val="both"/>
        <w:ind w:left="800" w:right="80"/>
        <w:spacing w:after="0" w:line="280" w:lineRule="auto"/>
        <w:rPr>
          <w:sz w:val="20"/>
          <w:szCs w:val="20"/>
          <w:color w:val="auto"/>
        </w:rPr>
      </w:pPr>
      <w:r>
        <w:rPr>
          <w:rFonts w:ascii="Arial" w:cs="Arial" w:eastAsia="Arial" w:hAnsi="Arial"/>
          <w:sz w:val="17"/>
          <w:szCs w:val="17"/>
          <w:color w:val="auto"/>
        </w:rPr>
        <w:t>Our Compensation Committee operates under a written charter that satisfies the applicable rules and regulations of the SEC and the listing standards of Nasdaq. A copy of the charter for our Compensation Committee is available on our website at ir.crowdstrike.com.</w:t>
      </w:r>
    </w:p>
    <w:p>
      <w:pPr>
        <w:spacing w:after="0" w:line="1" w:lineRule="exact"/>
        <w:rPr>
          <w:sz w:val="20"/>
          <w:szCs w:val="20"/>
          <w:color w:val="auto"/>
        </w:rPr>
      </w:pPr>
    </w:p>
    <w:p>
      <w:pPr>
        <w:ind w:left="800" w:right="120"/>
        <w:spacing w:after="0" w:line="282" w:lineRule="auto"/>
        <w:rPr>
          <w:sz w:val="20"/>
          <w:szCs w:val="20"/>
          <w:color w:val="auto"/>
        </w:rPr>
      </w:pPr>
      <w:r>
        <w:rPr>
          <w:rFonts w:ascii="Arial" w:cs="Arial" w:eastAsia="Arial" w:hAnsi="Arial"/>
          <w:sz w:val="17"/>
          <w:szCs w:val="17"/>
          <w:color w:val="auto"/>
        </w:rPr>
        <w:t>The Compensation Committee has also delegated authority to our Chief Executive Officer and Chief Financial Officer to grant equity awards to employees subject to certain limitations established from time to time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50800</wp:posOffset>
            </wp:positionV>
            <wp:extent cx="641794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7945" cy="16510"/>
                    </a:xfrm>
                    <a:prstGeom prst="rect">
                      <a:avLst/>
                    </a:prstGeom>
                    <a:noFill/>
                  </pic:spPr>
                </pic:pic>
              </a:graphicData>
            </a:graphic>
          </wp:anchor>
        </w:drawing>
      </w:r>
    </w:p>
    <w:p>
      <w:pPr>
        <w:spacing w:after="0" w:line="234" w:lineRule="exact"/>
        <w:rPr>
          <w:sz w:val="20"/>
          <w:szCs w:val="20"/>
          <w:color w:val="auto"/>
        </w:rPr>
      </w:pPr>
    </w:p>
    <w:p>
      <w:pPr>
        <w:ind w:left="800" w:right="2040"/>
        <w:spacing w:after="0" w:line="255" w:lineRule="auto"/>
        <w:rPr>
          <w:sz w:val="20"/>
          <w:szCs w:val="20"/>
          <w:color w:val="auto"/>
        </w:rPr>
      </w:pPr>
      <w:r>
        <w:rPr>
          <w:rFonts w:ascii="Arial" w:cs="Arial" w:eastAsia="Arial" w:hAnsi="Arial"/>
          <w:sz w:val="45"/>
          <w:szCs w:val="45"/>
          <w:color w:val="auto"/>
        </w:rPr>
        <w:t>Compensation Committee Interlocks and Insider Participation</w:t>
      </w:r>
    </w:p>
    <w:p>
      <w:pPr>
        <w:spacing w:after="0" w:line="4" w:lineRule="exact"/>
        <w:rPr>
          <w:sz w:val="20"/>
          <w:szCs w:val="20"/>
          <w:color w:val="auto"/>
        </w:rPr>
      </w:pPr>
    </w:p>
    <w:p>
      <w:pPr>
        <w:ind w:left="800" w:right="1500"/>
        <w:spacing w:after="0" w:line="261" w:lineRule="auto"/>
        <w:rPr>
          <w:sz w:val="20"/>
          <w:szCs w:val="20"/>
          <w:color w:val="auto"/>
        </w:rPr>
      </w:pPr>
      <w:r>
        <w:rPr>
          <w:rFonts w:ascii="Arial" w:cs="Arial" w:eastAsia="Arial" w:hAnsi="Arial"/>
          <w:sz w:val="17"/>
          <w:szCs w:val="17"/>
          <w:color w:val="auto"/>
        </w:rPr>
        <w:t>None of our executive officers currently serves or served during fiscal 2026 as a director or member of the compensation committee (or other board committee performing equivalent functions) of any entity that has or had, at the relevant time, one or more executive officers serving on our Compensation Committee or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900"/>
          </w:cols>
          <w:pgMar w:left="760" w:top="94" w:right="23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384810</wp:posOffset>
            </wp:positionV>
            <wp:extent cx="5576570" cy="373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6570" cy="373380"/>
                    </a:xfrm>
                    <a:prstGeom prst="rect">
                      <a:avLst/>
                    </a:prstGeom>
                    <a:noFill/>
                  </pic:spPr>
                </pic:pic>
              </a:graphicData>
            </a:graphic>
          </wp:anchor>
        </w:drawing>
      </w:r>
    </w:p>
    <w:p>
      <w:pPr>
        <w:sectPr>
          <w:pgSz w:w="11900" w:h="16838" w:orient="portrait"/>
          <w:cols w:equalWidth="0" w:num="1">
            <w:col w:w="9699"/>
          </w:cols>
          <w:pgMar w:left="760" w:top="94" w:right="1440" w:bottom="4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Nominating and Corporate</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6350</wp:posOffset>
            </wp:positionV>
            <wp:extent cx="5576570" cy="3086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6570" cy="3086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in FY2026: 4</w:t>
      </w:r>
    </w:p>
    <w:p>
      <w:pPr>
        <w:spacing w:after="0" w:line="365" w:lineRule="exact"/>
        <w:rPr>
          <w:sz w:val="20"/>
          <w:szCs w:val="20"/>
          <w:color w:val="auto"/>
        </w:rPr>
      </w:pPr>
    </w:p>
    <w:p>
      <w:pPr>
        <w:sectPr>
          <w:pgSz w:w="11900" w:h="16838" w:orient="portrait"/>
          <w:cols w:equalWidth="0" w:num="2">
            <w:col w:w="6380" w:space="720"/>
            <w:col w:w="2599"/>
          </w:cols>
          <w:pgMar w:left="760" w:top="94" w:right="1440" w:bottom="496" w:gutter="0" w:footer="0" w:header="0"/>
          <w:type w:val="continuous"/>
        </w:sectPr>
      </w:pPr>
    </w:p>
    <w:p>
      <w:pPr>
        <w:ind w:left="840"/>
        <w:spacing w:after="0"/>
        <w:rPr>
          <w:sz w:val="20"/>
          <w:szCs w:val="20"/>
          <w:color w:val="auto"/>
        </w:rPr>
      </w:pPr>
      <w:r>
        <w:rPr>
          <w:rFonts w:ascii="Arial" w:cs="Arial" w:eastAsia="Arial" w:hAnsi="Arial"/>
          <w:sz w:val="17"/>
          <w:szCs w:val="17"/>
          <w:b w:val="1"/>
          <w:bCs w:val="1"/>
          <w:color w:val="D6515D"/>
        </w:rPr>
        <w:t>Members</w:t>
      </w:r>
    </w:p>
    <w:p>
      <w:pPr>
        <w:spacing w:after="0" w:line="62" w:lineRule="exact"/>
        <w:rPr>
          <w:sz w:val="20"/>
          <w:szCs w:val="20"/>
          <w:color w:val="auto"/>
        </w:rPr>
      </w:pPr>
    </w:p>
    <w:p>
      <w:pPr>
        <w:ind w:left="1100" w:right="60" w:hanging="255"/>
        <w:spacing w:after="0" w:line="251" w:lineRule="auto"/>
        <w:tabs>
          <w:tab w:leader="none" w:pos="1100" w:val="left"/>
        </w:tabs>
        <w:numPr>
          <w:ilvl w:val="0"/>
          <w:numId w:val="32"/>
        </w:numPr>
        <w:rPr>
          <w:rFonts w:ascii="MS PGothic" w:cs="MS PGothic" w:eastAsia="MS PGothic" w:hAnsi="MS PGothic"/>
          <w:sz w:val="17"/>
          <w:szCs w:val="17"/>
          <w:color w:val="auto"/>
        </w:rPr>
      </w:pPr>
      <w:r>
        <w:rPr>
          <w:rFonts w:ascii="Arial" w:cs="Arial" w:eastAsia="Arial" w:hAnsi="Arial"/>
          <w:sz w:val="17"/>
          <w:szCs w:val="17"/>
          <w:b w:val="1"/>
          <w:bCs w:val="1"/>
          <w:color w:val="auto"/>
        </w:rPr>
        <w:t>Laura J. Schumacher, Chair</w:t>
      </w:r>
    </w:p>
    <w:p>
      <w:pPr>
        <w:ind w:left="1100" w:hanging="255"/>
        <w:spacing w:after="0"/>
        <w:tabs>
          <w:tab w:leader="none" w:pos="1100" w:val="left"/>
        </w:tabs>
        <w:numPr>
          <w:ilvl w:val="0"/>
          <w:numId w:val="32"/>
        </w:numPr>
        <w:rPr>
          <w:rFonts w:ascii="MS PGothic" w:cs="MS PGothic" w:eastAsia="MS PGothic" w:hAnsi="MS PGothic"/>
          <w:sz w:val="17"/>
          <w:szCs w:val="17"/>
          <w:color w:val="auto"/>
        </w:rPr>
      </w:pPr>
      <w:r>
        <w:rPr>
          <w:rFonts w:ascii="Arial" w:cs="Arial" w:eastAsia="Arial" w:hAnsi="Arial"/>
          <w:sz w:val="17"/>
          <w:szCs w:val="17"/>
          <w:color w:val="auto"/>
        </w:rPr>
        <w:t>Denis J. O’Leary</w:t>
      </w:r>
    </w:p>
    <w:p>
      <w:pPr>
        <w:spacing w:after="0" w:line="53" w:lineRule="exact"/>
        <w:rPr>
          <w:rFonts w:ascii="MS PGothic" w:cs="MS PGothic" w:eastAsia="MS PGothic" w:hAnsi="MS PGothic"/>
          <w:sz w:val="17"/>
          <w:szCs w:val="17"/>
          <w:color w:val="auto"/>
        </w:rPr>
      </w:pPr>
    </w:p>
    <w:p>
      <w:pPr>
        <w:ind w:left="1100" w:hanging="255"/>
        <w:spacing w:after="0"/>
        <w:tabs>
          <w:tab w:leader="none" w:pos="1100" w:val="left"/>
        </w:tabs>
        <w:numPr>
          <w:ilvl w:val="0"/>
          <w:numId w:val="32"/>
        </w:numPr>
        <w:rPr>
          <w:rFonts w:ascii="MS PGothic" w:cs="MS PGothic" w:eastAsia="MS PGothic" w:hAnsi="MS PGothic"/>
          <w:sz w:val="17"/>
          <w:szCs w:val="17"/>
          <w:color w:val="auto"/>
        </w:rPr>
      </w:pPr>
      <w:r>
        <w:rPr>
          <w:rFonts w:ascii="Arial" w:cs="Arial" w:eastAsia="Arial" w:hAnsi="Arial"/>
          <w:sz w:val="17"/>
          <w:szCs w:val="17"/>
          <w:color w:val="auto"/>
        </w:rPr>
        <w:t>Gerhard Watzinger</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D6515D"/>
        </w:rPr>
        <w:t>Principal Responsibilities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679"/>
        <w:spacing w:after="0" w:line="260" w:lineRule="auto"/>
        <w:rPr>
          <w:sz w:val="20"/>
          <w:szCs w:val="20"/>
          <w:color w:val="auto"/>
        </w:rPr>
      </w:pPr>
      <w:r>
        <w:rPr>
          <w:rFonts w:ascii="Arial" w:cs="Arial" w:eastAsia="Arial" w:hAnsi="Arial"/>
          <w:sz w:val="17"/>
          <w:szCs w:val="17"/>
          <w:color w:val="auto"/>
        </w:rPr>
        <w:t>Our Nominating and Corporate Governance Committee is comprised of Laura J. Schumacher, Denis J. O’Leary and Gerhard Watzinger, each of whom meets the requirements for independence under Nasdaq listing standards and SEC rules and regulations.</w:t>
      </w:r>
    </w:p>
    <w:p>
      <w:pPr>
        <w:spacing w:after="0" w:line="279" w:lineRule="exact"/>
        <w:rPr>
          <w:sz w:val="20"/>
          <w:szCs w:val="20"/>
          <w:color w:val="auto"/>
        </w:rPr>
      </w:pPr>
    </w:p>
    <w:p>
      <w:pPr>
        <w:sectPr>
          <w:pgSz w:w="11900" w:h="16838" w:orient="portrait"/>
          <w:cols w:equalWidth="0" w:num="2">
            <w:col w:w="2960" w:space="600"/>
            <w:col w:w="6139"/>
          </w:cols>
          <w:pgMar w:left="760" w:top="94" w:right="1440" w:bottom="496" w:gutter="0" w:footer="0" w:header="0"/>
          <w:type w:val="continuous"/>
        </w:sectPr>
      </w:pPr>
    </w:p>
    <w:p>
      <w:pPr>
        <w:ind w:left="840"/>
        <w:spacing w:after="0"/>
        <w:rPr>
          <w:sz w:val="20"/>
          <w:szCs w:val="20"/>
          <w:color w:val="auto"/>
        </w:rPr>
      </w:pPr>
      <w:r>
        <w:rPr>
          <w:rFonts w:ascii="Arial" w:cs="Arial" w:eastAsia="Arial" w:hAnsi="Arial"/>
          <w:sz w:val="17"/>
          <w:szCs w:val="17"/>
          <w:color w:val="auto"/>
        </w:rPr>
        <w:t>The Nominating and Corporate Governance Committee is responsible for, among other things:</w:t>
      </w:r>
    </w:p>
    <w:p>
      <w:pPr>
        <w:spacing w:after="0" w:line="37" w:lineRule="exact"/>
        <w:rPr>
          <w:sz w:val="20"/>
          <w:szCs w:val="20"/>
          <w:color w:val="auto"/>
        </w:rPr>
      </w:pPr>
    </w:p>
    <w:p>
      <w:pPr>
        <w:ind w:left="1200" w:right="859" w:hanging="181"/>
        <w:spacing w:after="0" w:line="248"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evaluating and making recommendations regarding the composition, organization and governance of our Board and its committees;</w:t>
      </w:r>
    </w:p>
    <w:p>
      <w:pPr>
        <w:spacing w:after="0" w:line="1" w:lineRule="exact"/>
        <w:rPr>
          <w:rFonts w:ascii="Arial" w:cs="Arial" w:eastAsia="Arial" w:hAnsi="Arial"/>
          <w:sz w:val="17"/>
          <w:szCs w:val="17"/>
          <w:color w:val="auto"/>
        </w:rPr>
      </w:pPr>
    </w:p>
    <w:p>
      <w:pPr>
        <w:ind w:left="1200" w:right="799" w:hanging="181"/>
        <w:spacing w:after="0" w:line="256"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reviewing and making recommendations with regard to any proposed material changes to our Charter and Bylaws;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reviewing and making recommendations with regard to our corporate governance guidelines;</w:t>
      </w:r>
    </w:p>
    <w:p>
      <w:pPr>
        <w:spacing w:after="0" w:line="52" w:lineRule="exact"/>
        <w:rPr>
          <w:rFonts w:ascii="Arial" w:cs="Arial" w:eastAsia="Arial" w:hAnsi="Arial"/>
          <w:sz w:val="17"/>
          <w:szCs w:val="17"/>
          <w:color w:val="auto"/>
        </w:rPr>
      </w:pPr>
    </w:p>
    <w:p>
      <w:pPr>
        <w:ind w:left="1200" w:right="1219" w:hanging="181"/>
        <w:spacing w:after="0" w:line="280"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reviewing conflicts of interest of our directors and corporate officers and proposed waivers of our corporate governance guidelines and our code of business conducts and ethics;</w:t>
      </w:r>
    </w:p>
    <w:p>
      <w:pPr>
        <w:spacing w:after="0" w:line="1" w:lineRule="exact"/>
        <w:rPr>
          <w:rFonts w:ascii="Arial" w:cs="Arial" w:eastAsia="Arial" w:hAnsi="Arial"/>
          <w:sz w:val="17"/>
          <w:szCs w:val="17"/>
          <w:color w:val="auto"/>
        </w:rPr>
      </w:pPr>
    </w:p>
    <w:p>
      <w:pPr>
        <w:ind w:left="1200" w:right="919" w:hanging="181"/>
        <w:spacing w:after="0" w:line="248"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reviewing our sustainability policies, programs and progress to support the sustainable growth of our business;</w:t>
      </w:r>
    </w:p>
    <w:p>
      <w:pPr>
        <w:spacing w:after="0" w:line="1" w:lineRule="exact"/>
        <w:rPr>
          <w:rFonts w:ascii="Arial" w:cs="Arial" w:eastAsia="Arial" w:hAnsi="Arial"/>
          <w:sz w:val="17"/>
          <w:szCs w:val="17"/>
          <w:color w:val="auto"/>
        </w:rPr>
      </w:pPr>
    </w:p>
    <w:p>
      <w:pPr>
        <w:ind w:left="1200" w:hanging="181"/>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reviewing our stockholder engagement efforts; and</w:t>
      </w:r>
    </w:p>
    <w:p>
      <w:pPr>
        <w:spacing w:after="0" w:line="39" w:lineRule="exact"/>
        <w:rPr>
          <w:rFonts w:ascii="Arial" w:cs="Arial" w:eastAsia="Arial" w:hAnsi="Arial"/>
          <w:sz w:val="17"/>
          <w:szCs w:val="17"/>
          <w:color w:val="auto"/>
        </w:rPr>
      </w:pPr>
    </w:p>
    <w:p>
      <w:pPr>
        <w:ind w:left="1200" w:hanging="181"/>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evaluating the performance of our Board and of our committees.</w:t>
      </w:r>
    </w:p>
    <w:p>
      <w:pPr>
        <w:spacing w:after="0" w:line="79" w:lineRule="exact"/>
        <w:rPr>
          <w:sz w:val="20"/>
          <w:szCs w:val="20"/>
          <w:color w:val="auto"/>
        </w:rPr>
      </w:pPr>
    </w:p>
    <w:p>
      <w:pPr>
        <w:jc w:val="both"/>
        <w:ind w:left="840" w:right="899"/>
        <w:spacing w:after="0" w:line="269" w:lineRule="auto"/>
        <w:rPr>
          <w:sz w:val="20"/>
          <w:szCs w:val="20"/>
          <w:color w:val="auto"/>
        </w:rPr>
      </w:pPr>
      <w:r>
        <w:rPr>
          <w:rFonts w:ascii="Arial" w:cs="Arial" w:eastAsia="Arial" w:hAnsi="Arial"/>
          <w:sz w:val="17"/>
          <w:szCs w:val="17"/>
          <w:color w:val="auto"/>
        </w:rPr>
        <w:t>Our Nominating and Corporate Governance Committee operates under a written charter that satisfies the applicable Nasdaq listing standards. A copy of the charter for our Nominating and Corporate Governance Committee is available on our website at ir.crowdstrike.com.</w:t>
      </w:r>
    </w:p>
    <w:p>
      <w:pPr>
        <w:spacing w:after="0" w:line="289"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Considerations in Evaluating Director Nominees</w:t>
      </w:r>
    </w:p>
    <w:p>
      <w:pPr>
        <w:spacing w:after="0" w:line="119" w:lineRule="exact"/>
        <w:rPr>
          <w:sz w:val="20"/>
          <w:szCs w:val="20"/>
          <w:color w:val="auto"/>
        </w:rPr>
      </w:pPr>
    </w:p>
    <w:p>
      <w:pPr>
        <w:ind w:left="800" w:right="119"/>
        <w:spacing w:after="0" w:line="259" w:lineRule="auto"/>
        <w:rPr>
          <w:sz w:val="20"/>
          <w:szCs w:val="20"/>
          <w:color w:val="auto"/>
        </w:rPr>
      </w:pPr>
      <w:r>
        <w:rPr>
          <w:rFonts w:ascii="Arial" w:cs="Arial" w:eastAsia="Arial" w:hAnsi="Arial"/>
          <w:sz w:val="17"/>
          <w:szCs w:val="17"/>
          <w:color w:val="auto"/>
        </w:rPr>
        <w:t>Our Nominating and Corporate Governance Committee uses a variety of methods to identify and evaluate director nominees. In its evaluation of director candidates, our Nominating and Corporate Governance Committee considers the current size and composition, organization and governance of our Board and the needs of our Board and the respective committees of our Board. Some of the qualifications that our Nominating and Corporate Governance Committee considers include, without limitation, issues of character, integrity, judgment, business experience and diversity, and with respect to diversity, such factors as differences in professional background, education, skill and other individual qualities and attributes that contribute to the total mix of viewpoints and experience represented on the Board,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and have sufficient time available in the judgment of our Nominating and Corporate Governance Committee to perform all Board and committee responsibilities. Members of our Board are expected to prepare for, attend and participate in all Board and applicable committee meetings. Our Nominating and Corporate Governance Committee may also consider such other factors as it may deem, from time to time, are in our and our stockholders’ best interests.</w:t>
      </w:r>
    </w:p>
    <w:p>
      <w:pPr>
        <w:spacing w:after="0" w:line="179"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Our Board conducts an annual evaluation of the performance of individual directors, the Board as a whole, and each of the Audit Committee, Compensation Committee and Nominating and Corporate Governance Committee, including an evaluation of the qualifications of individual members of the Board and such committees. The evaluation is conducted with the individual participation of each director. The results of the evaluation and any recommendations for improvement are provided orally to our Board and such committees of the Board either by the Chair of the Board or our outside counsel. We periodically assess and update our evaluation procedures to promote meaningful feedback.</w:t>
      </w:r>
    </w:p>
    <w:p>
      <w:pPr>
        <w:spacing w:after="0" w:line="173"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Nominating and Corporate Governance Committee considers a broad range of backgrounds and experiences. In making determinations regarding nominations of directors, our Nominating and Corporate Governance Committee may take into account the benefits of varied viewpoints. Our Nominating and Corporate Governance Committee also considers these and other factors as it oversees the annual director and committee evaluations. After completing its review and evaluation of director candidates, our Nominating and Corporate Governance Committee recommends to our full Board the director nominees for election.</w:t>
      </w: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Stockholder Nominations to the Board of Directors</w:t>
      </w:r>
    </w:p>
    <w:p>
      <w:pPr>
        <w:spacing w:after="0" w:line="119"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The Nominating and Corporate Governance Committee will consider director candidates nominated by stockholders so long as such nominations comply with our amended and restated certificate of incorporation (our “Charter”), amended and restated bylaws (our “Bylaws”),</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496"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199"/>
        <w:spacing w:after="0" w:line="250" w:lineRule="auto"/>
        <w:rPr>
          <w:sz w:val="20"/>
          <w:szCs w:val="20"/>
          <w:color w:val="auto"/>
        </w:rPr>
      </w:pPr>
      <w:r>
        <w:rPr>
          <w:rFonts w:ascii="Arial" w:cs="Arial" w:eastAsia="Arial" w:hAnsi="Arial"/>
          <w:sz w:val="17"/>
          <w:szCs w:val="17"/>
          <w:color w:val="auto"/>
        </w:rPr>
        <w:t>and applicable laws, rules and regulations that govern stockholders making nominations. Our Nominating and Corporate Governance Committee will evaluate such candidates in accordance with its charter, our Bylaws and our policies and procedures for director candidates, as well as the regular director nominee criteria described above. There is no difference in the evaluation process of a candidate recommended by a stockholder as compared to the evaluation process of a candidate identified by any of the other means described above. This process is designed to ensure that our Board includes members with a variety of backgrounds, skills, and experience, including appropriate financial and other expertise relevant to our business. Eligible stockholders wishing to nominate a candidate to our Board should contact the Chief Legal Officer — Proxy at CrowdStrike Holdings, Inc., 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 Austin, Texas 78701. To be timely for the 2027 Annual Meeting of Stockholders, nominations must be received by our Chief Legal Officer observing the same deadlines for stockholder proposals discussed below under “</w:t>
      </w:r>
      <w:r>
        <w:rPr>
          <w:rFonts w:ascii="Arial" w:cs="Arial" w:eastAsia="Arial" w:hAnsi="Arial"/>
          <w:sz w:val="17"/>
          <w:szCs w:val="17"/>
          <w:b w:val="1"/>
          <w:bCs w:val="1"/>
          <w:i w:val="1"/>
          <w:iCs w:val="1"/>
          <w:color w:val="auto"/>
        </w:rPr>
        <w:t>Questions and Answers about these Proxy Materials and Voting — When are stockholder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proposals and director nominations due for next year’s annual meeting?</w:t>
      </w:r>
      <w:r>
        <w:rPr>
          <w:rFonts w:ascii="Arial" w:cs="Arial" w:eastAsia="Arial" w:hAnsi="Arial"/>
          <w:sz w:val="17"/>
          <w:szCs w:val="17"/>
          <w:color w:val="auto"/>
        </w:rPr>
        <w:t>”</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Transaction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-168910</wp:posOffset>
            </wp:positionV>
            <wp:extent cx="5576570" cy="1435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6570" cy="1435735"/>
                    </a:xfrm>
                    <a:prstGeom prst="rect">
                      <a:avLst/>
                    </a:prstGeom>
                    <a:noFill/>
                  </pic:spPr>
                </pic:pic>
              </a:graphicData>
            </a:graphic>
          </wp:anchor>
        </w:drawing>
      </w:r>
    </w:p>
    <w:p>
      <w:pPr>
        <w:spacing w:after="0" w:line="39" w:lineRule="exact"/>
        <w:rPr>
          <w:sz w:val="20"/>
          <w:szCs w:val="20"/>
          <w:color w:val="auto"/>
        </w:rPr>
      </w:pPr>
    </w:p>
    <w:p>
      <w:pPr>
        <w:ind w:left="840" w:right="239"/>
        <w:spacing w:after="0" w:line="259" w:lineRule="auto"/>
        <w:rPr>
          <w:sz w:val="20"/>
          <w:szCs w:val="20"/>
          <w:color w:val="auto"/>
        </w:rPr>
      </w:pPr>
      <w:r>
        <w:rPr>
          <w:rFonts w:ascii="Arial" w:cs="Arial" w:eastAsia="Arial" w:hAnsi="Arial"/>
          <w:sz w:val="17"/>
          <w:szCs w:val="17"/>
          <w:color w:val="auto"/>
        </w:rPr>
        <w:t>In October 2023, our Board established the Transaction Committee to review, evaluate and approve certain potential acquisitions by the Company of businesses, entities or technologies. The Transaction Committee did not hold any meetings during fiscal 2026. Members of the Transaction Committee are not separately compensated for their service on the Transaction Committee.</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2220" w:type="dxa"/>
            <w:vAlign w:val="bottom"/>
          </w:tcPr>
          <w:p>
            <w:pPr>
              <w:spacing w:after="0"/>
              <w:rPr>
                <w:sz w:val="20"/>
                <w:szCs w:val="20"/>
                <w:color w:val="auto"/>
              </w:rPr>
            </w:pPr>
            <w:r>
              <w:rPr>
                <w:rFonts w:ascii="Arial" w:cs="Arial" w:eastAsia="Arial" w:hAnsi="Arial"/>
                <w:sz w:val="17"/>
                <w:szCs w:val="17"/>
                <w:b w:val="1"/>
                <w:bCs w:val="1"/>
                <w:color w:val="D6515D"/>
              </w:rPr>
              <w:t>Members</w:t>
            </w:r>
          </w:p>
        </w:tc>
        <w:tc>
          <w:tcPr>
            <w:tcW w:w="6380" w:type="dxa"/>
            <w:vAlign w:val="bottom"/>
          </w:tcPr>
          <w:p>
            <w:pPr>
              <w:spacing w:after="0"/>
              <w:rPr>
                <w:sz w:val="19"/>
                <w:szCs w:val="19"/>
                <w:color w:val="auto"/>
              </w:rPr>
            </w:pPr>
          </w:p>
        </w:tc>
      </w:tr>
      <w:tr>
        <w:trPr>
          <w:trHeight w:val="248"/>
        </w:trPr>
        <w:tc>
          <w:tcPr>
            <w:tcW w:w="222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Sameer K. Gandhi</w:t>
            </w:r>
          </w:p>
        </w:tc>
        <w:tc>
          <w:tcPr>
            <w:tcW w:w="6380" w:type="dxa"/>
            <w:vAlign w:val="bottom"/>
          </w:tcPr>
          <w:p>
            <w:pPr>
              <w:ind w:left="500"/>
              <w:spacing w:after="0"/>
              <w:rPr>
                <w:sz w:val="20"/>
                <w:szCs w:val="20"/>
                <w:color w:val="auto"/>
              </w:rPr>
            </w:pPr>
            <w:r>
              <w:rPr>
                <w:rFonts w:ascii="Arial" w:cs="Arial" w:eastAsia="Arial" w:hAnsi="Arial"/>
                <w:sz w:val="17"/>
                <w:szCs w:val="17"/>
                <w:color w:val="auto"/>
              </w:rPr>
              <w:t>Our Transaction Committee is comprised of Sameer K. Gandhi, George Kurtz</w:t>
            </w:r>
          </w:p>
        </w:tc>
      </w:tr>
      <w:tr>
        <w:trPr>
          <w:trHeight w:val="287"/>
        </w:trPr>
        <w:tc>
          <w:tcPr>
            <w:tcW w:w="222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George Kurtz</w:t>
            </w:r>
          </w:p>
        </w:tc>
        <w:tc>
          <w:tcPr>
            <w:tcW w:w="6380" w:type="dxa"/>
            <w:vAlign w:val="bottom"/>
          </w:tcPr>
          <w:p>
            <w:pPr>
              <w:ind w:left="500"/>
              <w:spacing w:after="0"/>
              <w:rPr>
                <w:sz w:val="20"/>
                <w:szCs w:val="20"/>
                <w:color w:val="auto"/>
              </w:rPr>
            </w:pPr>
            <w:r>
              <w:rPr>
                <w:rFonts w:ascii="Arial" w:cs="Arial" w:eastAsia="Arial" w:hAnsi="Arial"/>
                <w:sz w:val="17"/>
                <w:szCs w:val="17"/>
                <w:color w:val="auto"/>
              </w:rPr>
              <w:t>and Gerhard Watzinger.</w:t>
            </w:r>
          </w:p>
        </w:tc>
      </w:tr>
    </w:tbl>
    <w:p>
      <w:pPr>
        <w:ind w:left="1100" w:hanging="255"/>
        <w:spacing w:after="0"/>
        <w:tabs>
          <w:tab w:leader="none" w:pos="1100" w:val="left"/>
        </w:tabs>
        <w:numPr>
          <w:ilvl w:val="0"/>
          <w:numId w:val="34"/>
        </w:numPr>
        <w:rPr>
          <w:rFonts w:ascii="MS PGothic" w:cs="MS PGothic" w:eastAsia="MS PGothic" w:hAnsi="MS PGothic"/>
          <w:sz w:val="17"/>
          <w:szCs w:val="17"/>
          <w:color w:val="auto"/>
        </w:rPr>
      </w:pPr>
      <w:r>
        <w:rPr>
          <w:rFonts w:ascii="Arial" w:cs="Arial" w:eastAsia="Arial" w:hAnsi="Arial"/>
          <w:sz w:val="17"/>
          <w:szCs w:val="17"/>
          <w:color w:val="auto"/>
        </w:rPr>
        <w:t>Gerhard Watzinger</w:t>
      </w:r>
    </w:p>
    <w:p>
      <w:pPr>
        <w:spacing w:after="0" w:line="296" w:lineRule="exact"/>
        <w:rPr>
          <w:sz w:val="20"/>
          <w:szCs w:val="20"/>
          <w:color w:val="auto"/>
        </w:rPr>
      </w:pPr>
    </w:p>
    <w:p>
      <w:pPr>
        <w:ind w:left="800" w:right="139"/>
        <w:spacing w:after="0" w:line="258" w:lineRule="auto"/>
        <w:rPr>
          <w:sz w:val="20"/>
          <w:szCs w:val="20"/>
          <w:color w:val="auto"/>
        </w:rPr>
      </w:pPr>
      <w:r>
        <w:rPr>
          <w:rFonts w:ascii="Arial" w:cs="Arial" w:eastAsia="Arial" w:hAnsi="Arial"/>
          <w:sz w:val="45"/>
          <w:szCs w:val="45"/>
          <w:color w:val="auto"/>
        </w:rPr>
        <w:t>Stockholder Communications with the Board of Directors</w:t>
      </w:r>
    </w:p>
    <w:p>
      <w:pPr>
        <w:spacing w:after="0" w:line="4" w:lineRule="exact"/>
        <w:rPr>
          <w:sz w:val="20"/>
          <w:szCs w:val="20"/>
          <w:color w:val="auto"/>
        </w:rPr>
      </w:pPr>
    </w:p>
    <w:p>
      <w:pPr>
        <w:ind w:left="800" w:right="179"/>
        <w:spacing w:after="0" w:line="262" w:lineRule="auto"/>
        <w:rPr>
          <w:sz w:val="20"/>
          <w:szCs w:val="20"/>
          <w:color w:val="auto"/>
        </w:rPr>
      </w:pPr>
      <w:r>
        <w:rPr>
          <w:rFonts w:ascii="Arial" w:cs="Arial" w:eastAsia="Arial" w:hAnsi="Arial"/>
          <w:sz w:val="17"/>
          <w:szCs w:val="17"/>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p>
    <w:p>
      <w:pPr>
        <w:spacing w:after="0" w:line="175" w:lineRule="exact"/>
        <w:rPr>
          <w:sz w:val="20"/>
          <w:szCs w:val="20"/>
          <w:color w:val="auto"/>
        </w:rPr>
      </w:pPr>
    </w:p>
    <w:p>
      <w:pPr>
        <w:ind w:left="800" w:right="199"/>
        <w:spacing w:after="0" w:line="251" w:lineRule="auto"/>
        <w:rPr>
          <w:sz w:val="20"/>
          <w:szCs w:val="20"/>
          <w:color w:val="auto"/>
        </w:rPr>
      </w:pPr>
      <w:r>
        <w:rPr>
          <w:rFonts w:ascii="Arial" w:cs="Arial" w:eastAsia="Arial" w:hAnsi="Arial"/>
          <w:sz w:val="17"/>
          <w:szCs w:val="17"/>
          <w:color w:val="auto"/>
        </w:rPr>
        <w:t>Interested parties wishing to communicate with non-management members of our Board may do so by writing and mailing the correspondence to Chief Legal Officer — Proxy at CrowdStrike Holdings, Inc., 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 Austin, Texas 78701. Each communication should set forth, as relevant (i) the name and address of the stockholder, as it appears on our books, and if the shares of our common stock are held by a nominee, the name and address of the beneficial owner of such shares, and (ii) the number of shares of our common stock that are owned of record by the record holder and beneficially by the beneficial owner. Our legal department, in consultation with appropriate members of our Board as necessary, will review all incoming communications and, if appropriate, such communications will be forwarded to the appropriate member or members of our Board, or if none are specified, to the Chair of our Board. Communications are distributed to the Board, or to any individual director as appropriate depending on the facts and circumstances outlined in the communication. In that regard, the Board has requested that certain items which are unrelated to the duties and responsibilities of the Board should be excluded. In addition, material that is unduly hostile, threatening, illegal or similarly unsuitable will be excluded, with the provision that any communication that is filtered out must be made available to any non-management director upon request. Every effort has been made to ensure that the views of stockholders are heard by the Board or individual directors, as applicable, and that appropriate responses are provided to stockholders in a timely manner.</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45"/>
          <w:szCs w:val="45"/>
          <w:color w:val="auto"/>
        </w:rPr>
        <w:t>Stockholder Engagement</w:t>
      </w:r>
    </w:p>
    <w:p>
      <w:pPr>
        <w:spacing w:after="0" w:line="116" w:lineRule="exact"/>
        <w:rPr>
          <w:sz w:val="20"/>
          <w:szCs w:val="20"/>
          <w:color w:val="auto"/>
        </w:rPr>
      </w:pPr>
    </w:p>
    <w:p>
      <w:pPr>
        <w:ind w:left="800" w:right="439"/>
        <w:spacing w:after="0" w:line="277" w:lineRule="auto"/>
        <w:rPr>
          <w:sz w:val="20"/>
          <w:szCs w:val="20"/>
          <w:color w:val="auto"/>
        </w:rPr>
      </w:pPr>
      <w:r>
        <w:rPr>
          <w:rFonts w:ascii="Arial" w:cs="Arial" w:eastAsia="Arial" w:hAnsi="Arial"/>
          <w:sz w:val="17"/>
          <w:szCs w:val="17"/>
          <w:color w:val="auto"/>
        </w:rPr>
        <w:t>We value the views of our stockholders. We believe stockholder engagement helps us understand stockholder perspectives and priorities and gives us an opportunity to take stockholder viewpoints into account as we review and evolve our practices and disclosures.</w:t>
      </w:r>
    </w:p>
    <w:p>
      <w:pPr>
        <w:spacing w:after="0" w:line="160" w:lineRule="exact"/>
        <w:rPr>
          <w:sz w:val="20"/>
          <w:szCs w:val="20"/>
          <w:color w:val="auto"/>
        </w:rPr>
      </w:pPr>
    </w:p>
    <w:p>
      <w:pPr>
        <w:ind w:left="800" w:right="259"/>
        <w:spacing w:after="0" w:line="277" w:lineRule="auto"/>
        <w:rPr>
          <w:sz w:val="20"/>
          <w:szCs w:val="20"/>
          <w:color w:val="auto"/>
        </w:rPr>
      </w:pPr>
      <w:r>
        <w:rPr>
          <w:rFonts w:ascii="Arial" w:cs="Arial" w:eastAsia="Arial" w:hAnsi="Arial"/>
          <w:sz w:val="17"/>
          <w:szCs w:val="17"/>
          <w:color w:val="auto"/>
        </w:rPr>
        <w:t>We initiated our stockholder engagement program in 2021. As part of this process, since our 2025 Annual Meeting of Stockholders, we sought meetings or met with stockholders who collectively represented over 40% of our outstanding shares at the time of outreach, excluding</w:t>
      </w:r>
    </w:p>
    <w:p>
      <w:pPr>
        <w:sectPr>
          <w:pgSz w:w="11900" w:h="16838" w:orient="portrait"/>
          <w:cols w:equalWidth="0" w:num="1">
            <w:col w:w="9699"/>
          </w:cols>
          <w:pgMar w:left="760" w:top="94" w:right="1440" w:bottom="1440"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59"/>
        <w:spacing w:after="0" w:line="282" w:lineRule="auto"/>
        <w:rPr>
          <w:sz w:val="20"/>
          <w:szCs w:val="20"/>
          <w:color w:val="auto"/>
        </w:rPr>
      </w:pPr>
      <w:r>
        <w:rPr>
          <w:rFonts w:ascii="Arial" w:cs="Arial" w:eastAsia="Arial" w:hAnsi="Arial"/>
          <w:sz w:val="17"/>
          <w:szCs w:val="17"/>
          <w:color w:val="auto"/>
        </w:rPr>
        <w:t>our affiliates. Through this program, our team met with governance professionals from active and passive funds as well as portfolio managers from active funds. Topics discussed included, but were not limited to:</w:t>
      </w:r>
    </w:p>
    <w:p>
      <w:pPr>
        <w:spacing w:after="0" w:line="37" w:lineRule="exact"/>
        <w:rPr>
          <w:sz w:val="20"/>
          <w:szCs w:val="20"/>
          <w:color w:val="auto"/>
        </w:rPr>
      </w:pPr>
    </w:p>
    <w:p>
      <w:pPr>
        <w:ind w:left="1320" w:hanging="179"/>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Artificial intelligence (“AI”) governance;</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Sustainability disclosures;</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Executive compensation;</w:t>
      </w:r>
    </w:p>
    <w:p>
      <w:pPr>
        <w:spacing w:after="0" w:line="105" w:lineRule="exact"/>
        <w:rPr>
          <w:rFonts w:ascii="Arial" w:cs="Arial" w:eastAsia="Arial" w:hAnsi="Arial"/>
          <w:sz w:val="17"/>
          <w:szCs w:val="17"/>
          <w:color w:val="auto"/>
        </w:rPr>
      </w:pPr>
    </w:p>
    <w:p>
      <w:pPr>
        <w:ind w:left="1320" w:hanging="179"/>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Human capital matters;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Corporate governance.</w:t>
      </w:r>
    </w:p>
    <w:p>
      <w:pPr>
        <w:spacing w:after="0" w:line="223" w:lineRule="exact"/>
        <w:rPr>
          <w:sz w:val="20"/>
          <w:szCs w:val="20"/>
          <w:color w:val="auto"/>
        </w:rPr>
      </w:pPr>
    </w:p>
    <w:p>
      <w:pPr>
        <w:ind w:left="800" w:right="119"/>
        <w:spacing w:after="0" w:line="255" w:lineRule="auto"/>
        <w:rPr>
          <w:sz w:val="20"/>
          <w:szCs w:val="20"/>
          <w:color w:val="auto"/>
        </w:rPr>
      </w:pPr>
      <w:r>
        <w:rPr>
          <w:rFonts w:ascii="Arial" w:cs="Arial" w:eastAsia="Arial" w:hAnsi="Arial"/>
          <w:sz w:val="17"/>
          <w:szCs w:val="17"/>
          <w:color w:val="auto"/>
        </w:rPr>
        <w:t>Senior representatives from CrowdStrike’s human resources, investor relations and legal teams attended these meetings and communicated stockholder feedback to our Board members for them to take into account as appropriate. We expect to continue our engagement program to maintain an open dialogue and ensure that we have an understanding of our stockholders’ perspectives. Aside from our stockholder engagement program, we also engage with stockholders via quarterly earnings calls, equity analyst and investor meetings, investor road shows, industry conferences and company-hosted events.</w:t>
      </w:r>
    </w:p>
    <w:p>
      <w:pPr>
        <w:spacing w:after="0" w:line="159" w:lineRule="exact"/>
        <w:rPr>
          <w:sz w:val="20"/>
          <w:szCs w:val="20"/>
          <w:color w:val="auto"/>
        </w:rPr>
      </w:pPr>
    </w:p>
    <w:p>
      <w:pPr>
        <w:ind w:left="800" w:right="1259"/>
        <w:spacing w:after="0" w:line="261" w:lineRule="auto"/>
        <w:rPr>
          <w:sz w:val="20"/>
          <w:szCs w:val="20"/>
          <w:color w:val="auto"/>
        </w:rPr>
      </w:pPr>
      <w:r>
        <w:rPr>
          <w:rFonts w:ascii="Arial" w:cs="Arial" w:eastAsia="Arial" w:hAnsi="Arial"/>
          <w:sz w:val="44"/>
          <w:szCs w:val="44"/>
          <w:color w:val="auto"/>
        </w:rPr>
        <w:t>Corporate Governance Guidelines and Code of Business Conduct and Ethics</w:t>
      </w:r>
    </w:p>
    <w:p>
      <w:pPr>
        <w:spacing w:after="0" w:line="3" w:lineRule="exact"/>
        <w:rPr>
          <w:sz w:val="20"/>
          <w:szCs w:val="20"/>
          <w:color w:val="auto"/>
        </w:rPr>
      </w:pPr>
    </w:p>
    <w:p>
      <w:pPr>
        <w:ind w:left="800" w:right="119"/>
        <w:spacing w:after="0" w:line="251" w:lineRule="auto"/>
        <w:rPr>
          <w:sz w:val="20"/>
          <w:szCs w:val="20"/>
          <w:color w:val="auto"/>
        </w:rPr>
      </w:pPr>
      <w:r>
        <w:rPr>
          <w:rFonts w:ascii="Arial" w:cs="Arial" w:eastAsia="Arial" w:hAnsi="Arial"/>
          <w:sz w:val="17"/>
          <w:szCs w:val="17"/>
          <w:color w:val="auto"/>
        </w:rPr>
        <w:t>Our Board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has adopted a Code of Business Conduct and Ethics that applies to all our employees, officers and directors, including our Chief Executive Officer, Chief Financial Officer and other executive and senior financial officers. The full text of our Corporate Governance Guidelines and our Code of Business Conduct and Ethics are posted on our website at ir.crowdstrike.com. We will post amendments to our Code of Business Conduct and Ethics or any waivers of our Code of Business Conduct and Ethics for directors and executive officers on the same website or in filings under the Exchange Act.</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45"/>
          <w:szCs w:val="45"/>
          <w:color w:val="auto"/>
        </w:rPr>
        <w:t>Insider Trading Policy</w:t>
      </w:r>
    </w:p>
    <w:p>
      <w:pPr>
        <w:spacing w:after="0" w:line="116" w:lineRule="exact"/>
        <w:rPr>
          <w:sz w:val="20"/>
          <w:szCs w:val="20"/>
          <w:color w:val="auto"/>
        </w:rPr>
      </w:pPr>
    </w:p>
    <w:p>
      <w:pPr>
        <w:ind w:left="800" w:right="119"/>
        <w:spacing w:after="0" w:line="251" w:lineRule="auto"/>
        <w:rPr>
          <w:sz w:val="20"/>
          <w:szCs w:val="20"/>
          <w:color w:val="auto"/>
        </w:rPr>
      </w:pPr>
      <w:r>
        <w:rPr>
          <w:rFonts w:ascii="Arial" w:cs="Arial" w:eastAsia="Arial" w:hAnsi="Arial"/>
          <w:sz w:val="17"/>
          <w:szCs w:val="17"/>
          <w:color w:val="auto"/>
        </w:rPr>
        <w:t>CrowdStrike maintains an insider trading policy governing the purchase, sale, and gifts of our securities by directors, officers, employees, and certain contractors and consultants (together, “CrowdStrike Personnel”), as well as anyone living in the household of CrowdStrike Personnel and any individuals or entities whose securities transactions are subject to the influence or control of CrowdStrike Personnel. We believe our insider trading policy is reasonably designed to promote compliance by CrowdStrike Personnel with insider trading laws, rules and regulations, and the listing standards applicable to us. Our insider trading policy also subjects our directors, officers and certain other employees to additional trading restrictions. The foregoing summary of our insider trading policy does not purport to be complete and is qualified in its entirety by reference to the full text of the policy, a copy of which can be found as an exhibit to our Annual Report on Form 10-K for the fiscal year ended January 31, 2026.</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45"/>
          <w:szCs w:val="45"/>
          <w:color w:val="auto"/>
        </w:rPr>
        <w:t>Equity Grant Practices</w:t>
      </w:r>
    </w:p>
    <w:p>
      <w:pPr>
        <w:spacing w:after="0" w:line="116" w:lineRule="exact"/>
        <w:rPr>
          <w:sz w:val="20"/>
          <w:szCs w:val="20"/>
          <w:color w:val="auto"/>
        </w:rPr>
      </w:pPr>
    </w:p>
    <w:p>
      <w:pPr>
        <w:ind w:left="800" w:right="139"/>
        <w:spacing w:after="0" w:line="269" w:lineRule="auto"/>
        <w:rPr>
          <w:sz w:val="20"/>
          <w:szCs w:val="20"/>
          <w:color w:val="auto"/>
        </w:rPr>
      </w:pPr>
      <w:r>
        <w:rPr>
          <w:rFonts w:ascii="Arial" w:cs="Arial" w:eastAsia="Arial" w:hAnsi="Arial"/>
          <w:sz w:val="17"/>
          <w:szCs w:val="17"/>
          <w:color w:val="auto"/>
        </w:rPr>
        <w:t>In response to Item 402(x)(1) of Regulation S-K, we do not time the grant of awards of stock options, stock appreciation rights or similar option-like instruments based on when we release material, non-public information, nor do we time the release of material, non-public information based on the grant dates of such equity awards.</w:t>
      </w:r>
    </w:p>
    <w:p>
      <w:pPr>
        <w:spacing w:after="0" w:line="153" w:lineRule="exact"/>
        <w:rPr>
          <w:sz w:val="20"/>
          <w:szCs w:val="20"/>
          <w:color w:val="auto"/>
        </w:rPr>
      </w:pPr>
    </w:p>
    <w:p>
      <w:pPr>
        <w:ind w:left="800" w:right="139"/>
        <w:spacing w:after="0" w:line="269" w:lineRule="auto"/>
        <w:rPr>
          <w:sz w:val="20"/>
          <w:szCs w:val="20"/>
          <w:color w:val="auto"/>
        </w:rPr>
      </w:pPr>
      <w:r>
        <w:rPr>
          <w:rFonts w:ascii="Arial" w:cs="Arial" w:eastAsia="Arial" w:hAnsi="Arial"/>
          <w:sz w:val="17"/>
          <w:szCs w:val="17"/>
          <w:color w:val="auto"/>
        </w:rPr>
        <w:t>During fiscal 2026, (i) none of our named executive officers (“NEOs”) were awarded stock options and (ii) we did not time the disclosure of material non-public information for the purpose of affecting the value of executive compensation.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Corporate Responsibility</w:t>
      </w:r>
    </w:p>
    <w:p>
      <w:pPr>
        <w:spacing w:after="0" w:line="129" w:lineRule="exact"/>
        <w:rPr>
          <w:sz w:val="20"/>
          <w:szCs w:val="20"/>
          <w:color w:val="auto"/>
        </w:rPr>
      </w:pPr>
    </w:p>
    <w:p>
      <w:pPr>
        <w:ind w:left="800" w:right="219"/>
        <w:spacing w:after="0" w:line="260" w:lineRule="auto"/>
        <w:rPr>
          <w:sz w:val="20"/>
          <w:szCs w:val="20"/>
          <w:color w:val="auto"/>
        </w:rPr>
      </w:pPr>
      <w:r>
        <w:rPr>
          <w:rFonts w:ascii="Arial" w:cs="Arial" w:eastAsia="Arial" w:hAnsi="Arial"/>
          <w:sz w:val="17"/>
          <w:szCs w:val="17"/>
          <w:color w:val="auto"/>
        </w:rPr>
        <w:t>CrowdStrike believes that creating a positive global impact begins with our responsibility to our customers. By securing the infrastructure and protecting the integrity of businesses worldwide, we fulfill that mission. This requires not only a relentless commitment to fighting adversaries every single day, but the courage to hold ourselves accountable to being the change we want to see in the world. Our impact</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18 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800" w:right="379"/>
        <w:spacing w:after="0" w:line="260" w:lineRule="auto"/>
        <w:rPr>
          <w:sz w:val="20"/>
          <w:szCs w:val="20"/>
          <w:color w:val="auto"/>
        </w:rPr>
      </w:pPr>
      <w:r>
        <w:rPr>
          <w:rFonts w:ascii="Arial" w:cs="Arial" w:eastAsia="Arial" w:hAnsi="Arial"/>
          <w:sz w:val="17"/>
          <w:szCs w:val="17"/>
          <w:color w:val="auto"/>
        </w:rPr>
        <w:t xml:space="preserve">efforts are led by our executive leadership team and are reviewed by the Nominating and Corporate Governance Committee of our Board of Directors. We are proud to earn recognition for our efforts through accolades such as being named to the following lists in 2025: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World’s Best Workplaces™,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100 Best Companies to Work For®,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Best Workplaces for Women™, and PEOPLE® Companies that Care.</w:t>
      </w:r>
    </w:p>
    <w:p>
      <w:pPr>
        <w:spacing w:after="0" w:line="162" w:lineRule="exact"/>
        <w:rPr>
          <w:sz w:val="20"/>
          <w:szCs w:val="20"/>
          <w:color w:val="auto"/>
        </w:rPr>
      </w:pPr>
    </w:p>
    <w:p>
      <w:pPr>
        <w:ind w:left="800"/>
        <w:spacing w:after="0"/>
        <w:tabs>
          <w:tab w:leader="none" w:pos="3500" w:val="left"/>
        </w:tabs>
        <w:rPr>
          <w:sz w:val="20"/>
          <w:szCs w:val="20"/>
          <w:color w:val="auto"/>
        </w:rPr>
      </w:pPr>
      <w:r>
        <w:rPr>
          <w:rFonts w:ascii="Arial" w:cs="Arial" w:eastAsia="Arial" w:hAnsi="Arial"/>
          <w:sz w:val="21"/>
          <w:szCs w:val="21"/>
          <w:b w:val="1"/>
          <w:bCs w:val="1"/>
          <w:i w:val="1"/>
          <w:iCs w:val="1"/>
          <w:color w:val="auto"/>
        </w:rPr>
        <w:t>Sustainability</w:t>
      </w:r>
      <w:r>
        <w:rPr>
          <w:sz w:val="20"/>
          <w:szCs w:val="20"/>
          <w:color w:val="auto"/>
        </w:rPr>
        <w:tab/>
      </w:r>
      <w:r>
        <w:rPr>
          <w:rFonts w:ascii="Arial" w:cs="Arial" w:eastAsia="Arial" w:hAnsi="Arial"/>
          <w:sz w:val="17"/>
          <w:szCs w:val="17"/>
          <w:color w:val="auto"/>
        </w:rPr>
        <w:t>In fiscal 2026, we published CrowdStrike’s FY2025 Sustainability Update, our</w:t>
      </w:r>
    </w:p>
    <w:p>
      <w:pPr>
        <w:spacing w:after="0" w:line="21" w:lineRule="exact"/>
        <w:rPr>
          <w:sz w:val="20"/>
          <w:szCs w:val="20"/>
          <w:color w:val="auto"/>
        </w:rPr>
      </w:pPr>
    </w:p>
    <w:p>
      <w:pPr>
        <w:ind w:left="3520" w:right="139"/>
        <w:spacing w:after="0" w:line="260" w:lineRule="auto"/>
        <w:rPr>
          <w:sz w:val="20"/>
          <w:szCs w:val="20"/>
          <w:color w:val="auto"/>
        </w:rPr>
      </w:pPr>
      <w:r>
        <w:rPr>
          <w:rFonts w:ascii="Arial" w:cs="Arial" w:eastAsia="Arial" w:hAnsi="Arial"/>
          <w:sz w:val="17"/>
          <w:szCs w:val="17"/>
          <w:color w:val="auto"/>
        </w:rPr>
        <w:t>first annual sustainability report. The report included our first public disclosure of Scope 1 and Scope 2 emissions, with limited assurance from PricewaterhouseCoopers. We also conducted a climate risk scenario analysis, which was aligned to the framework contained in the Final Report of Recommendations of the Task Force on Climate-related Financial Disclosures, as disclosed in our report. The report can be found on https://www.crowdstrike.com/en-us/about-us/sustainability/.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-807085</wp:posOffset>
            </wp:positionV>
            <wp:extent cx="705485" cy="705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 cy="705485"/>
                    </a:xfrm>
                    <a:prstGeom prst="rect">
                      <a:avLst/>
                    </a:prstGeom>
                    <a:noFill/>
                  </pic:spPr>
                </pic:pic>
              </a:graphicData>
            </a:graphic>
          </wp:anchor>
        </w:drawing>
      </w:r>
    </w:p>
    <w:p>
      <w:pPr>
        <w:spacing w:after="0" w:line="50" w:lineRule="exact"/>
        <w:rPr>
          <w:sz w:val="20"/>
          <w:szCs w:val="20"/>
          <w:color w:val="auto"/>
        </w:rPr>
      </w:pPr>
    </w:p>
    <w:p>
      <w:pPr>
        <w:ind w:left="3520" w:right="219"/>
        <w:spacing w:after="0" w:line="261" w:lineRule="auto"/>
        <w:rPr>
          <w:sz w:val="20"/>
          <w:szCs w:val="20"/>
          <w:color w:val="auto"/>
        </w:rPr>
      </w:pPr>
      <w:r>
        <w:rPr>
          <w:rFonts w:ascii="Arial" w:cs="Arial" w:eastAsia="Arial" w:hAnsi="Arial"/>
          <w:sz w:val="17"/>
          <w:szCs w:val="17"/>
          <w:color w:val="auto"/>
        </w:rPr>
        <w:t>Beyond reporting, we are conscious of our operational footprint. As an organization that allows for both remote and hybrid working arrangements, we can hire the best and the brightest wherever they are. This helps reduce our environmental footprint by decreasing long commutes and the impact that comes with operating a large number of physical offices. Furthermore, nearly half of our leased offices larger than 2,000 square feet are located in buildings that have received environmental certifications, including Leadership in Energy and Environmental Design (LEED), Building Research Establishment Environmental Assessment Method (BREEAM) and Energy Star certifications.</w:t>
      </w:r>
    </w:p>
    <w:p>
      <w:pPr>
        <w:spacing w:after="0" w:line="73" w:lineRule="exact"/>
        <w:rPr>
          <w:sz w:val="20"/>
          <w:szCs w:val="20"/>
          <w:color w:val="auto"/>
        </w:rPr>
      </w:pPr>
    </w:p>
    <w:p>
      <w:pPr>
        <w:ind w:left="3520" w:right="179"/>
        <w:spacing w:after="0" w:line="265" w:lineRule="auto"/>
        <w:rPr>
          <w:sz w:val="20"/>
          <w:szCs w:val="20"/>
          <w:color w:val="auto"/>
        </w:rPr>
      </w:pPr>
      <w:r>
        <w:rPr>
          <w:rFonts w:ascii="Arial" w:cs="Arial" w:eastAsia="Arial" w:hAnsi="Arial"/>
          <w:sz w:val="17"/>
          <w:szCs w:val="17"/>
          <w:color w:val="auto"/>
        </w:rPr>
        <w:t>We also consider environmental impact in our data center location selection decisions. When feasible, we prefer locations with more sustainable power and a lower carbon footprint, choose servers with lower power demands, and adjust power to our servers based on demand to minimize energy utilized. We continually strive to increase the watts-to-performance ratio of our computing, which increases energy efficiency.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To complement our direct efforts to reduce our environmental impact, in fiscal</w:t>
      </w:r>
    </w:p>
    <w:p>
      <w:pPr>
        <w:spacing w:after="0" w:line="3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2026 we partnered with Watershed Technology Inc. to identify, purchase, and</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retire a variety of high-quality Energy Attribute Certificates (EACs).</w:t>
      </w:r>
    </w:p>
    <w:p>
      <w:pPr>
        <w:spacing w:after="0" w:line="102" w:lineRule="exact"/>
        <w:rPr>
          <w:sz w:val="20"/>
          <w:szCs w:val="20"/>
          <w:color w:val="auto"/>
        </w:rPr>
      </w:pPr>
    </w:p>
    <w:p>
      <w:pPr>
        <w:ind w:left="3520" w:right="139"/>
        <w:spacing w:after="0" w:line="260" w:lineRule="auto"/>
        <w:rPr>
          <w:sz w:val="20"/>
          <w:szCs w:val="20"/>
          <w:color w:val="auto"/>
        </w:rPr>
      </w:pPr>
      <w:r>
        <w:rPr>
          <w:rFonts w:ascii="Arial" w:cs="Arial" w:eastAsia="Arial" w:hAnsi="Arial"/>
          <w:sz w:val="17"/>
          <w:szCs w:val="17"/>
          <w:color w:val="auto"/>
        </w:rPr>
        <w:t>Furthermore, in January 2026, we submitted our near-term company-wide GHG emission reduction targets to the Science Based Targets initiative (SBTi) as part of our ongoing efforts to address climate-related risks and align with customer priorities. In addition, in connection with Earth Day 2025, CrowdStrike employees engaged in a variety of initiatives, including a 30-day challenge to help employees build sustainable living habits and numerous learning opportunities relating to sustainable action.</w:t>
      </w:r>
    </w:p>
    <w:p>
      <w:pPr>
        <w:ind w:left="800"/>
        <w:spacing w:after="0" w:line="182" w:lineRule="auto"/>
        <w:tabs>
          <w:tab w:leader="none" w:pos="3500" w:val="left"/>
        </w:tabs>
        <w:rPr>
          <w:sz w:val="20"/>
          <w:szCs w:val="20"/>
          <w:color w:val="auto"/>
        </w:rPr>
      </w:pPr>
      <w:r>
        <w:rPr>
          <w:rFonts w:ascii="Arial" w:cs="Arial" w:eastAsia="Arial" w:hAnsi="Arial"/>
          <w:sz w:val="26"/>
          <w:szCs w:val="26"/>
          <w:b w:val="1"/>
          <w:bCs w:val="1"/>
          <w:i w:val="1"/>
          <w:iCs w:val="1"/>
          <w:color w:val="auto"/>
          <w:vertAlign w:val="subscript"/>
        </w:rPr>
        <w:t>Accessibility</w:t>
      </w:r>
      <w:r>
        <w:rPr>
          <w:sz w:val="20"/>
          <w:szCs w:val="20"/>
          <w:color w:val="auto"/>
        </w:rPr>
        <w:tab/>
      </w:r>
      <w:r>
        <w:rPr>
          <w:rFonts w:ascii="Arial" w:cs="Arial" w:eastAsia="Arial" w:hAnsi="Arial"/>
          <w:sz w:val="13"/>
          <w:szCs w:val="13"/>
          <w:color w:val="auto"/>
        </w:rPr>
        <w:t>CrowdStrike takes the accessibility of its products seriously, and we review our</w:t>
      </w:r>
    </w:p>
    <w:p>
      <w:pPr>
        <w:spacing w:after="0" w:line="202" w:lineRule="exact"/>
        <w:rPr>
          <w:sz w:val="20"/>
          <w:szCs w:val="20"/>
          <w:color w:val="auto"/>
        </w:rPr>
      </w:pPr>
    </w:p>
    <w:p>
      <w:pPr>
        <w:ind w:left="3520" w:right="139"/>
        <w:spacing w:after="0" w:line="261" w:lineRule="auto"/>
        <w:rPr>
          <w:sz w:val="20"/>
          <w:szCs w:val="20"/>
          <w:color w:val="auto"/>
        </w:rPr>
      </w:pPr>
      <w:r>
        <w:rPr>
          <w:rFonts w:ascii="Arial" w:cs="Arial" w:eastAsia="Arial" w:hAnsi="Arial"/>
          <w:sz w:val="17"/>
          <w:szCs w:val="17"/>
          <w:color w:val="auto"/>
        </w:rPr>
        <w:t>products for compliance on a recurring basis. In particular, we focus on screen reader compatibility for visually impaired users, keyboard navigation for users with limited dexterity and color/contrast configurability to optimize our experience for various classes of color-blindness. Our quality assurance team is also trained, certified and equipped to assist with testing for accessibility, and we work with external auditors to help identify any deficiencies.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-642620</wp:posOffset>
            </wp:positionV>
            <wp:extent cx="697230" cy="481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7230" cy="481330"/>
                    </a:xfrm>
                    <a:prstGeom prst="rect">
                      <a:avLst/>
                    </a:prstGeom>
                    <a:noFill/>
                  </pic:spPr>
                </pic:pic>
              </a:graphicData>
            </a:graphic>
          </wp:anchor>
        </w:drawing>
      </w:r>
    </w:p>
    <w:p>
      <w:pPr>
        <w:spacing w:after="0" w:line="48" w:lineRule="exact"/>
        <w:rPr>
          <w:sz w:val="20"/>
          <w:szCs w:val="20"/>
          <w:color w:val="auto"/>
        </w:rPr>
      </w:pPr>
    </w:p>
    <w:p>
      <w:pPr>
        <w:ind w:left="3520" w:right="399"/>
        <w:spacing w:after="0" w:line="263" w:lineRule="auto"/>
        <w:rPr>
          <w:sz w:val="20"/>
          <w:szCs w:val="20"/>
          <w:color w:val="auto"/>
        </w:rPr>
      </w:pPr>
      <w:r>
        <w:rPr>
          <w:rFonts w:ascii="Arial" w:cs="Arial" w:eastAsia="Arial" w:hAnsi="Arial"/>
          <w:sz w:val="17"/>
          <w:szCs w:val="17"/>
          <w:color w:val="auto"/>
        </w:rPr>
        <w:t>CrowdStrike is committed to expanding our compliance with Web Content Accessibility Guidelines 2.2-AA, Section 508, and EN 301 549. We have invested, and intend to continue to invest in, the ongoing improvement of the accessibility of our products for differently abled users.</w:t>
      </w:r>
    </w:p>
    <w:p>
      <w:pPr>
        <w:ind w:left="800"/>
        <w:spacing w:after="0" w:line="180" w:lineRule="auto"/>
        <w:tabs>
          <w:tab w:leader="none" w:pos="3500" w:val="left"/>
        </w:tabs>
        <w:rPr>
          <w:sz w:val="20"/>
          <w:szCs w:val="20"/>
          <w:color w:val="auto"/>
        </w:rPr>
      </w:pPr>
      <w:r>
        <w:rPr>
          <w:rFonts w:ascii="Arial" w:cs="Arial" w:eastAsia="Arial" w:hAnsi="Arial"/>
          <w:sz w:val="26"/>
          <w:szCs w:val="26"/>
          <w:b w:val="1"/>
          <w:bCs w:val="1"/>
          <w:i w:val="1"/>
          <w:iCs w:val="1"/>
          <w:color w:val="auto"/>
          <w:vertAlign w:val="subscript"/>
        </w:rPr>
        <w:t>Governance</w:t>
      </w:r>
      <w:r>
        <w:rPr>
          <w:sz w:val="20"/>
          <w:szCs w:val="20"/>
          <w:color w:val="auto"/>
        </w:rPr>
        <w:tab/>
      </w:r>
      <w:r>
        <w:rPr>
          <w:rFonts w:ascii="Arial" w:cs="Arial" w:eastAsia="Arial" w:hAnsi="Arial"/>
          <w:sz w:val="13"/>
          <w:szCs w:val="13"/>
          <w:color w:val="auto"/>
        </w:rPr>
        <w:t>We strive to maintain high governance standards. Our commitment to effective</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corporate governance is illustrated by the following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42545</wp:posOffset>
            </wp:positionV>
            <wp:extent cx="697230" cy="680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7230" cy="680720"/>
                    </a:xfrm>
                    <a:prstGeom prst="rect">
                      <a:avLst/>
                    </a:prstGeom>
                    <a:noFill/>
                  </pic:spPr>
                </pic:pic>
              </a:graphicData>
            </a:graphic>
          </wp:anchor>
        </w:drawing>
      </w:r>
    </w:p>
    <w:p>
      <w:pPr>
        <w:spacing w:after="0" w:line="9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We have a “one share, one vote” structure.</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Eight out of nine of our directors are independent.</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The Chairperson of our Board is independent.</w:t>
      </w:r>
    </w:p>
    <w:p>
      <w:pPr>
        <w:spacing w:after="0" w:line="13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Audit, Compensation and Nominating and Corporate Governance</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committees are comprised of independent directors.</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Board and Audit, Compensation and Nominating and Corporate</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Governance committees perform annual self-assessments.</w:t>
      </w:r>
    </w:p>
    <w:p>
      <w:pPr>
        <w:spacing w:after="0" w:line="11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The leadership structure of our Board is reviewed annually.</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independent directors regularly meet in executive session.</w:t>
      </w:r>
    </w:p>
    <w:p>
      <w:pPr>
        <w:spacing w:after="0" w:line="13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Board and Board committees may hire outside advisors</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independently of management.</w:t>
      </w:r>
    </w:p>
    <w:p>
      <w:pPr>
        <w:spacing w:after="0" w:line="128" w:lineRule="exact"/>
        <w:rPr>
          <w:sz w:val="20"/>
          <w:szCs w:val="20"/>
          <w:color w:val="auto"/>
        </w:rPr>
      </w:pPr>
    </w:p>
    <w:p>
      <w:pPr>
        <w:ind w:left="3860" w:right="899" w:hanging="179"/>
        <w:spacing w:after="0" w:line="250" w:lineRule="auto"/>
        <w:tabs>
          <w:tab w:leader="none" w:pos="3840" w:val="left"/>
        </w:tabs>
        <w:rPr>
          <w:sz w:val="20"/>
          <w:szCs w:val="20"/>
          <w:color w:val="auto"/>
        </w:rPr>
      </w:pPr>
      <w:r>
        <w:rPr>
          <w:rFonts w:ascii="Arial" w:cs="Arial" w:eastAsia="Arial" w:hAnsi="Arial"/>
          <w:sz w:val="17"/>
          <w:szCs w:val="17"/>
          <w:color w:val="auto"/>
        </w:rPr>
        <w:t>•</w:t>
        <w:tab/>
        <w:t>Our insider trading policy contains anti-hedging and anti-pledging provisions.</w:t>
      </w:r>
    </w:p>
    <w:p>
      <w:pPr>
        <w:spacing w:after="0" w:line="7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We have not adopted a “poison pill” stockholder rights plan.</w:t>
      </w:r>
    </w:p>
    <w:p>
      <w:pPr>
        <w:spacing w:after="0" w:line="131" w:lineRule="exact"/>
        <w:rPr>
          <w:sz w:val="20"/>
          <w:szCs w:val="20"/>
          <w:color w:val="auto"/>
        </w:rPr>
      </w:pPr>
    </w:p>
    <w:p>
      <w:pPr>
        <w:ind w:left="3860" w:right="339" w:hanging="179"/>
        <w:spacing w:after="0" w:line="277" w:lineRule="auto"/>
        <w:tabs>
          <w:tab w:leader="none" w:pos="3840" w:val="left"/>
        </w:tabs>
        <w:rPr>
          <w:sz w:val="20"/>
          <w:szCs w:val="20"/>
          <w:color w:val="auto"/>
        </w:rPr>
      </w:pPr>
      <w:r>
        <w:rPr>
          <w:rFonts w:ascii="Arial" w:cs="Arial" w:eastAsia="Arial" w:hAnsi="Arial"/>
          <w:sz w:val="17"/>
          <w:szCs w:val="17"/>
          <w:color w:val="auto"/>
        </w:rPr>
        <w:t>•</w:t>
        <w:tab/>
        <w:t>Our directors routinely attend director education programs to assist them in remaining current with corporate governance best practices and industry developments.</w:t>
      </w:r>
    </w:p>
    <w:p>
      <w:pPr>
        <w:sectPr>
          <w:pgSz w:w="11900" w:h="16838" w:orient="portrait"/>
          <w:cols w:equalWidth="0" w:num="1">
            <w:col w:w="9699"/>
          </w:cols>
          <w:pgMar w:left="760" w:top="94" w:right="1440" w:bottom="1120" w:gutter="0" w:footer="0" w:header="0"/>
        </w:sectPr>
      </w:pPr>
    </w:p>
    <w:p>
      <w:pPr>
        <w:spacing w:after="0" w:line="215" w:lineRule="exact"/>
        <w:rPr>
          <w:sz w:val="20"/>
          <w:szCs w:val="20"/>
          <w:color w:val="auto"/>
        </w:rPr>
      </w:pPr>
    </w:p>
    <w:p>
      <w:pPr>
        <w:ind w:left="800"/>
        <w:spacing w:after="0"/>
        <w:rPr>
          <w:sz w:val="20"/>
          <w:szCs w:val="20"/>
          <w:color w:val="auto"/>
        </w:rPr>
      </w:pPr>
      <w:r>
        <w:rPr>
          <w:rFonts w:ascii="Arial" w:cs="Arial" w:eastAsia="Arial" w:hAnsi="Arial"/>
          <w:sz w:val="20"/>
          <w:szCs w:val="20"/>
          <w:b w:val="1"/>
          <w:bCs w:val="1"/>
          <w:i w:val="1"/>
          <w:iCs w:val="1"/>
          <w:color w:val="auto"/>
        </w:rPr>
        <w:t>Data Privacy and</w:t>
      </w:r>
    </w:p>
    <w:p>
      <w:pPr>
        <w:ind w:left="800"/>
        <w:spacing w:after="0"/>
        <w:rPr>
          <w:sz w:val="20"/>
          <w:szCs w:val="20"/>
          <w:color w:val="auto"/>
        </w:rPr>
      </w:pPr>
      <w:r>
        <w:rPr>
          <w:rFonts w:ascii="Arial" w:cs="Arial" w:eastAsia="Arial" w:hAnsi="Arial"/>
          <w:sz w:val="21"/>
          <w:szCs w:val="21"/>
          <w:b w:val="1"/>
          <w:bCs w:val="1"/>
          <w:i w:val="1"/>
          <w:iCs w:val="1"/>
          <w:color w:val="auto"/>
        </w:rPr>
        <w:t>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124460</wp:posOffset>
            </wp:positionV>
            <wp:extent cx="697230" cy="539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7230" cy="539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79"/>
        <w:spacing w:after="0" w:line="265" w:lineRule="auto"/>
        <w:rPr>
          <w:sz w:val="20"/>
          <w:szCs w:val="20"/>
          <w:color w:val="auto"/>
        </w:rPr>
      </w:pPr>
      <w:r>
        <w:rPr>
          <w:rFonts w:ascii="Arial" w:cs="Arial" w:eastAsia="Arial" w:hAnsi="Arial"/>
          <w:sz w:val="17"/>
          <w:szCs w:val="17"/>
          <w:color w:val="auto"/>
        </w:rPr>
        <w:t>CrowdStrike maintains a global privacy compliance management program designed to identify, assess, and help manage risks associated with the processing of personal data across our operations, products, and services. The program is led by our Chief Privacy and Policy Officer, who administers the program and coordinates day-to-day compliance with applicable global privacy laws and standards.</w:t>
      </w:r>
    </w:p>
    <w:p>
      <w:pPr>
        <w:spacing w:after="0" w:line="64" w:lineRule="exact"/>
        <w:rPr>
          <w:sz w:val="20"/>
          <w:szCs w:val="20"/>
          <w:color w:val="auto"/>
        </w:rPr>
      </w:pPr>
    </w:p>
    <w:p>
      <w:pPr>
        <w:sectPr>
          <w:pgSz w:w="11900" w:h="16838" w:orient="portrait"/>
          <w:cols w:equalWidth="0" w:num="2">
            <w:col w:w="2800" w:space="720"/>
            <w:col w:w="6179"/>
          </w:cols>
          <w:pgMar w:left="760" w:top="94" w:right="1440" w:bottom="1120" w:gutter="0" w:footer="0" w:header="0"/>
          <w:type w:val="continuous"/>
        </w:sectPr>
      </w:pPr>
    </w:p>
    <w:p>
      <w:pPr>
        <w:ind w:left="3520" w:right="439"/>
        <w:spacing w:after="0" w:line="267" w:lineRule="auto"/>
        <w:rPr>
          <w:sz w:val="20"/>
          <w:szCs w:val="20"/>
          <w:color w:val="auto"/>
        </w:rPr>
      </w:pPr>
      <w:r>
        <w:rPr>
          <w:rFonts w:ascii="Arial" w:cs="Arial" w:eastAsia="Arial" w:hAnsi="Arial"/>
          <w:sz w:val="17"/>
          <w:szCs w:val="17"/>
          <w:color w:val="auto"/>
        </w:rPr>
        <w:t>The privacy function regularly collaborates with our cybersecurity, legal, compliance, product, and other business teams, and participates in cross-functional governance bodies addressing enterprise risk, incident response, and artificial intelligence (“AI”) governance where privacy considerations are implicated.</w:t>
      </w:r>
    </w:p>
    <w:p>
      <w:pPr>
        <w:spacing w:after="0" w:line="63" w:lineRule="exact"/>
        <w:rPr>
          <w:sz w:val="20"/>
          <w:szCs w:val="20"/>
          <w:color w:val="auto"/>
        </w:rPr>
      </w:pPr>
    </w:p>
    <w:p>
      <w:pPr>
        <w:ind w:left="3520" w:right="339"/>
        <w:spacing w:after="0" w:line="262" w:lineRule="auto"/>
        <w:rPr>
          <w:sz w:val="20"/>
          <w:szCs w:val="20"/>
          <w:color w:val="auto"/>
        </w:rPr>
      </w:pPr>
      <w:r>
        <w:rPr>
          <w:rFonts w:ascii="Arial" w:cs="Arial" w:eastAsia="Arial" w:hAnsi="Arial"/>
          <w:sz w:val="17"/>
          <w:szCs w:val="17"/>
          <w:color w:val="auto"/>
        </w:rPr>
        <w:t>The program includes documented policies, procedures, and controls, including: monitoring legal and regulatory developments; Privacy-by-Design and Privacy-by-Default practices; records of processing activities; privacy notices; customer, vendor, and intra-group data protection agreements; cross-border data transfer mechanisms; vendor and sub-processor oversight; processes for responding to individual privacy rights requests; and procedures to assess and respond to privacy-related incidents, including escalation to senior management and legal leadership as appropriate.</w:t>
      </w:r>
    </w:p>
    <w:p>
      <w:pPr>
        <w:spacing w:after="0" w:line="70" w:lineRule="exact"/>
        <w:rPr>
          <w:sz w:val="20"/>
          <w:szCs w:val="20"/>
          <w:color w:val="auto"/>
        </w:rPr>
      </w:pPr>
    </w:p>
    <w:p>
      <w:pPr>
        <w:ind w:left="3520" w:right="459"/>
        <w:spacing w:after="0" w:line="265" w:lineRule="auto"/>
        <w:rPr>
          <w:sz w:val="20"/>
          <w:szCs w:val="20"/>
          <w:color w:val="auto"/>
        </w:rPr>
      </w:pPr>
      <w:r>
        <w:rPr>
          <w:rFonts w:ascii="Arial" w:cs="Arial" w:eastAsia="Arial" w:hAnsi="Arial"/>
          <w:sz w:val="17"/>
          <w:szCs w:val="17"/>
          <w:color w:val="auto"/>
        </w:rPr>
        <w:t>Management provides periodic briefings regarding privacy and data protection program effectiveness, regulatory developments, and privacy-related risk trends to the Audit Committee and the Board of Directors. While we implement legal, contractual, and technical safeguards designed to protect personal data, no system can eliminate all risk in a globally interconnected environment.</w:t>
      </w:r>
    </w:p>
    <w:p>
      <w:pPr>
        <w:sectPr>
          <w:pgSz w:w="11900" w:h="16838" w:orient="portrait"/>
          <w:cols w:equalWidth="0" w:num="1">
            <w:col w:w="9699"/>
          </w:cols>
          <w:pgMar w:left="760" w:top="94" w:right="1440" w:bottom="1120" w:gutter="0" w:footer="0" w:header="0"/>
          <w:type w:val="continuous"/>
        </w:sectPr>
      </w:pP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b w:val="1"/>
          <w:bCs w:val="1"/>
          <w:i w:val="1"/>
          <w:iCs w:val="1"/>
          <w:color w:val="auto"/>
        </w:rPr>
        <w:t>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143510</wp:posOffset>
            </wp:positionV>
            <wp:extent cx="713740" cy="713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740" cy="713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399"/>
        <w:spacing w:after="0" w:line="260" w:lineRule="auto"/>
        <w:rPr>
          <w:sz w:val="20"/>
          <w:szCs w:val="20"/>
          <w:color w:val="auto"/>
        </w:rPr>
      </w:pPr>
      <w:r>
        <w:rPr>
          <w:rFonts w:ascii="Arial" w:cs="Arial" w:eastAsia="Arial" w:hAnsi="Arial"/>
          <w:sz w:val="17"/>
          <w:szCs w:val="17"/>
          <w:color w:val="auto"/>
        </w:rPr>
        <w:t>CrowdStrike maintains an information security program, which is supervised by the Chief Information Security Officer, whose team is responsible for managing enterprise-wide cybersecurity strategy, policy, standards, and architecture. The information security team is made up of industry experts from varied technology specialties and located throughout the world. This multidisciplinary team is organized into multiple sub-teams focused on implementing defensive measures, validating security controls, securing CrowdStrike products, and simulating attacks to test defenses, and is engaged in a continuous communication feedback loop, designed with the same guiding security principles and industry-leading tooling that we bring to all of our customers.</w:t>
      </w:r>
    </w:p>
    <w:p>
      <w:pPr>
        <w:spacing w:after="0" w:line="88" w:lineRule="exact"/>
        <w:rPr>
          <w:sz w:val="20"/>
          <w:szCs w:val="20"/>
          <w:color w:val="auto"/>
        </w:rPr>
      </w:pPr>
    </w:p>
    <w:p>
      <w:pPr>
        <w:sectPr>
          <w:pgSz w:w="11900" w:h="16838" w:orient="portrait"/>
          <w:cols w:equalWidth="0" w:num="2">
            <w:col w:w="2820" w:space="700"/>
            <w:col w:w="6179"/>
          </w:cols>
          <w:pgMar w:left="760" w:top="94" w:right="1440" w:bottom="1120" w:gutter="0" w:footer="0" w:header="0"/>
          <w:type w:val="continuous"/>
        </w:sectPr>
      </w:pPr>
    </w:p>
    <w:p>
      <w:pPr>
        <w:ind w:left="3520"/>
        <w:spacing w:after="0"/>
        <w:rPr>
          <w:sz w:val="20"/>
          <w:szCs w:val="20"/>
          <w:color w:val="auto"/>
        </w:rPr>
      </w:pPr>
      <w:r>
        <w:rPr>
          <w:rFonts w:ascii="Arial" w:cs="Arial" w:eastAsia="Arial" w:hAnsi="Arial"/>
          <w:sz w:val="17"/>
          <w:szCs w:val="17"/>
          <w:color w:val="auto"/>
        </w:rPr>
        <w:t>Some information security program highlights include:</w:t>
      </w:r>
    </w:p>
    <w:p>
      <w:pPr>
        <w:spacing w:after="0" w:line="131" w:lineRule="exact"/>
        <w:rPr>
          <w:sz w:val="20"/>
          <w:szCs w:val="20"/>
          <w:color w:val="auto"/>
        </w:rPr>
      </w:pPr>
    </w:p>
    <w:p>
      <w:pPr>
        <w:ind w:left="3860" w:right="679" w:hanging="179"/>
        <w:spacing w:after="0" w:line="298" w:lineRule="auto"/>
        <w:tabs>
          <w:tab w:leader="none" w:pos="3840" w:val="left"/>
        </w:tabs>
        <w:rPr>
          <w:sz w:val="20"/>
          <w:szCs w:val="20"/>
          <w:color w:val="auto"/>
        </w:rPr>
      </w:pPr>
      <w:r>
        <w:rPr>
          <w:rFonts w:ascii="Arial" w:cs="Arial" w:eastAsia="Arial" w:hAnsi="Arial"/>
          <w:sz w:val="17"/>
          <w:szCs w:val="17"/>
          <w:color w:val="auto"/>
        </w:rPr>
        <w:t>•</w:t>
        <w:tab/>
        <w:t>We maintain a 24x7x365 staffing program, resulting in rapid security incident response times and resolution.</w:t>
      </w:r>
    </w:p>
    <w:p>
      <w:pPr>
        <w:spacing w:after="0" w:line="77" w:lineRule="exact"/>
        <w:rPr>
          <w:sz w:val="20"/>
          <w:szCs w:val="20"/>
          <w:color w:val="auto"/>
        </w:rPr>
      </w:pPr>
    </w:p>
    <w:p>
      <w:pPr>
        <w:ind w:left="3860" w:right="499" w:hanging="179"/>
        <w:spacing w:after="0" w:line="298" w:lineRule="auto"/>
        <w:tabs>
          <w:tab w:leader="none" w:pos="3840" w:val="left"/>
        </w:tabs>
        <w:rPr>
          <w:sz w:val="20"/>
          <w:szCs w:val="20"/>
          <w:color w:val="auto"/>
        </w:rPr>
      </w:pPr>
      <w:r>
        <w:rPr>
          <w:rFonts w:ascii="Arial" w:cs="Arial" w:eastAsia="Arial" w:hAnsi="Arial"/>
          <w:sz w:val="17"/>
          <w:szCs w:val="17"/>
          <w:color w:val="auto"/>
        </w:rPr>
        <w:t>•</w:t>
        <w:tab/>
        <w:t>The cybersecurity team leverages automation, orchestration, and AI to realize economies of scale.</w:t>
      </w:r>
    </w:p>
    <w:p>
      <w:pPr>
        <w:spacing w:after="0" w:line="77" w:lineRule="exact"/>
        <w:rPr>
          <w:sz w:val="20"/>
          <w:szCs w:val="20"/>
          <w:color w:val="auto"/>
        </w:rPr>
      </w:pPr>
    </w:p>
    <w:p>
      <w:pPr>
        <w:ind w:left="3860" w:right="679" w:hanging="179"/>
        <w:spacing w:after="0" w:line="277" w:lineRule="auto"/>
        <w:tabs>
          <w:tab w:leader="none" w:pos="3840" w:val="left"/>
        </w:tabs>
        <w:rPr>
          <w:sz w:val="20"/>
          <w:szCs w:val="20"/>
          <w:color w:val="auto"/>
        </w:rPr>
      </w:pPr>
      <w:r>
        <w:rPr>
          <w:rFonts w:ascii="Arial" w:cs="Arial" w:eastAsia="Arial" w:hAnsi="Arial"/>
          <w:sz w:val="17"/>
          <w:szCs w:val="17"/>
          <w:color w:val="auto"/>
        </w:rPr>
        <w:t>•</w:t>
        <w:tab/>
        <w:t>Zero Trust security framework principles are utilized to minimize exposure to cyber issues by implementing strict access controls and authentication mechanisms.</w:t>
      </w:r>
    </w:p>
    <w:p>
      <w:pPr>
        <w:sectPr>
          <w:pgSz w:w="11900" w:h="16838" w:orient="portrait"/>
          <w:cols w:equalWidth="0" w:num="1">
            <w:col w:w="9699"/>
          </w:cols>
          <w:pgMar w:left="760" w:top="94" w:right="1440" w:bottom="1120" w:gutter="0" w:footer="0" w:header="0"/>
          <w:type w:val="continuous"/>
        </w:sectPr>
      </w:pPr>
    </w:p>
    <w:p>
      <w:pPr>
        <w:spacing w:after="0" w:line="376"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 xml:space="preserve">Page 20  </w:t>
      </w:r>
      <w:r>
        <w:rPr>
          <w:rFonts w:ascii="Arial" w:cs="Arial" w:eastAsia="Arial" w:hAnsi="Arial"/>
          <w:sz w:val="12"/>
          <w:szCs w:val="12"/>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121285</wp:posOffset>
            </wp:positionV>
            <wp:extent cx="66141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2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3860" w:right="499" w:hanging="179"/>
        <w:spacing w:after="0" w:line="298" w:lineRule="auto"/>
        <w:tabs>
          <w:tab w:leader="none" w:pos="3840" w:val="left"/>
        </w:tabs>
        <w:rPr>
          <w:sz w:val="20"/>
          <w:szCs w:val="20"/>
          <w:color w:val="auto"/>
        </w:rPr>
      </w:pPr>
      <w:r>
        <w:rPr>
          <w:rFonts w:ascii="Arial" w:cs="Arial" w:eastAsia="Arial" w:hAnsi="Arial"/>
          <w:sz w:val="17"/>
          <w:szCs w:val="17"/>
          <w:color w:val="auto"/>
        </w:rPr>
        <w:t>•</w:t>
        <w:tab/>
        <w:t>Our teams engage in cross-organization exercises to ensure response plans are clearly established.</w:t>
      </w:r>
    </w:p>
    <w:p>
      <w:pPr>
        <w:spacing w:after="0" w:line="63" w:lineRule="exact"/>
        <w:rPr>
          <w:sz w:val="20"/>
          <w:szCs w:val="20"/>
          <w:color w:val="auto"/>
        </w:rPr>
      </w:pPr>
    </w:p>
    <w:p>
      <w:pPr>
        <w:ind w:left="3860" w:right="419" w:hanging="179"/>
        <w:spacing w:after="0" w:line="277" w:lineRule="auto"/>
        <w:tabs>
          <w:tab w:leader="none" w:pos="3840" w:val="left"/>
        </w:tabs>
        <w:rPr>
          <w:sz w:val="20"/>
          <w:szCs w:val="20"/>
          <w:color w:val="auto"/>
        </w:rPr>
      </w:pPr>
      <w:r>
        <w:rPr>
          <w:rFonts w:ascii="Arial" w:cs="Arial" w:eastAsia="Arial" w:hAnsi="Arial"/>
          <w:sz w:val="17"/>
          <w:szCs w:val="17"/>
          <w:color w:val="auto"/>
        </w:rPr>
        <w:t>•</w:t>
        <w:tab/>
        <w:t>CrowdStrike personnel, including certain contractors, undergo background checks, and CrowdStrike employee activity is monitored on CrowdStrike systems, where permitted by law.</w:t>
      </w:r>
    </w:p>
    <w:p>
      <w:pPr>
        <w:spacing w:after="0" w:line="94" w:lineRule="exact"/>
        <w:rPr>
          <w:sz w:val="20"/>
          <w:szCs w:val="20"/>
          <w:color w:val="auto"/>
        </w:rPr>
      </w:pPr>
    </w:p>
    <w:p>
      <w:pPr>
        <w:ind w:left="3860" w:right="579" w:hanging="179"/>
        <w:spacing w:after="0" w:line="277" w:lineRule="auto"/>
        <w:tabs>
          <w:tab w:leader="none" w:pos="3840" w:val="left"/>
        </w:tabs>
        <w:rPr>
          <w:sz w:val="20"/>
          <w:szCs w:val="20"/>
          <w:color w:val="auto"/>
        </w:rPr>
      </w:pPr>
      <w:r>
        <w:rPr>
          <w:rFonts w:ascii="Arial" w:cs="Arial" w:eastAsia="Arial" w:hAnsi="Arial"/>
          <w:sz w:val="17"/>
          <w:szCs w:val="17"/>
          <w:color w:val="auto"/>
        </w:rPr>
        <w:t>•</w:t>
        <w:tab/>
        <w:t>Our programs and systems undergo rigorous audits where applicable (including SOC II, FedRAMP and ISO 42001) by independent organizations which help validate the security posture.</w:t>
      </w:r>
    </w:p>
    <w:p>
      <w:pPr>
        <w:spacing w:after="0" w:line="94" w:lineRule="exact"/>
        <w:rPr>
          <w:sz w:val="20"/>
          <w:szCs w:val="20"/>
          <w:color w:val="auto"/>
        </w:rPr>
      </w:pPr>
    </w:p>
    <w:p>
      <w:pPr>
        <w:ind w:left="3860" w:right="439" w:hanging="179"/>
        <w:spacing w:after="0" w:line="263" w:lineRule="auto"/>
        <w:tabs>
          <w:tab w:leader="none" w:pos="3840" w:val="left"/>
        </w:tabs>
        <w:rPr>
          <w:sz w:val="20"/>
          <w:szCs w:val="20"/>
          <w:color w:val="auto"/>
        </w:rPr>
      </w:pPr>
      <w:r>
        <w:rPr>
          <w:rFonts w:ascii="Arial" w:cs="Arial" w:eastAsia="Arial" w:hAnsi="Arial"/>
          <w:sz w:val="17"/>
          <w:szCs w:val="17"/>
          <w:color w:val="auto"/>
        </w:rPr>
        <w:t>•</w:t>
        <w:tab/>
        <w:t>CrowdStrike’s AI governance aligns with industry standards, utilizing a structured approach encompassing people, processes, and technology. In fiscal 2026, we launched an internal AI governance committee, composed of a cross-functional management team. The committee provides strategic oversight, risk management, and policy direction to promote the development, deployment, and use of our AI systems in a responsible, secure, and compliant manner.</w:t>
      </w:r>
    </w:p>
    <w:p>
      <w:pPr>
        <w:spacing w:after="0" w:line="9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Our internal security testing team engages with external parties to</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validate our external and internal security posture through quarterly</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penetration testing led by top-tier security firms as well as actively</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engaging with the researcher community via the CrowdStrike Bug</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Bounty program.</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All CrowdStrike employees are required to take annual information</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security and compliance training.</w:t>
      </w:r>
    </w:p>
    <w:p>
      <w:pPr>
        <w:spacing w:after="0" w:line="141"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CrowdStrike maintains a visionary product security capability, dedicated</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to protecting CrowdStrike’s customer-facing products.</w:t>
      </w:r>
    </w:p>
    <w:p>
      <w:pPr>
        <w:spacing w:after="0" w:line="243" w:lineRule="exact"/>
        <w:rPr>
          <w:sz w:val="20"/>
          <w:szCs w:val="20"/>
          <w:color w:val="auto"/>
        </w:rPr>
      </w:pPr>
    </w:p>
    <w:p>
      <w:pPr>
        <w:ind w:left="800"/>
        <w:spacing w:after="0"/>
        <w:tabs>
          <w:tab w:leader="none" w:pos="3500" w:val="left"/>
        </w:tabs>
        <w:rPr>
          <w:sz w:val="20"/>
          <w:szCs w:val="20"/>
          <w:color w:val="auto"/>
        </w:rPr>
      </w:pPr>
      <w:r>
        <w:rPr>
          <w:rFonts w:ascii="Arial" w:cs="Arial" w:eastAsia="Arial" w:hAnsi="Arial"/>
          <w:sz w:val="21"/>
          <w:szCs w:val="21"/>
          <w:b w:val="1"/>
          <w:bCs w:val="1"/>
          <w:i w:val="1"/>
          <w:iCs w:val="1"/>
          <w:color w:val="auto"/>
        </w:rPr>
        <w:t>Securing our Future</w:t>
      </w:r>
      <w:r>
        <w:rPr>
          <w:sz w:val="20"/>
          <w:szCs w:val="20"/>
          <w:color w:val="auto"/>
        </w:rPr>
        <w:tab/>
      </w:r>
      <w:r>
        <w:rPr>
          <w:rFonts w:ascii="Arial" w:cs="Arial" w:eastAsia="Arial" w:hAnsi="Arial"/>
          <w:sz w:val="17"/>
          <w:szCs w:val="17"/>
          <w:color w:val="auto"/>
        </w:rPr>
        <w:t>We are committed to protecting local and global communities by investing in</w:t>
      </w:r>
    </w:p>
    <w:p>
      <w:pPr>
        <w:ind w:left="3520" w:right="299"/>
        <w:spacing w:after="0" w:line="260" w:lineRule="auto"/>
        <w:rPr>
          <w:sz w:val="20"/>
          <w:szCs w:val="20"/>
          <w:color w:val="auto"/>
        </w:rPr>
      </w:pPr>
      <w:r>
        <w:rPr>
          <w:rFonts w:ascii="Arial" w:cs="Arial" w:eastAsia="Arial" w:hAnsi="Arial"/>
          <w:sz w:val="17"/>
          <w:szCs w:val="17"/>
          <w:color w:val="auto"/>
        </w:rPr>
        <w:t>programs that keep our industry secure, help advance important causes and that nurture the next generation of talent. In fiscal 2026, CrowdStrike funded a variety of scholarships and grants to help develop the next generation of talent and resources in cybersecurity and AI across the globe through the CrowdStrike Foundation (managed through our donor advised fund at Charities Aid Foundation), corporate-directed giving and corporate-matching. Major programs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-798830</wp:posOffset>
            </wp:positionV>
            <wp:extent cx="705485" cy="763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5485" cy="763270"/>
                    </a:xfrm>
                    <a:prstGeom prst="rect">
                      <a:avLst/>
                    </a:prstGeom>
                    <a:noFill/>
                  </pic:spPr>
                </pic:pic>
              </a:graphicData>
            </a:graphic>
          </wp:anchor>
        </w:drawing>
      </w:r>
    </w:p>
    <w:p>
      <w:pPr>
        <w:spacing w:after="0" w:line="76"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NextGen Scholarship Program for undergraduate and graduate students</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studying cybersecurity and/or AI.</w:t>
      </w:r>
    </w:p>
    <w:p>
      <w:pPr>
        <w:spacing w:after="0" w:line="141" w:lineRule="exact"/>
        <w:rPr>
          <w:sz w:val="20"/>
          <w:szCs w:val="20"/>
          <w:color w:val="auto"/>
        </w:rPr>
      </w:pPr>
    </w:p>
    <w:p>
      <w:pPr>
        <w:ind w:left="3860" w:right="399" w:hanging="179"/>
        <w:spacing w:after="0" w:line="267" w:lineRule="auto"/>
        <w:tabs>
          <w:tab w:leader="none" w:pos="3840" w:val="left"/>
        </w:tabs>
        <w:rPr>
          <w:sz w:val="20"/>
          <w:szCs w:val="20"/>
          <w:color w:val="auto"/>
        </w:rPr>
      </w:pPr>
      <w:r>
        <w:rPr>
          <w:rFonts w:ascii="Arial" w:cs="Arial" w:eastAsia="Arial" w:hAnsi="Arial"/>
          <w:sz w:val="17"/>
          <w:szCs w:val="17"/>
          <w:color w:val="auto"/>
        </w:rPr>
        <w:t>•</w:t>
        <w:tab/>
        <w:t>Philanthropic investments in our communities through our support of more than 100 nonprofits globally, including: Operation Motorsport Foundation, Center for Infrastructure Assurance and Security, India STEM Foundation, Big Brothers Big Sisters, Junior Achievement, Cyber Texas, BRDG to Connect, and more.</w:t>
      </w:r>
    </w:p>
    <w:p>
      <w:pPr>
        <w:spacing w:after="0" w:line="102"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 Paid time off through our CrowdStrike Cares program to support local</w:t>
      </w:r>
    </w:p>
    <w:p>
      <w:pPr>
        <w:spacing w:after="0" w:line="30"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communities through philanthropy, volunteering, and other activities.</w:t>
      </w:r>
    </w:p>
    <w:p>
      <w:pPr>
        <w:spacing w:after="0" w:line="128" w:lineRule="exact"/>
        <w:rPr>
          <w:sz w:val="20"/>
          <w:szCs w:val="20"/>
          <w:color w:val="auto"/>
        </w:rPr>
      </w:pPr>
    </w:p>
    <w:p>
      <w:pPr>
        <w:ind w:left="3520" w:right="459"/>
        <w:spacing w:after="0" w:line="298" w:lineRule="auto"/>
        <w:rPr>
          <w:sz w:val="20"/>
          <w:szCs w:val="20"/>
          <w:color w:val="auto"/>
        </w:rPr>
      </w:pPr>
      <w:r>
        <w:rPr>
          <w:rFonts w:ascii="Arial" w:cs="Arial" w:eastAsia="Arial" w:hAnsi="Arial"/>
          <w:sz w:val="17"/>
          <w:szCs w:val="17"/>
          <w:color w:val="auto"/>
        </w:rPr>
        <w:t>In fiscal 2026, CrowdStrike also provided select nonprofit organizations with access to its Falcon platform pro bono.</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Director Compensation</w:t>
      </w:r>
    </w:p>
    <w:p>
      <w:pPr>
        <w:spacing w:after="0" w:line="110" w:lineRule="exact"/>
        <w:rPr>
          <w:sz w:val="20"/>
          <w:szCs w:val="20"/>
          <w:color w:val="auto"/>
        </w:rPr>
      </w:pPr>
    </w:p>
    <w:p>
      <w:pPr>
        <w:ind w:left="800" w:right="239"/>
        <w:spacing w:after="0" w:line="252" w:lineRule="auto"/>
        <w:rPr>
          <w:sz w:val="20"/>
          <w:szCs w:val="20"/>
          <w:color w:val="auto"/>
        </w:rPr>
      </w:pPr>
      <w:r>
        <w:rPr>
          <w:rFonts w:ascii="Arial" w:cs="Arial" w:eastAsia="Arial" w:hAnsi="Arial"/>
          <w:sz w:val="17"/>
          <w:szCs w:val="17"/>
          <w:color w:val="auto"/>
        </w:rPr>
        <w:t>The Compensation Committee evaluates the appropriate level and form of compensation for non-employee directors and recommends compensation changes to the Board when appropriate. Under our Outside Director Compensation Policy (as amended, the “Policy”), our non-employee directors receive equity awards and cash retainers as compensation for service on our Board and certain of its committees. This Policy is intended to enable us to attract qualified directors, provide them with compensation at a level that is consistent with our compensation objectives and, in the case of equity-based compensation, align their interests with those of our stockholders. The Policy was updated in fiscal 2026.</w:t>
      </w:r>
    </w:p>
    <w:p>
      <w:pPr>
        <w:spacing w:after="0" w:line="168" w:lineRule="exact"/>
        <w:rPr>
          <w:sz w:val="20"/>
          <w:szCs w:val="20"/>
          <w:color w:val="auto"/>
        </w:rPr>
      </w:pPr>
    </w:p>
    <w:p>
      <w:pPr>
        <w:ind w:left="800" w:right="879"/>
        <w:spacing w:after="0" w:line="298" w:lineRule="auto"/>
        <w:rPr>
          <w:sz w:val="20"/>
          <w:szCs w:val="20"/>
          <w:color w:val="auto"/>
        </w:rPr>
      </w:pPr>
      <w:r>
        <w:rPr>
          <w:rFonts w:ascii="Arial" w:cs="Arial" w:eastAsia="Arial" w:hAnsi="Arial"/>
          <w:sz w:val="17"/>
          <w:szCs w:val="17"/>
          <w:color w:val="auto"/>
        </w:rPr>
        <w:t>Under this Policy, non-employee directors receive the following annual cash retainers, payable in quarterly installments:</w:t>
      </w:r>
    </w:p>
    <w:p>
      <w:pPr>
        <w:spacing w:after="0" w:line="37" w:lineRule="exact"/>
        <w:rPr>
          <w:sz w:val="20"/>
          <w:szCs w:val="20"/>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Non-executive Board chair: $50,000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Board member: $50,000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Audit Committee chair: $26,750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Audit Committee member: $12,500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Compensation Committee chair: $21,250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Compensation Committee member: $10,000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Nominating and Corporate Governance Committee chair: $14,500</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Nominating and Corporate Governance Committee member: $6,000</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Non-employee directors may elect to receive such annual cash retainers in the form of shares of common stock.</w:t>
      </w:r>
    </w:p>
    <w:p>
      <w:pPr>
        <w:spacing w:after="0" w:line="223" w:lineRule="exact"/>
        <w:rPr>
          <w:sz w:val="20"/>
          <w:szCs w:val="20"/>
          <w:color w:val="auto"/>
        </w:rPr>
      </w:pPr>
    </w:p>
    <w:p>
      <w:pPr>
        <w:ind w:left="800" w:right="259"/>
        <w:spacing w:after="0" w:line="277" w:lineRule="auto"/>
        <w:rPr>
          <w:sz w:val="20"/>
          <w:szCs w:val="20"/>
          <w:color w:val="auto"/>
        </w:rPr>
      </w:pPr>
      <w:r>
        <w:rPr>
          <w:rFonts w:ascii="Arial" w:cs="Arial" w:eastAsia="Arial" w:hAnsi="Arial"/>
          <w:sz w:val="17"/>
          <w:szCs w:val="17"/>
          <w:color w:val="auto"/>
        </w:rPr>
        <w:t>Non-employee directors also receive equity-based compensation in the form of restricted stock units (“RSUs”) with respect to shares of common stock granted pursuant to our Amended and Restated 2011 Equity Incentive Plan (“2011 Plan”) and our 2019 Equity Incentive Plan (“2019 Plan”).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Each non-employee director will be automatically granted the following awards upon first joining our Board:</w:t>
      </w:r>
    </w:p>
    <w:p>
      <w:pPr>
        <w:spacing w:after="0" w:line="118" w:lineRule="exact"/>
        <w:rPr>
          <w:sz w:val="20"/>
          <w:szCs w:val="20"/>
          <w:color w:val="auto"/>
        </w:rPr>
      </w:pPr>
    </w:p>
    <w:p>
      <w:pPr>
        <w:ind w:left="1320" w:right="399" w:hanging="179"/>
        <w:spacing w:after="0" w:line="298" w:lineRule="auto"/>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initial RSU award with a grant date fair value of $375,000, vesting annually over three years, subject to continued service on the Board; plus</w:t>
      </w:r>
    </w:p>
    <w:p>
      <w:pPr>
        <w:spacing w:after="0" w:line="37" w:lineRule="exact"/>
        <w:rPr>
          <w:rFonts w:ascii="Arial" w:cs="Arial" w:eastAsia="Arial" w:hAnsi="Arial"/>
          <w:sz w:val="17"/>
          <w:szCs w:val="17"/>
          <w:color w:val="auto"/>
        </w:rPr>
      </w:pPr>
    </w:p>
    <w:p>
      <w:pPr>
        <w:ind w:left="1320" w:right="219" w:hanging="179"/>
        <w:spacing w:after="0" w:line="265" w:lineRule="auto"/>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additional initial RSU award equal to the same number of RSUs subject to the annual RSU award provided to non-employee directors at the prior annual meeting of stockholders, pro-rated based on the director’s length of service prior to the next annual meeting of stockholders. This award will vest on the earlier of (i) the date of the next annual meeting of stockholders held after the director first joins the Board or (ii) the date on which the other directors’ annual awards described below for such year vest, subject to continued service on the Board.</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On the day of the Annual Meeting, each continuing non-employee director will be granted:</w:t>
      </w:r>
    </w:p>
    <w:p>
      <w:pPr>
        <w:spacing w:after="0" w:line="118" w:lineRule="exact"/>
        <w:rPr>
          <w:sz w:val="20"/>
          <w:szCs w:val="20"/>
          <w:color w:val="auto"/>
        </w:rPr>
      </w:pPr>
    </w:p>
    <w:p>
      <w:pPr>
        <w:jc w:val="both"/>
        <w:ind w:left="1320" w:right="179" w:hanging="179"/>
        <w:spacing w:after="0" w:line="277" w:lineRule="auto"/>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annual RSU award with a grant date fair value of $272,500, vesting in full on the earlier of (i) the one-year anniversary of the date of grant or (ii) the date of the next annual meeting of stockholders held after the date of grant, in each case, subject to continued service on the Board.</w:t>
      </w:r>
    </w:p>
    <w:p>
      <w:pPr>
        <w:spacing w:after="0" w:line="160" w:lineRule="exact"/>
        <w:rPr>
          <w:sz w:val="20"/>
          <w:szCs w:val="20"/>
          <w:color w:val="auto"/>
        </w:rPr>
      </w:pPr>
    </w:p>
    <w:p>
      <w:pPr>
        <w:ind w:left="800" w:right="439"/>
        <w:spacing w:after="0" w:line="277" w:lineRule="auto"/>
        <w:rPr>
          <w:sz w:val="20"/>
          <w:szCs w:val="20"/>
          <w:color w:val="auto"/>
        </w:rPr>
      </w:pPr>
      <w:r>
        <w:rPr>
          <w:rFonts w:ascii="Arial" w:cs="Arial" w:eastAsia="Arial" w:hAnsi="Arial"/>
          <w:sz w:val="17"/>
          <w:szCs w:val="17"/>
          <w:color w:val="auto"/>
        </w:rPr>
        <w:t>In the event of a change in control (as defined under the 2019 Plan), all of our non-employee directors’ equity awards will become fully vested, subject to such non-employee director’s continuous service through the date of such change in control.</w:t>
      </w:r>
    </w:p>
    <w:p>
      <w:pPr>
        <w:spacing w:after="0" w:line="160" w:lineRule="exact"/>
        <w:rPr>
          <w:sz w:val="20"/>
          <w:szCs w:val="20"/>
          <w:color w:val="auto"/>
        </w:rPr>
      </w:pPr>
    </w:p>
    <w:p>
      <w:pPr>
        <w:ind w:left="800" w:right="179"/>
        <w:spacing w:after="0" w:line="267" w:lineRule="auto"/>
        <w:rPr>
          <w:sz w:val="20"/>
          <w:szCs w:val="20"/>
          <w:color w:val="auto"/>
        </w:rPr>
      </w:pPr>
      <w:r>
        <w:rPr>
          <w:rFonts w:ascii="Arial" w:cs="Arial" w:eastAsia="Arial" w:hAnsi="Arial"/>
          <w:sz w:val="17"/>
          <w:szCs w:val="17"/>
          <w:color w:val="auto"/>
        </w:rPr>
        <w:t>In addition, we reimburse all our directors for their reasonable travel expenses incurred in attending meetings of our Board or committees as well as pre-approved out of pocket expenses to attend director continuing education events. Our non-employee directors may also be eligible to receive other compensation and benefits, including reasonable personal benefits and perquisites such as health insurance coverage, as determined by us from time to time.</w:t>
      </w:r>
    </w:p>
    <w:p>
      <w:pPr>
        <w:spacing w:after="0" w:line="167" w:lineRule="exact"/>
        <w:rPr>
          <w:sz w:val="20"/>
          <w:szCs w:val="20"/>
          <w:color w:val="auto"/>
        </w:rPr>
      </w:pPr>
    </w:p>
    <w:p>
      <w:pPr>
        <w:ind w:left="800" w:right="159"/>
        <w:spacing w:after="0" w:line="267" w:lineRule="auto"/>
        <w:rPr>
          <w:sz w:val="20"/>
          <w:szCs w:val="20"/>
          <w:color w:val="auto"/>
        </w:rPr>
      </w:pPr>
      <w:r>
        <w:rPr>
          <w:rFonts w:ascii="Arial" w:cs="Arial" w:eastAsia="Arial" w:hAnsi="Arial"/>
          <w:sz w:val="17"/>
          <w:szCs w:val="17"/>
          <w:color w:val="auto"/>
        </w:rPr>
        <w:t>Our 2019 Plan contains maximum limits, which were approved by our stockholders prior to our 2019 Plan becoming effective, on the aggregate amount of cash compensation and equity awards that can be paid, issued or granted to each of our non-employee directors in any fiscal year, but those maximum limits do not reflect the intended size of any potential payments or grants or a commitment to make any payments or equity award grants to our non-employee directors in the future, other than as set forth in the Policy.</w:t>
      </w:r>
    </w:p>
    <w:p>
      <w:pPr>
        <w:spacing w:after="0" w:line="38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reflects information regarding the compensation of our non-employee directors for fiscal 2026.</w:t>
      </w: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280" w:type="dxa"/>
            <w:vAlign w:val="bottom"/>
            <w:gridSpan w:val="3"/>
          </w:tcPr>
          <w:p>
            <w:pPr>
              <w:jc w:val="center"/>
              <w:ind w:left="996"/>
              <w:spacing w:after="0"/>
              <w:rPr>
                <w:sz w:val="20"/>
                <w:szCs w:val="20"/>
                <w:color w:val="auto"/>
              </w:rPr>
            </w:pPr>
            <w:r>
              <w:rPr>
                <w:rFonts w:ascii="Arial" w:cs="Arial" w:eastAsia="Arial" w:hAnsi="Arial"/>
                <w:sz w:val="14"/>
                <w:szCs w:val="14"/>
                <w:b w:val="1"/>
                <w:bCs w:val="1"/>
                <w:color w:val="auto"/>
                <w:w w:val="98"/>
              </w:rPr>
              <w:t>Fees Earned 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2780" w:type="dxa"/>
            <w:vAlign w:val="bottom"/>
          </w:tcPr>
          <w:p>
            <w:pPr>
              <w:spacing w:after="0"/>
              <w:rPr>
                <w:sz w:val="13"/>
                <w:szCs w:val="13"/>
                <w:color w:val="auto"/>
              </w:rPr>
            </w:pPr>
          </w:p>
        </w:tc>
        <w:tc>
          <w:tcPr>
            <w:tcW w:w="2140" w:type="dxa"/>
            <w:vAlign w:val="bottom"/>
            <w:gridSpan w:val="2"/>
          </w:tcPr>
          <w:p>
            <w:pPr>
              <w:jc w:val="center"/>
              <w:ind w:left="1136"/>
              <w:spacing w:after="0" w:line="157" w:lineRule="exact"/>
              <w:rPr>
                <w:sz w:val="20"/>
                <w:szCs w:val="20"/>
                <w:color w:val="auto"/>
              </w:rPr>
            </w:pPr>
            <w:r>
              <w:rPr>
                <w:rFonts w:ascii="Arial" w:cs="Arial" w:eastAsia="Arial" w:hAnsi="Arial"/>
                <w:sz w:val="14"/>
                <w:szCs w:val="14"/>
                <w:b w:val="1"/>
                <w:bCs w:val="1"/>
                <w:color w:val="auto"/>
                <w:w w:val="99"/>
              </w:rPr>
              <w:t>Paid in Cash</w:t>
            </w:r>
          </w:p>
        </w:tc>
        <w:tc>
          <w:tcPr>
            <w:tcW w:w="14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Awards</w:t>
            </w:r>
          </w:p>
        </w:tc>
        <w:tc>
          <w:tcPr>
            <w:tcW w:w="100" w:type="dxa"/>
            <w:vAlign w:val="bottom"/>
          </w:tcPr>
          <w:p>
            <w:pPr>
              <w:spacing w:after="0"/>
              <w:rPr>
                <w:sz w:val="13"/>
                <w:szCs w:val="13"/>
                <w:color w:val="auto"/>
              </w:rPr>
            </w:pPr>
          </w:p>
        </w:tc>
        <w:tc>
          <w:tcPr>
            <w:tcW w:w="700" w:type="dxa"/>
            <w:vAlign w:val="bottom"/>
            <w:gridSpan w:val="2"/>
          </w:tcPr>
          <w:p>
            <w:pPr>
              <w:jc w:val="center"/>
              <w:ind w:right="115"/>
              <w:spacing w:after="0" w:line="157" w:lineRule="exact"/>
              <w:rPr>
                <w:sz w:val="20"/>
                <w:szCs w:val="20"/>
                <w:color w:val="auto"/>
              </w:rPr>
            </w:pPr>
            <w:r>
              <w:rPr>
                <w:rFonts w:ascii="Arial" w:cs="Arial" w:eastAsia="Arial" w:hAnsi="Arial"/>
                <w:sz w:val="14"/>
                <w:szCs w:val="14"/>
                <w:b w:val="1"/>
                <w:bCs w:val="1"/>
                <w:color w:val="auto"/>
                <w:w w:val="98"/>
              </w:rPr>
              <w:t>Awards</w:t>
            </w:r>
          </w:p>
        </w:tc>
        <w:tc>
          <w:tcPr>
            <w:tcW w:w="1160" w:type="dxa"/>
            <w:vAlign w:val="bottom"/>
            <w:gridSpan w:val="3"/>
          </w:tcPr>
          <w:p>
            <w:pPr>
              <w:jc w:val="right"/>
              <w:ind w:right="115"/>
              <w:spacing w:after="0" w:line="157" w:lineRule="exact"/>
              <w:rPr>
                <w:sz w:val="20"/>
                <w:szCs w:val="20"/>
                <w:color w:val="auto"/>
              </w:rPr>
            </w:pPr>
            <w:r>
              <w:rPr>
                <w:rFonts w:ascii="Arial" w:cs="Arial" w:eastAsia="Arial" w:hAnsi="Arial"/>
                <w:sz w:val="14"/>
                <w:szCs w:val="14"/>
                <w:b w:val="1"/>
                <w:bCs w:val="1"/>
                <w:color w:val="auto"/>
                <w:w w:val="96"/>
              </w:rPr>
              <w:t>Compensation</w:t>
            </w:r>
          </w:p>
        </w:tc>
        <w:tc>
          <w:tcPr>
            <w:tcW w:w="102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Compensation</w:t>
            </w:r>
          </w:p>
        </w:tc>
      </w:tr>
      <w:tr>
        <w:trPr>
          <w:trHeight w:val="205"/>
        </w:trPr>
        <w:tc>
          <w:tcPr>
            <w:tcW w:w="278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bottom w:val="single" w:sz="8" w:color="D6515D"/>
            </w:tcBorders>
          </w:tcPr>
          <w:p>
            <w:pPr>
              <w:spacing w:after="0"/>
              <w:rPr>
                <w:sz w:val="17"/>
                <w:szCs w:val="17"/>
                <w:color w:val="auto"/>
              </w:rPr>
            </w:pPr>
          </w:p>
        </w:tc>
        <w:tc>
          <w:tcPr>
            <w:tcW w:w="720" w:type="dxa"/>
            <w:vAlign w:val="bottom"/>
            <w:tcBorders>
              <w:bottom w:val="single" w:sz="8" w:color="D6515D"/>
            </w:tcBorders>
          </w:tcPr>
          <w:p>
            <w:pPr>
              <w:jc w:val="center"/>
              <w:ind w:right="119"/>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(1)</w:t>
            </w:r>
          </w:p>
        </w:tc>
        <w:tc>
          <w:tcPr>
            <w:tcW w:w="140" w:type="dxa"/>
            <w:vAlign w:val="bottom"/>
            <w:tcBorders>
              <w:bottom w:val="single" w:sz="8" w:color="D6515D"/>
            </w:tcBorders>
          </w:tcPr>
          <w:p>
            <w:pPr>
              <w:spacing w:after="0"/>
              <w:rPr>
                <w:sz w:val="17"/>
                <w:szCs w:val="17"/>
                <w:color w:val="auto"/>
              </w:rPr>
            </w:pPr>
          </w:p>
        </w:tc>
        <w:tc>
          <w:tcPr>
            <w:tcW w:w="780" w:type="dxa"/>
            <w:vAlign w:val="bottom"/>
            <w:tcBorders>
              <w:bottom w:val="single" w:sz="8" w:color="D6515D"/>
            </w:tcBorders>
          </w:tcPr>
          <w:p>
            <w:pPr>
              <w:jc w:val="center"/>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(2)</w:t>
            </w:r>
          </w:p>
        </w:tc>
        <w:tc>
          <w:tcPr>
            <w:tcW w:w="100" w:type="dxa"/>
            <w:vAlign w:val="bottom"/>
            <w:tcBorders>
              <w:bottom w:val="single" w:sz="8" w:color="D6515D"/>
            </w:tcBorders>
          </w:tcPr>
          <w:p>
            <w:pPr>
              <w:ind w:left="6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515D"/>
            </w:tcBorders>
          </w:tcPr>
          <w:p>
            <w:pPr>
              <w:jc w:val="right"/>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D6515D"/>
            </w:tcBorders>
          </w:tcPr>
          <w:p>
            <w:pPr>
              <w:spacing w:after="0"/>
              <w:rPr>
                <w:sz w:val="17"/>
                <w:szCs w:val="17"/>
                <w:color w:val="auto"/>
              </w:rPr>
            </w:pPr>
          </w:p>
        </w:tc>
        <w:tc>
          <w:tcPr>
            <w:tcW w:w="580" w:type="dxa"/>
            <w:vAlign w:val="bottom"/>
            <w:tcBorders>
              <w:bottom w:val="single" w:sz="8" w:color="D6515D"/>
            </w:tcBorders>
          </w:tcPr>
          <w:p>
            <w:pPr>
              <w:jc w:val="right"/>
              <w:ind w:right="141"/>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 xml:space="preserve"> (3)</w:t>
            </w:r>
          </w:p>
        </w:tc>
        <w:tc>
          <w:tcPr>
            <w:tcW w:w="300" w:type="dxa"/>
            <w:vAlign w:val="bottom"/>
            <w:tcBorders>
              <w:bottom w:val="single" w:sz="8" w:color="D6515D"/>
            </w:tcBorders>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7"/>
                <w:szCs w:val="17"/>
                <w:color w:val="auto"/>
              </w:rPr>
              <w:t>Roxanne S. Austin</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80,187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860" w:type="dxa"/>
            <w:vAlign w:val="bottom"/>
            <w:gridSpan w:val="2"/>
          </w:tcPr>
          <w:p>
            <w:pPr>
              <w:jc w:val="right"/>
              <w:ind w:right="1"/>
              <w:spacing w:after="0"/>
              <w:rPr>
                <w:sz w:val="20"/>
                <w:szCs w:val="20"/>
                <w:color w:val="auto"/>
              </w:rPr>
            </w:pPr>
            <w:r>
              <w:rPr>
                <w:rFonts w:ascii="Arial" w:cs="Arial" w:eastAsia="Arial" w:hAnsi="Arial"/>
                <w:sz w:val="17"/>
                <w:szCs w:val="17"/>
                <w:color w:val="auto"/>
              </w:rPr>
              <w:t>​ 43,681</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​396,043</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35"/>
        </w:trPr>
        <w:tc>
          <w:tcPr>
            <w:tcW w:w="2780" w:type="dxa"/>
            <w:vAlign w:val="bottom"/>
          </w:tcPr>
          <w:p>
            <w:pPr>
              <w:spacing w:after="0"/>
              <w:rPr>
                <w:sz w:val="20"/>
                <w:szCs w:val="20"/>
                <w:color w:val="auto"/>
              </w:rPr>
            </w:pPr>
            <w:r>
              <w:rPr>
                <w:rFonts w:ascii="Arial" w:cs="Arial" w:eastAsia="Arial" w:hAnsi="Arial"/>
                <w:sz w:val="17"/>
                <w:szCs w:val="17"/>
                <w:color w:val="auto"/>
              </w:rPr>
              <w:t>Cary J. Davis</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66,563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​338,738</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35"/>
        </w:trPr>
        <w:tc>
          <w:tcPr>
            <w:tcW w:w="2780" w:type="dxa"/>
            <w:vAlign w:val="bottom"/>
          </w:tcPr>
          <w:p>
            <w:pPr>
              <w:spacing w:after="0"/>
              <w:rPr>
                <w:sz w:val="20"/>
                <w:szCs w:val="20"/>
                <w:color w:val="auto"/>
              </w:rPr>
            </w:pPr>
            <w:r>
              <w:rPr>
                <w:rFonts w:ascii="Arial" w:cs="Arial" w:eastAsia="Arial" w:hAnsi="Arial"/>
                <w:sz w:val="17"/>
                <w:szCs w:val="17"/>
                <w:color w:val="auto"/>
              </w:rPr>
              <w:t>Johanna Flower</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45,833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860" w:type="dxa"/>
            <w:vAlign w:val="bottom"/>
            <w:gridSpan w:val="2"/>
          </w:tcPr>
          <w:p>
            <w:pPr>
              <w:jc w:val="right"/>
              <w:ind w:right="1"/>
              <w:spacing w:after="0"/>
              <w:rPr>
                <w:sz w:val="20"/>
                <w:szCs w:val="20"/>
                <w:color w:val="auto"/>
              </w:rPr>
            </w:pPr>
            <w:r>
              <w:rPr>
                <w:rFonts w:ascii="Arial" w:cs="Arial" w:eastAsia="Arial" w:hAnsi="Arial"/>
                <w:sz w:val="17"/>
                <w:szCs w:val="17"/>
                <w:color w:val="auto"/>
              </w:rPr>
              <w:t>​ 61,941</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​379,949</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Sameer K. Gandhi</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55,833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​328,008</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Denis J. O’Leary</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51,417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​323,592</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Laura J. Schumacher</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58,458</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​330,633</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248"/>
        </w:trPr>
        <w:tc>
          <w:tcPr>
            <w:tcW w:w="2780" w:type="dxa"/>
            <w:vAlign w:val="bottom"/>
          </w:tcPr>
          <w:p>
            <w:pPr>
              <w:spacing w:after="0"/>
              <w:rPr>
                <w:sz w:val="20"/>
                <w:szCs w:val="20"/>
                <w:color w:val="auto"/>
              </w:rPr>
            </w:pPr>
            <w:r>
              <w:rPr>
                <w:rFonts w:ascii="Arial" w:cs="Arial" w:eastAsia="Arial" w:hAnsi="Arial"/>
                <w:sz w:val="17"/>
                <w:szCs w:val="17"/>
                <w:color w:val="auto"/>
              </w:rPr>
              <w:t>Godfrey R. Sullivan</w:t>
            </w:r>
          </w:p>
        </w:tc>
        <w:tc>
          <w:tcPr>
            <w:tcW w:w="1420" w:type="dxa"/>
            <w:vAlign w:val="bottom"/>
          </w:tcPr>
          <w:p>
            <w:pPr>
              <w:ind w:left="13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9"/>
              <w:spacing w:after="0"/>
              <w:rPr>
                <w:sz w:val="20"/>
                <w:szCs w:val="20"/>
                <w:color w:val="auto"/>
              </w:rPr>
            </w:pPr>
            <w:r>
              <w:rPr>
                <w:rFonts w:ascii="Arial" w:cs="Arial" w:eastAsia="Arial" w:hAnsi="Arial"/>
                <w:sz w:val="17"/>
                <w:szCs w:val="17"/>
                <w:color w:val="auto"/>
              </w:rPr>
              <w:t>58,333</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rPr>
                <w:sz w:val="20"/>
                <w:szCs w:val="20"/>
                <w:color w:val="auto"/>
              </w:rPr>
            </w:pP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rPr>
                <w:sz w:val="20"/>
                <w:szCs w:val="20"/>
                <w:color w:val="auto"/>
              </w:rPr>
            </w:pPr>
            <w:r>
              <w:rPr>
                <w:rFonts w:ascii="Arial" w:cs="Arial" w:eastAsia="Arial" w:hAnsi="Arial"/>
                <w:sz w:val="17"/>
                <w:szCs w:val="17"/>
                <w:color w:val="auto"/>
              </w:rPr>
              <w:t>​330,508</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r>
        <w:trPr>
          <w:trHeight w:val="314"/>
        </w:trPr>
        <w:tc>
          <w:tcPr>
            <w:tcW w:w="2780" w:type="dxa"/>
            <w:vAlign w:val="bottom"/>
          </w:tcPr>
          <w:p>
            <w:pPr>
              <w:spacing w:after="0"/>
              <w:rPr>
                <w:sz w:val="20"/>
                <w:szCs w:val="20"/>
                <w:color w:val="auto"/>
              </w:rPr>
            </w:pPr>
            <w:r>
              <w:rPr>
                <w:rFonts w:ascii="Arial" w:cs="Arial" w:eastAsia="Arial" w:hAnsi="Arial"/>
                <w:sz w:val="17"/>
                <w:szCs w:val="17"/>
                <w:color w:val="auto"/>
              </w:rPr>
              <w:t>Gerhard Watzinger</w:t>
            </w:r>
          </w:p>
        </w:tc>
        <w:tc>
          <w:tcPr>
            <w:tcW w:w="2140" w:type="dxa"/>
            <w:vAlign w:val="bottom"/>
            <w:gridSpan w:val="2"/>
          </w:tcPr>
          <w:p>
            <w:pPr>
              <w:jc w:val="right"/>
              <w:ind w:right="59"/>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113,917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center"/>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272,175</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480" w:type="dxa"/>
            <w:vAlign w:val="bottom"/>
          </w:tcPr>
          <w:p>
            <w:pPr>
              <w:jc w:val="center"/>
              <w:spacing w:after="0" w:line="313" w:lineRule="exact"/>
              <w:rPr>
                <w:sz w:val="20"/>
                <w:szCs w:val="20"/>
                <w:color w:val="auto"/>
              </w:rPr>
            </w:pPr>
            <w:r>
              <w:rPr>
                <w:rFonts w:ascii="Arial" w:cs="Arial" w:eastAsia="Arial" w:hAnsi="Arial"/>
                <w:sz w:val="17"/>
                <w:szCs w:val="17"/>
                <w:color w:val="auto"/>
              </w:rPr>
              <w:t>​</w:t>
            </w:r>
            <w:r>
              <w:rPr>
                <w:rFonts w:ascii="Arial" w:cs="Arial" w:eastAsia="Arial" w:hAnsi="Arial"/>
                <w:sz w:val="34"/>
                <w:szCs w:val="34"/>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860" w:type="dxa"/>
            <w:vAlign w:val="bottom"/>
            <w:gridSpan w:val="2"/>
          </w:tcPr>
          <w:p>
            <w:pPr>
              <w:jc w:val="right"/>
              <w:ind w:right="1"/>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43,681</w:t>
            </w:r>
          </w:p>
        </w:tc>
        <w:tc>
          <w:tcPr>
            <w:tcW w:w="300" w:type="dxa"/>
            <w:vAlign w:val="bottom"/>
          </w:tcPr>
          <w:p>
            <w:pPr>
              <w:jc w:val="right"/>
              <w:spacing w:after="0"/>
              <w:rPr>
                <w:sz w:val="20"/>
                <w:szCs w:val="20"/>
                <w:color w:val="auto"/>
              </w:rPr>
            </w:pPr>
            <w:r>
              <w:rPr>
                <w:rFonts w:ascii="Arial" w:cs="Arial" w:eastAsia="Arial" w:hAnsi="Arial"/>
                <w:sz w:val="17"/>
                <w:szCs w:val="17"/>
                <w:color w:val="auto"/>
              </w:rPr>
              <w:t>​​ ​</w:t>
            </w:r>
          </w:p>
        </w:tc>
        <w:tc>
          <w:tcPr>
            <w:tcW w:w="900" w:type="dxa"/>
            <w:vAlign w:val="bottom"/>
          </w:tcPr>
          <w:p>
            <w:pPr>
              <w:jc w:val="center"/>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429,773</w:t>
            </w:r>
          </w:p>
        </w:tc>
        <w:tc>
          <w:tcPr>
            <w:tcW w:w="120" w:type="dxa"/>
            <w:vAlign w:val="bottom"/>
            <w:gridSpan w:val="2"/>
          </w:tcPr>
          <w:p>
            <w:pPr>
              <w:ind w:left="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-1127760</wp:posOffset>
            </wp:positionV>
            <wp:extent cx="5576570" cy="149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6570" cy="14922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-829310</wp:posOffset>
            </wp:positionV>
            <wp:extent cx="5576570" cy="157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-513715</wp:posOffset>
            </wp:positionV>
            <wp:extent cx="5576570" cy="157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-198755</wp:posOffset>
            </wp:positionV>
            <wp:extent cx="5576570" cy="1993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6570" cy="1993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47" w:lineRule="exact"/>
        <w:rPr>
          <w:sz w:val="20"/>
          <w:szCs w:val="20"/>
          <w:color w:val="auto"/>
        </w:rPr>
      </w:pPr>
    </w:p>
    <w:p>
      <w:pPr>
        <w:ind w:left="1140" w:right="259" w:hanging="347"/>
        <w:spacing w:after="0" w:line="261"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Non-employee directors may elect to receive their annual cash retainer in the form of shares of common stock. The following table provides the number of shares of common stock received in lieu of cash by each non-employee director for fiscal 2026:</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680" w:type="dxa"/>
            <w:vAlign w:val="bottom"/>
          </w:tcPr>
          <w:p>
            <w:pPr>
              <w:jc w:val="center"/>
              <w:ind w:left="353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57"/>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680" w:type="dxa"/>
            <w:vAlign w:val="bottom"/>
          </w:tcPr>
          <w:p>
            <w:pPr>
              <w:jc w:val="center"/>
              <w:ind w:left="351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205"/>
        </w:trPr>
        <w:tc>
          <w:tcPr>
            <w:tcW w:w="3780" w:type="dxa"/>
            <w:vAlign w:val="bottom"/>
            <w:vMerge w:val="continue"/>
          </w:tcPr>
          <w:p>
            <w:pPr>
              <w:spacing w:after="0"/>
              <w:rPr>
                <w:sz w:val="17"/>
                <w:szCs w:val="17"/>
                <w:color w:val="auto"/>
              </w:rPr>
            </w:pPr>
          </w:p>
        </w:tc>
        <w:tc>
          <w:tcPr>
            <w:tcW w:w="4680" w:type="dxa"/>
            <w:vAlign w:val="bottom"/>
          </w:tcPr>
          <w:p>
            <w:pPr>
              <w:ind w:left="3400"/>
              <w:spacing w:after="0"/>
              <w:rPr>
                <w:sz w:val="20"/>
                <w:szCs w:val="20"/>
                <w:color w:val="auto"/>
              </w:rPr>
            </w:pPr>
            <w:r>
              <w:rPr>
                <w:rFonts w:ascii="Arial" w:cs="Arial" w:eastAsia="Arial" w:hAnsi="Arial"/>
                <w:sz w:val="14"/>
                <w:szCs w:val="14"/>
                <w:b w:val="1"/>
                <w:bCs w:val="1"/>
                <w:color w:val="auto"/>
              </w:rPr>
              <w:t>​ ​    Received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-7620</wp:posOffset>
            </wp:positionV>
            <wp:extent cx="5352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52415" cy="8255"/>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4440" w:type="dxa"/>
            <w:vAlign w:val="bottom"/>
          </w:tcPr>
          <w:p>
            <w:pPr>
              <w:spacing w:after="0"/>
              <w:rPr>
                <w:sz w:val="20"/>
                <w:szCs w:val="20"/>
                <w:color w:val="auto"/>
              </w:rPr>
            </w:pPr>
            <w:r>
              <w:rPr>
                <w:rFonts w:ascii="Arial" w:cs="Arial" w:eastAsia="Arial" w:hAnsi="Arial"/>
                <w:sz w:val="17"/>
                <w:szCs w:val="17"/>
                <w:color w:val="auto"/>
              </w:rPr>
              <w:t>Cary J. Davis</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​​142</w:t>
            </w:r>
          </w:p>
        </w:tc>
      </w:tr>
      <w:tr>
        <w:trPr>
          <w:trHeight w:val="243"/>
        </w:trPr>
        <w:tc>
          <w:tcPr>
            <w:tcW w:w="4440" w:type="dxa"/>
            <w:vAlign w:val="bottom"/>
          </w:tcPr>
          <w:p>
            <w:pPr>
              <w:spacing w:after="0"/>
              <w:rPr>
                <w:sz w:val="20"/>
                <w:szCs w:val="20"/>
                <w:color w:val="auto"/>
              </w:rPr>
            </w:pPr>
            <w:r>
              <w:rPr>
                <w:rFonts w:ascii="Arial" w:cs="Arial" w:eastAsia="Arial" w:hAnsi="Arial"/>
                <w:sz w:val="17"/>
                <w:szCs w:val="17"/>
                <w:color w:val="auto"/>
              </w:rPr>
              <w:t>Johanna Flower</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 96</w:t>
            </w:r>
          </w:p>
        </w:tc>
      </w:tr>
      <w:tr>
        <w:trPr>
          <w:trHeight w:val="248"/>
        </w:trPr>
        <w:tc>
          <w:tcPr>
            <w:tcW w:w="4440" w:type="dxa"/>
            <w:vAlign w:val="bottom"/>
          </w:tcPr>
          <w:p>
            <w:pPr>
              <w:spacing w:after="0"/>
              <w:rPr>
                <w:sz w:val="20"/>
                <w:szCs w:val="20"/>
                <w:color w:val="auto"/>
              </w:rPr>
            </w:pPr>
            <w:r>
              <w:rPr>
                <w:rFonts w:ascii="Arial" w:cs="Arial" w:eastAsia="Arial" w:hAnsi="Arial"/>
                <w:sz w:val="17"/>
                <w:szCs w:val="17"/>
                <w:color w:val="auto"/>
              </w:rPr>
              <w:t>Sameer K. Gandhi</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 119</w:t>
            </w:r>
          </w:p>
        </w:tc>
      </w:tr>
      <w:tr>
        <w:trPr>
          <w:trHeight w:val="248"/>
        </w:trPr>
        <w:tc>
          <w:tcPr>
            <w:tcW w:w="4440" w:type="dxa"/>
            <w:vAlign w:val="bottom"/>
          </w:tcPr>
          <w:p>
            <w:pPr>
              <w:spacing w:after="0"/>
              <w:rPr>
                <w:sz w:val="20"/>
                <w:szCs w:val="20"/>
                <w:color w:val="auto"/>
              </w:rPr>
            </w:pPr>
            <w:r>
              <w:rPr>
                <w:rFonts w:ascii="Arial" w:cs="Arial" w:eastAsia="Arial" w:hAnsi="Arial"/>
                <w:sz w:val="17"/>
                <w:szCs w:val="17"/>
                <w:color w:val="auto"/>
              </w:rPr>
              <w:t>Denis J. O’Leary</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 110</w:t>
            </w:r>
          </w:p>
        </w:tc>
      </w:tr>
      <w:tr>
        <w:trPr>
          <w:trHeight w:val="248"/>
        </w:trPr>
        <w:tc>
          <w:tcPr>
            <w:tcW w:w="4440" w:type="dxa"/>
            <w:vAlign w:val="bottom"/>
          </w:tcPr>
          <w:p>
            <w:pPr>
              <w:spacing w:after="0"/>
              <w:rPr>
                <w:sz w:val="20"/>
                <w:szCs w:val="20"/>
                <w:color w:val="auto"/>
              </w:rPr>
            </w:pPr>
            <w:r>
              <w:rPr>
                <w:rFonts w:ascii="Arial" w:cs="Arial" w:eastAsia="Arial" w:hAnsi="Arial"/>
                <w:sz w:val="17"/>
                <w:szCs w:val="17"/>
                <w:color w:val="auto"/>
              </w:rPr>
              <w:t>Laura J. Schumacher</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17"/>
                <w:szCs w:val="17"/>
                <w:color w:val="auto"/>
              </w:rPr>
              <w:t>​​125</w:t>
            </w:r>
          </w:p>
        </w:tc>
      </w:tr>
      <w:tr>
        <w:trPr>
          <w:trHeight w:val="456"/>
        </w:trPr>
        <w:tc>
          <w:tcPr>
            <w:tcW w:w="4440" w:type="dxa"/>
            <w:vAlign w:val="bottom"/>
          </w:tcPr>
          <w:p>
            <w:pPr>
              <w:spacing w:after="0"/>
              <w:rPr>
                <w:sz w:val="20"/>
                <w:szCs w:val="20"/>
                <w:color w:val="auto"/>
              </w:rPr>
            </w:pPr>
            <w:r>
              <w:rPr>
                <w:rFonts w:ascii="Arial" w:cs="Arial" w:eastAsia="Arial" w:hAnsi="Arial"/>
                <w:sz w:val="17"/>
                <w:szCs w:val="17"/>
                <w:color w:val="auto"/>
              </w:rPr>
              <w:t>Gerhard Watzinger</w:t>
            </w:r>
          </w:p>
        </w:tc>
        <w:tc>
          <w:tcPr>
            <w:tcW w:w="3100" w:type="dxa"/>
            <w:vAlign w:val="bottom"/>
          </w:tcPr>
          <w:p>
            <w:pPr>
              <w:ind w:left="2800"/>
              <w:spacing w:after="0"/>
              <w:rPr>
                <w:sz w:val="20"/>
                <w:szCs w:val="20"/>
                <w:color w:val="auto"/>
              </w:rPr>
            </w:pPr>
            <w:r>
              <w:rPr>
                <w:rFonts w:ascii="Arial" w:cs="Arial" w:eastAsia="Arial" w:hAnsi="Arial"/>
                <w:sz w:val="17"/>
                <w:szCs w:val="17"/>
                <w:color w:val="auto"/>
              </w:rPr>
              <w:t>​ ​</w:t>
            </w:r>
          </w:p>
        </w:tc>
        <w:tc>
          <w:tcPr>
            <w:tcW w:w="540" w:type="dxa"/>
            <w:vAlign w:val="bottom"/>
          </w:tcPr>
          <w:p>
            <w:pPr>
              <w:ind w:left="160"/>
              <w:spacing w:after="0"/>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-929640</wp:posOffset>
            </wp:positionV>
            <wp:extent cx="5352415" cy="149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52415" cy="149225"/>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-622935</wp:posOffset>
            </wp:positionV>
            <wp:extent cx="5352415" cy="157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52415" cy="15748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-307340</wp:posOffset>
            </wp:positionV>
            <wp:extent cx="5352415" cy="1993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52415" cy="199390"/>
                    </a:xfrm>
                    <a:prstGeom prst="rect">
                      <a:avLst/>
                    </a:prstGeom>
                    <a:noFill/>
                  </pic:spPr>
                </pic:pic>
              </a:graphicData>
            </a:graphic>
          </wp:anchor>
        </w:drawing>
      </w:r>
    </w:p>
    <w:p>
      <w:pPr>
        <w:ind w:left="1140" w:right="40" w:hanging="347"/>
        <w:spacing w:after="0" w:line="266" w:lineRule="auto"/>
        <w:tabs>
          <w:tab w:leader="none" w:pos="11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amounts in this column reflect the grant date fair values of the restricted stock units granted to our non-employee directors during fiscal 2026, calculated in accordance with FASB ASC Topic 718, excluding the effect of estimated forfeitures and the value of restricted stock units granted in lieu of the director’s annual cash retainer as described in footnote 1 above. The actual value, if any, realized by our non-employee directors for these awards is a function of the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42" w:lineRule="exact"/>
        <w:rPr>
          <w:sz w:val="20"/>
          <w:szCs w:val="20"/>
          <w:color w:val="auto"/>
        </w:rPr>
      </w:pPr>
    </w:p>
    <w:p>
      <w:pPr>
        <w:sectPr>
          <w:pgSz w:w="11900" w:h="16838" w:orient="portrait"/>
          <w:cols w:equalWidth="0" w:num="2">
            <w:col w:w="9220" w:space="320"/>
            <w:col w:w="159"/>
          </w:cols>
          <w:pgMar w:left="760" w:top="94" w:right="1440" w:bottom="1440" w:gutter="0" w:footer="0" w:header="0"/>
          <w:type w:val="continuous"/>
        </w:sectPr>
      </w:pPr>
    </w:p>
    <w:p>
      <w:pPr>
        <w:ind w:left="1140" w:right="139"/>
        <w:spacing w:after="0" w:line="255" w:lineRule="auto"/>
        <w:rPr>
          <w:sz w:val="20"/>
          <w:szCs w:val="20"/>
          <w:color w:val="auto"/>
        </w:rPr>
      </w:pPr>
      <w:r>
        <w:rPr>
          <w:rFonts w:ascii="Arial" w:cs="Arial" w:eastAsia="Arial" w:hAnsi="Arial"/>
          <w:sz w:val="16"/>
          <w:szCs w:val="16"/>
          <w:color w:val="auto"/>
        </w:rPr>
        <w:t>value of the shares underlying these awards if and when they vest. For additional information on how we account for equity-based compensation, see Note 8 to our audited consolidated financial statements included in our Annual Report on Form 10-K for fiscal 2026, which was filed with the SEC on March 5, 2026.</w:t>
      </w:r>
    </w:p>
    <w:p>
      <w:pPr>
        <w:spacing w:after="0" w:line="44" w:lineRule="exact"/>
        <w:rPr>
          <w:sz w:val="20"/>
          <w:szCs w:val="20"/>
          <w:color w:val="auto"/>
        </w:rPr>
      </w:pPr>
    </w:p>
    <w:p>
      <w:pPr>
        <w:ind w:left="1140" w:hanging="347"/>
        <w:spacing w:after="0"/>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entry represents the value of health insurance benefits provided to the respective director during the fiscal year.</w:t>
      </w:r>
    </w:p>
    <w:p>
      <w:pPr>
        <w:spacing w:after="0" w:line="216" w:lineRule="exact"/>
        <w:rPr>
          <w:sz w:val="20"/>
          <w:szCs w:val="20"/>
          <w:color w:val="auto"/>
        </w:rPr>
      </w:pPr>
    </w:p>
    <w:p>
      <w:pPr>
        <w:ind w:left="800" w:right="499"/>
        <w:spacing w:after="0" w:line="298" w:lineRule="auto"/>
        <w:rPr>
          <w:sz w:val="20"/>
          <w:szCs w:val="20"/>
          <w:color w:val="auto"/>
        </w:rPr>
      </w:pPr>
      <w:r>
        <w:rPr>
          <w:rFonts w:ascii="Arial" w:cs="Arial" w:eastAsia="Arial" w:hAnsi="Arial"/>
          <w:sz w:val="17"/>
          <w:szCs w:val="17"/>
          <w:color w:val="auto"/>
        </w:rPr>
        <w:t>As of January 31, 2026, the aggregate number of shares subject to outstanding equity awards held by our non-employee directors was: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540" w:type="dxa"/>
            <w:vAlign w:val="bottom"/>
          </w:tcPr>
          <w:p>
            <w:pPr>
              <w:jc w:val="center"/>
              <w:ind w:left="257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93"/>
              <w:spacing w:after="0"/>
              <w:rPr>
                <w:sz w:val="20"/>
                <w:szCs w:val="20"/>
                <w:color w:val="auto"/>
              </w:rPr>
            </w:pPr>
            <w:r>
              <w:rPr>
                <w:rFonts w:ascii="Arial" w:cs="Arial" w:eastAsia="Arial" w:hAnsi="Arial"/>
                <w:sz w:val="14"/>
                <w:szCs w:val="14"/>
                <w:b w:val="1"/>
                <w:bCs w:val="1"/>
                <w:color w:val="auto"/>
                <w:w w:val="98"/>
              </w:rPr>
              <w:t>Shares</w:t>
            </w:r>
          </w:p>
        </w:tc>
      </w:tr>
      <w:tr>
        <w:trPr>
          <w:trHeight w:val="157"/>
        </w:trPr>
        <w:tc>
          <w:tcPr>
            <w:tcW w:w="4200" w:type="dxa"/>
            <w:vAlign w:val="bottom"/>
          </w:tcPr>
          <w:p>
            <w:pPr>
              <w:spacing w:after="0"/>
              <w:rPr>
                <w:sz w:val="13"/>
                <w:szCs w:val="13"/>
                <w:color w:val="auto"/>
              </w:rPr>
            </w:pPr>
          </w:p>
        </w:tc>
        <w:tc>
          <w:tcPr>
            <w:tcW w:w="3540" w:type="dxa"/>
            <w:vAlign w:val="bottom"/>
          </w:tcPr>
          <w:p>
            <w:pPr>
              <w:jc w:val="center"/>
              <w:ind w:left="2578"/>
              <w:spacing w:after="0" w:line="157" w:lineRule="exact"/>
              <w:rPr>
                <w:sz w:val="20"/>
                <w:szCs w:val="20"/>
                <w:color w:val="auto"/>
              </w:rPr>
            </w:pPr>
            <w:r>
              <w:rPr>
                <w:rFonts w:ascii="Arial" w:cs="Arial" w:eastAsia="Arial" w:hAnsi="Arial"/>
                <w:sz w:val="14"/>
                <w:szCs w:val="14"/>
                <w:b w:val="1"/>
                <w:bCs w:val="1"/>
                <w:color w:val="auto"/>
                <w:w w:val="98"/>
              </w:rPr>
              <w:t>Underlying</w:t>
            </w:r>
          </w:p>
        </w:tc>
        <w:tc>
          <w:tcPr>
            <w:tcW w:w="200" w:type="dxa"/>
            <w:vAlign w:val="bottom"/>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rPr>
              <w:t>Underlying</w:t>
            </w:r>
          </w:p>
        </w:tc>
      </w:tr>
      <w:tr>
        <w:trPr>
          <w:trHeight w:val="218"/>
        </w:trPr>
        <w:tc>
          <w:tcPr>
            <w:tcW w:w="42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tcBorders>
              <w:bottom w:val="single" w:sz="8" w:color="D6515D"/>
            </w:tcBorders>
            <w:gridSpan w:val="2"/>
          </w:tcPr>
          <w:p>
            <w:pPr>
              <w:jc w:val="center"/>
              <w:ind w:left="2378"/>
              <w:spacing w:after="0"/>
              <w:rPr>
                <w:sz w:val="20"/>
                <w:szCs w:val="20"/>
                <w:color w:val="auto"/>
              </w:rPr>
            </w:pPr>
            <w:r>
              <w:rPr>
                <w:rFonts w:ascii="Arial" w:cs="Arial" w:eastAsia="Arial" w:hAnsi="Arial"/>
                <w:sz w:val="14"/>
                <w:szCs w:val="14"/>
                <w:b w:val="1"/>
                <w:bCs w:val="1"/>
                <w:color w:val="auto"/>
                <w:w w:val="97"/>
              </w:rPr>
              <w:t xml:space="preserve">Stock Awards </w:t>
            </w:r>
            <w:r>
              <w:rPr>
                <w:rFonts w:ascii="Arial" w:cs="Arial" w:eastAsia="Arial" w:hAnsi="Arial"/>
                <w:sz w:val="17"/>
                <w:szCs w:val="17"/>
                <w:b w:val="1"/>
                <w:bCs w:val="1"/>
                <w:color w:val="auto"/>
                <w:w w:val="97"/>
                <w:vertAlign w:val="superscript"/>
              </w:rPr>
              <w:t>(1)</w:t>
            </w:r>
          </w:p>
        </w:tc>
        <w:tc>
          <w:tcPr>
            <w:tcW w:w="840" w:type="dxa"/>
            <w:vAlign w:val="bottom"/>
            <w:tcBorders>
              <w:bottom w:val="single" w:sz="8" w:color="D6515D"/>
            </w:tcBorders>
            <w:gridSpan w:val="2"/>
          </w:tcPr>
          <w:p>
            <w:pPr>
              <w:jc w:val="center"/>
              <w:ind w:left="16"/>
              <w:spacing w:after="0"/>
              <w:rPr>
                <w:sz w:val="20"/>
                <w:szCs w:val="20"/>
                <w:color w:val="auto"/>
              </w:rPr>
            </w:pPr>
            <w:r>
              <w:rPr>
                <w:rFonts w:ascii="Arial" w:cs="Arial" w:eastAsia="Arial" w:hAnsi="Arial"/>
                <w:sz w:val="14"/>
                <w:szCs w:val="14"/>
                <w:b w:val="1"/>
                <w:bCs w:val="1"/>
                <w:color w:val="auto"/>
                <w:w w:val="93"/>
              </w:rPr>
              <w:t xml:space="preserve">Options </w:t>
            </w:r>
            <w:r>
              <w:rPr>
                <w:rFonts w:ascii="Arial" w:cs="Arial" w:eastAsia="Arial" w:hAnsi="Arial"/>
                <w:sz w:val="17"/>
                <w:szCs w:val="17"/>
                <w:b w:val="1"/>
                <w:bCs w:val="1"/>
                <w:color w:val="auto"/>
                <w:w w:val="93"/>
                <w:vertAlign w:val="superscript"/>
              </w:rPr>
              <w:t>(2)</w:t>
            </w:r>
          </w:p>
        </w:tc>
        <w:tc>
          <w:tcPr>
            <w:tcW w:w="40" w:type="dxa"/>
            <w:vAlign w:val="bottom"/>
          </w:tcPr>
          <w:p>
            <w:pPr>
              <w:spacing w:after="0"/>
              <w:rPr>
                <w:sz w:val="19"/>
                <w:szCs w:val="19"/>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color w:val="auto"/>
              </w:rPr>
              <w:t>Roxanne S. Austin</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​50,000 ​</w:t>
            </w:r>
          </w:p>
        </w:tc>
      </w:tr>
      <w:tr>
        <w:trPr>
          <w:trHeight w:val="261"/>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Cary J. Davis</w:t>
            </w:r>
          </w:p>
        </w:tc>
        <w:tc>
          <w:tcPr>
            <w:tcW w:w="3540" w:type="dxa"/>
            <w:vAlign w:val="bottom"/>
            <w:shd w:val="clear" w:color="auto" w:fill="E5E5E5"/>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4200" w:type="dxa"/>
            <w:vAlign w:val="bottom"/>
          </w:tcPr>
          <w:p>
            <w:pPr>
              <w:spacing w:after="0"/>
              <w:rPr>
                <w:sz w:val="20"/>
                <w:szCs w:val="20"/>
                <w:color w:val="auto"/>
              </w:rPr>
            </w:pPr>
            <w:r>
              <w:rPr>
                <w:rFonts w:ascii="Arial" w:cs="Arial" w:eastAsia="Arial" w:hAnsi="Arial"/>
                <w:sz w:val="17"/>
                <w:szCs w:val="17"/>
                <w:color w:val="auto"/>
              </w:rPr>
              <w:t>Johanna Flower</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61"/>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Sameer K. Gandhi</w:t>
            </w:r>
          </w:p>
        </w:tc>
        <w:tc>
          <w:tcPr>
            <w:tcW w:w="3540" w:type="dxa"/>
            <w:vAlign w:val="bottom"/>
            <w:shd w:val="clear" w:color="auto" w:fill="E5E5E5"/>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4200" w:type="dxa"/>
            <w:vAlign w:val="bottom"/>
          </w:tcPr>
          <w:p>
            <w:pPr>
              <w:spacing w:after="0"/>
              <w:rPr>
                <w:sz w:val="20"/>
                <w:szCs w:val="20"/>
                <w:color w:val="auto"/>
              </w:rPr>
            </w:pPr>
            <w:r>
              <w:rPr>
                <w:rFonts w:ascii="Arial" w:cs="Arial" w:eastAsia="Arial" w:hAnsi="Arial"/>
                <w:sz w:val="17"/>
                <w:szCs w:val="17"/>
                <w:color w:val="auto"/>
              </w:rPr>
              <w:t>Denis J. O’Leary</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261"/>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Laura J. Schumacher</w:t>
            </w:r>
          </w:p>
        </w:tc>
        <w:tc>
          <w:tcPr>
            <w:tcW w:w="3540" w:type="dxa"/>
            <w:vAlign w:val="bottom"/>
            <w:shd w:val="clear" w:color="auto" w:fill="E5E5E5"/>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4200" w:type="dxa"/>
            <w:vAlign w:val="bottom"/>
          </w:tcPr>
          <w:p>
            <w:pPr>
              <w:spacing w:after="0"/>
              <w:rPr>
                <w:sz w:val="20"/>
                <w:szCs w:val="20"/>
                <w:color w:val="auto"/>
              </w:rPr>
            </w:pPr>
            <w:r>
              <w:rPr>
                <w:rFonts w:ascii="Arial" w:cs="Arial" w:eastAsia="Arial" w:hAnsi="Arial"/>
                <w:sz w:val="17"/>
                <w:szCs w:val="17"/>
                <w:color w:val="auto"/>
              </w:rPr>
              <w:t>Godfrey R. Sullivan</w:t>
            </w:r>
          </w:p>
        </w:tc>
        <w:tc>
          <w:tcPr>
            <w:tcW w:w="3540" w:type="dxa"/>
            <w:vAlign w:val="bottom"/>
          </w:tcPr>
          <w:p>
            <w:pPr>
              <w:jc w:val="center"/>
              <w:ind w:left="2538"/>
              <w:spacing w:after="0"/>
              <w:rPr>
                <w:sz w:val="20"/>
                <w:szCs w:val="20"/>
                <w:color w:val="auto"/>
              </w:rPr>
            </w:pPr>
            <w:r>
              <w:rPr>
                <w:rFonts w:ascii="Arial" w:cs="Arial" w:eastAsia="Arial" w:hAnsi="Arial"/>
                <w:sz w:val="17"/>
                <w:szCs w:val="17"/>
                <w:color w:val="auto"/>
              </w:rPr>
              <w:t>​561</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tcPr>
          <w:p>
            <w:pPr>
              <w:ind w:left="1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w:t>
            </w:r>
          </w:p>
        </w:tc>
      </w:tr>
      <w:tr>
        <w:trPr>
          <w:trHeight w:val="314"/>
        </w:trPr>
        <w:tc>
          <w:tcPr>
            <w:tcW w:w="4200" w:type="dxa"/>
            <w:vAlign w:val="bottom"/>
            <w:shd w:val="clear" w:color="auto" w:fill="E5E5E5"/>
          </w:tcPr>
          <w:p>
            <w:pPr>
              <w:spacing w:after="0"/>
              <w:rPr>
                <w:sz w:val="20"/>
                <w:szCs w:val="20"/>
                <w:color w:val="auto"/>
              </w:rPr>
            </w:pPr>
            <w:r>
              <w:rPr>
                <w:rFonts w:ascii="Arial" w:cs="Arial" w:eastAsia="Arial" w:hAnsi="Arial"/>
                <w:sz w:val="17"/>
                <w:szCs w:val="17"/>
                <w:color w:val="auto"/>
              </w:rPr>
              <w:t>Gerhard Watzinger</w:t>
            </w:r>
          </w:p>
        </w:tc>
        <w:tc>
          <w:tcPr>
            <w:tcW w:w="3540" w:type="dxa"/>
            <w:vAlign w:val="bottom"/>
            <w:shd w:val="clear" w:color="auto" w:fill="E5E5E5"/>
          </w:tcPr>
          <w:p>
            <w:pPr>
              <w:jc w:val="center"/>
              <w:ind w:left="2538"/>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561</w:t>
            </w:r>
          </w:p>
        </w:tc>
        <w:tc>
          <w:tcPr>
            <w:tcW w:w="20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ind w:right="15"/>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47" w:lineRule="exact"/>
        <w:rPr>
          <w:sz w:val="20"/>
          <w:szCs w:val="20"/>
          <w:color w:val="auto"/>
        </w:rPr>
      </w:pPr>
    </w:p>
    <w:p>
      <w:pPr>
        <w:ind w:left="1140" w:hanging="347"/>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entry represents the number of shares underlying any outstanding unvested restricted stock unit award.</w:t>
      </w:r>
    </w:p>
    <w:p>
      <w:pPr>
        <w:spacing w:after="0" w:line="77" w:lineRule="exact"/>
        <w:rPr>
          <w:rFonts w:ascii="Arial" w:cs="Arial" w:eastAsia="Arial" w:hAnsi="Arial"/>
          <w:sz w:val="16"/>
          <w:szCs w:val="16"/>
          <w:color w:val="auto"/>
        </w:rPr>
      </w:pPr>
    </w:p>
    <w:p>
      <w:pPr>
        <w:ind w:left="1140" w:right="579" w:hanging="347"/>
        <w:spacing w:after="0" w:line="284" w:lineRule="auto"/>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entry represents the aggregate number of any shares underlying unexercised options and any unvested shares acquired upon early exercise of options.</w:t>
      </w:r>
    </w:p>
    <w:p>
      <w:pPr>
        <w:sectPr>
          <w:pgSz w:w="11900" w:h="16838" w:orient="portrait"/>
          <w:cols w:equalWidth="0" w:num="1">
            <w:col w:w="9699"/>
          </w:cols>
          <w:pgMar w:left="760" w:top="94" w:right="1440" w:bottom="1440" w:gutter="0" w:footer="0" w:header="0"/>
          <w:type w:val="continuous"/>
        </w:sectPr>
      </w:pPr>
    </w:p>
    <w:p>
      <w:pPr>
        <w:spacing w:after="0" w:line="365"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2</w:t>
      </w:r>
    </w:p>
    <w:p>
      <w:pPr>
        <w:ind w:left="800"/>
        <w:spacing w:after="0" w:line="226" w:lineRule="auto"/>
        <w:rPr>
          <w:sz w:val="20"/>
          <w:szCs w:val="20"/>
          <w:color w:val="auto"/>
        </w:rPr>
      </w:pPr>
      <w:r>
        <w:rPr>
          <w:rFonts w:ascii="Arial" w:cs="Arial" w:eastAsia="Arial" w:hAnsi="Arial"/>
          <w:sz w:val="49"/>
          <w:szCs w:val="49"/>
          <w:b w:val="1"/>
          <w:bCs w:val="1"/>
          <w:color w:val="auto"/>
        </w:rPr>
        <w:t>Ratification of Selection of</w:t>
      </w:r>
    </w:p>
    <w:p>
      <w:pPr>
        <w:ind w:left="800"/>
        <w:spacing w:after="0" w:line="223" w:lineRule="auto"/>
        <w:rPr>
          <w:sz w:val="20"/>
          <w:szCs w:val="20"/>
          <w:color w:val="auto"/>
        </w:rPr>
      </w:pPr>
      <w:r>
        <w:rPr>
          <w:rFonts w:ascii="Arial" w:cs="Arial" w:eastAsia="Arial" w:hAnsi="Arial"/>
          <w:sz w:val="49"/>
          <w:szCs w:val="49"/>
          <w:b w:val="1"/>
          <w:bCs w:val="1"/>
          <w:color w:val="auto"/>
        </w:rPr>
        <w:t>Independent Registered Public</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Accounting Firm</w:t>
      </w:r>
    </w:p>
    <w:p>
      <w:pPr>
        <w:spacing w:after="0" w:line="60" w:lineRule="exact"/>
        <w:rPr>
          <w:sz w:val="20"/>
          <w:szCs w:val="20"/>
          <w:color w:val="auto"/>
        </w:rPr>
      </w:pPr>
    </w:p>
    <w:p>
      <w:pPr>
        <w:ind w:left="800" w:right="179"/>
        <w:spacing w:after="0" w:line="263" w:lineRule="auto"/>
        <w:rPr>
          <w:sz w:val="20"/>
          <w:szCs w:val="20"/>
          <w:color w:val="auto"/>
        </w:rPr>
      </w:pPr>
      <w:r>
        <w:rPr>
          <w:rFonts w:ascii="Arial" w:cs="Arial" w:eastAsia="Arial" w:hAnsi="Arial"/>
          <w:sz w:val="17"/>
          <w:szCs w:val="17"/>
          <w:color w:val="auto"/>
        </w:rPr>
        <w:t>The Audit Committee of the Board has selected PricewaterhouseCoopers LLP as CrowdStrike’s independent registered public accounting firm for the fiscal year ending January 31, 2027 and has further directed that management submit the selection of its independent registered public accounting firm for ratification by the stockholders at the Annual Meeting. PricewaterhouseCoopers LLP has audited the Company’s financial statements since 2016. Representatives of PricewaterhouseCoopers LLP are expected to be present during the Annual Meeting. They will have an opportunity to make a statement if they so desire and will be available to respond to appropriate questions.</w:t>
      </w:r>
    </w:p>
    <w:p>
      <w:pPr>
        <w:spacing w:after="0" w:line="171" w:lineRule="exact"/>
        <w:rPr>
          <w:sz w:val="20"/>
          <w:szCs w:val="20"/>
          <w:color w:val="auto"/>
        </w:rPr>
      </w:pPr>
    </w:p>
    <w:p>
      <w:pPr>
        <w:ind w:left="800" w:right="239"/>
        <w:spacing w:after="0" w:line="262" w:lineRule="auto"/>
        <w:rPr>
          <w:sz w:val="20"/>
          <w:szCs w:val="20"/>
          <w:color w:val="auto"/>
        </w:rPr>
      </w:pPr>
      <w:r>
        <w:rPr>
          <w:rFonts w:ascii="Arial" w:cs="Arial" w:eastAsia="Arial" w:hAnsi="Arial"/>
          <w:sz w:val="17"/>
          <w:szCs w:val="17"/>
          <w:color w:val="auto"/>
        </w:rPr>
        <w:t>Neither the Company’s Bylaws nor other governing documents or law requires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CrowdStrike and its stockholders.</w:t>
      </w:r>
    </w:p>
    <w:p>
      <w:pPr>
        <w:spacing w:after="0" w:line="175" w:lineRule="exact"/>
        <w:rPr>
          <w:sz w:val="20"/>
          <w:szCs w:val="20"/>
          <w:color w:val="auto"/>
        </w:rPr>
      </w:pPr>
    </w:p>
    <w:p>
      <w:pPr>
        <w:ind w:left="800" w:right="899"/>
        <w:spacing w:after="0" w:line="298" w:lineRule="auto"/>
        <w:rPr>
          <w:sz w:val="20"/>
          <w:szCs w:val="20"/>
          <w:color w:val="auto"/>
        </w:rPr>
      </w:pPr>
      <w:r>
        <w:rPr>
          <w:rFonts w:ascii="Arial" w:cs="Arial" w:eastAsia="Arial" w:hAnsi="Arial"/>
          <w:sz w:val="17"/>
          <w:szCs w:val="17"/>
          <w:color w:val="auto"/>
        </w:rPr>
        <w:t>The affirmative “FOR” vote of a majority of the votes cast on the matter is required to ratify the selection of PricewaterhouseCoopers LLP. Abstentions will not be counted as votes cast.</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45"/>
          <w:szCs w:val="45"/>
          <w:color w:val="auto"/>
        </w:rPr>
        <w:t>Principal Accountant Fees and Services</w:t>
      </w:r>
    </w:p>
    <w:p>
      <w:pPr>
        <w:spacing w:after="0" w:line="129" w:lineRule="exact"/>
        <w:rPr>
          <w:sz w:val="20"/>
          <w:szCs w:val="20"/>
          <w:color w:val="auto"/>
        </w:rPr>
      </w:pPr>
    </w:p>
    <w:p>
      <w:pPr>
        <w:ind w:left="800" w:right="139"/>
        <w:spacing w:after="0" w:line="298" w:lineRule="auto"/>
        <w:rPr>
          <w:sz w:val="20"/>
          <w:szCs w:val="20"/>
          <w:color w:val="auto"/>
        </w:rPr>
      </w:pPr>
      <w:r>
        <w:rPr>
          <w:rFonts w:ascii="Arial" w:cs="Arial" w:eastAsia="Arial" w:hAnsi="Arial"/>
          <w:sz w:val="17"/>
          <w:szCs w:val="17"/>
          <w:color w:val="auto"/>
        </w:rPr>
        <w:t>The following table represents aggregate fees billed to CrowdStrike for the fiscal years ended January 31, 2026 and January 31, 2025, by PricewaterhouseCoopers LLP, CrowdStrike’s principal accountant.</w:t>
      </w:r>
    </w:p>
    <w:p>
      <w:pPr>
        <w:spacing w:after="0" w:line="175"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Fiscal Year</w:t>
      </w:r>
    </w:p>
    <w:p>
      <w:pPr>
        <w:spacing w:after="0" w:line="10"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10795</wp:posOffset>
            </wp:positionV>
            <wp:extent cx="13608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40"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1880" w:type="dxa"/>
            <w:vAlign w:val="bottom"/>
            <w:tcBorders>
              <w:bottom w:val="single" w:sz="8" w:color="D6515D"/>
            </w:tcBorders>
          </w:tcPr>
          <w:p>
            <w:pPr>
              <w:spacing w:after="0"/>
              <w:rPr>
                <w:sz w:val="17"/>
                <w:szCs w:val="17"/>
                <w:color w:val="auto"/>
              </w:rPr>
            </w:pPr>
          </w:p>
        </w:tc>
        <w:tc>
          <w:tcPr>
            <w:tcW w:w="4640" w:type="dxa"/>
            <w:vAlign w:val="bottom"/>
            <w:tcBorders>
              <w:bottom w:val="single" w:sz="8" w:color="D6515D"/>
            </w:tcBorders>
          </w:tcPr>
          <w:p>
            <w:pPr>
              <w:spacing w:after="0"/>
              <w:rPr>
                <w:sz w:val="17"/>
                <w:szCs w:val="17"/>
                <w:color w:val="auto"/>
              </w:rPr>
            </w:pPr>
          </w:p>
        </w:tc>
        <w:tc>
          <w:tcPr>
            <w:tcW w:w="400" w:type="dxa"/>
            <w:vAlign w:val="bottom"/>
            <w:tcBorders>
              <w:bottom w:val="single" w:sz="8" w:color="D6515D"/>
            </w:tcBorders>
          </w:tcPr>
          <w:p>
            <w:pPr>
              <w:spacing w:after="0"/>
              <w:rPr>
                <w:sz w:val="17"/>
                <w:szCs w:val="17"/>
                <w:color w:val="auto"/>
              </w:rPr>
            </w:pPr>
          </w:p>
        </w:tc>
        <w:tc>
          <w:tcPr>
            <w:tcW w:w="80" w:type="dxa"/>
            <w:vAlign w:val="bottom"/>
            <w:tcBorders>
              <w:bottom w:val="single" w:sz="8" w:color="D6515D"/>
            </w:tcBorders>
          </w:tcPr>
          <w:p>
            <w:pPr>
              <w:spacing w:after="0"/>
              <w:rPr>
                <w:sz w:val="17"/>
                <w:szCs w:val="17"/>
                <w:color w:val="auto"/>
              </w:rPr>
            </w:pPr>
          </w:p>
        </w:tc>
        <w:tc>
          <w:tcPr>
            <w:tcW w:w="460" w:type="dxa"/>
            <w:vAlign w:val="bottom"/>
            <w:tcBorders>
              <w:bottom w:val="single" w:sz="8" w:color="D6515D"/>
            </w:tcBorders>
          </w:tcPr>
          <w:p>
            <w:pPr>
              <w:jc w:val="right"/>
              <w:ind w:right="3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6515D"/>
            </w:tcBorders>
          </w:tcPr>
          <w:p>
            <w:pPr>
              <w:spacing w:after="0"/>
              <w:rPr>
                <w:sz w:val="17"/>
                <w:szCs w:val="17"/>
                <w:color w:val="auto"/>
              </w:rPr>
            </w:pPr>
          </w:p>
        </w:tc>
        <w:tc>
          <w:tcPr>
            <w:tcW w:w="480" w:type="dxa"/>
            <w:vAlign w:val="bottom"/>
            <w:tcBorders>
              <w:bottom w:val="single" w:sz="8" w:color="D6515D"/>
            </w:tcBorders>
          </w:tcPr>
          <w:p>
            <w:pPr>
              <w:spacing w:after="0"/>
              <w:rPr>
                <w:sz w:val="17"/>
                <w:szCs w:val="17"/>
                <w:color w:val="auto"/>
              </w:rPr>
            </w:pPr>
          </w:p>
        </w:tc>
        <w:tc>
          <w:tcPr>
            <w:tcW w:w="80" w:type="dxa"/>
            <w:vAlign w:val="bottom"/>
            <w:tcBorders>
              <w:bottom w:val="single" w:sz="8" w:color="D6515D"/>
            </w:tcBorders>
          </w:tcPr>
          <w:p>
            <w:pPr>
              <w:spacing w:after="0"/>
              <w:rPr>
                <w:sz w:val="17"/>
                <w:szCs w:val="17"/>
                <w:color w:val="auto"/>
              </w:rPr>
            </w:pPr>
          </w:p>
        </w:tc>
        <w:tc>
          <w:tcPr>
            <w:tcW w:w="480" w:type="dxa"/>
            <w:vAlign w:val="bottom"/>
            <w:tcBorders>
              <w:bottom w:val="single" w:sz="8" w:color="D6515D"/>
            </w:tcBorders>
          </w:tcPr>
          <w:p>
            <w:pPr>
              <w:jc w:val="right"/>
              <w:ind w:right="37"/>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D6515D"/>
            </w:tcBorders>
          </w:tcPr>
          <w:p>
            <w:pPr>
              <w:spacing w:after="0"/>
              <w:rPr>
                <w:sz w:val="17"/>
                <w:szCs w:val="17"/>
                <w:color w:val="auto"/>
              </w:rPr>
            </w:pPr>
          </w:p>
        </w:tc>
        <w:tc>
          <w:tcPr>
            <w:tcW w:w="40" w:type="dxa"/>
            <w:vAlign w:val="bottom"/>
          </w:tcPr>
          <w:p>
            <w:pPr>
              <w:spacing w:after="0"/>
              <w:rPr>
                <w:sz w:val="17"/>
                <w:szCs w:val="17"/>
                <w:color w:val="auto"/>
              </w:rPr>
            </w:pPr>
          </w:p>
        </w:tc>
      </w:tr>
      <w:tr>
        <w:trPr>
          <w:trHeight w:val="274"/>
        </w:trPr>
        <w:tc>
          <w:tcPr>
            <w:tcW w:w="6520" w:type="dxa"/>
            <w:vAlign w:val="bottom"/>
            <w:gridSpan w:val="2"/>
          </w:tcPr>
          <w:p>
            <w:pPr>
              <w:spacing w:after="0"/>
              <w:rPr>
                <w:sz w:val="20"/>
                <w:szCs w:val="20"/>
                <w:color w:val="auto"/>
              </w:rPr>
            </w:pPr>
            <w:r>
              <w:rPr>
                <w:rFonts w:ascii="Arial" w:cs="Arial" w:eastAsia="Arial" w:hAnsi="Arial"/>
                <w:sz w:val="17"/>
                <w:szCs w:val="17"/>
                <w:color w:val="auto"/>
              </w:rPr>
              <w:t xml:space="preserve">Audit Fees </w:t>
            </w:r>
            <w:r>
              <w:rPr>
                <w:rFonts w:ascii="Arial" w:cs="Arial" w:eastAsia="Arial" w:hAnsi="Arial"/>
                <w:sz w:val="22"/>
                <w:szCs w:val="22"/>
                <w:color w:val="auto"/>
                <w:vertAlign w:val="superscript"/>
              </w:rPr>
              <w:t>(1)</w:t>
            </w: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​$6,885</w:t>
            </w:r>
          </w:p>
        </w:tc>
        <w:tc>
          <w:tcPr>
            <w:tcW w:w="480" w:type="dxa"/>
            <w:vAlign w:val="bottom"/>
          </w:tcPr>
          <w:p>
            <w:pPr>
              <w:ind w:lef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​$5,643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6520" w:type="dxa"/>
            <w:vAlign w:val="bottom"/>
            <w:gridSpan w:val="2"/>
            <w:shd w:val="clear" w:color="auto" w:fill="E5E5E5"/>
          </w:tcPr>
          <w:p>
            <w:pPr>
              <w:spacing w:after="0"/>
              <w:rPr>
                <w:sz w:val="20"/>
                <w:szCs w:val="20"/>
                <w:color w:val="auto"/>
              </w:rPr>
            </w:pPr>
            <w:r>
              <w:rPr>
                <w:rFonts w:ascii="Arial" w:cs="Arial" w:eastAsia="Arial" w:hAnsi="Arial"/>
                <w:sz w:val="17"/>
                <w:szCs w:val="17"/>
                <w:color w:val="auto"/>
              </w:rPr>
              <w:t xml:space="preserve">Audit-related Fees </w:t>
            </w:r>
            <w:r>
              <w:rPr>
                <w:rFonts w:ascii="Arial" w:cs="Arial" w:eastAsia="Arial" w:hAnsi="Arial"/>
                <w:sz w:val="22"/>
                <w:szCs w:val="22"/>
                <w:color w:val="auto"/>
                <w:vertAlign w:val="superscript"/>
              </w:rPr>
              <w:t>(2)</w:t>
            </w:r>
          </w:p>
        </w:tc>
        <w:tc>
          <w:tcPr>
            <w:tcW w:w="480" w:type="dxa"/>
            <w:vAlign w:val="bottom"/>
            <w:gridSpan w:val="2"/>
            <w:shd w:val="clear" w:color="auto" w:fill="E5E5E5"/>
          </w:tcPr>
          <w:p>
            <w:pPr>
              <w:ind w:left="4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E5E5E5"/>
          </w:tcPr>
          <w:p>
            <w:pPr>
              <w:jc w:val="right"/>
              <w:ind w:right="100"/>
              <w:spacing w:after="0"/>
              <w:rPr>
                <w:sz w:val="20"/>
                <w:szCs w:val="20"/>
                <w:color w:val="auto"/>
              </w:rPr>
            </w:pPr>
            <w:r>
              <w:rPr>
                <w:rFonts w:ascii="Arial" w:cs="Arial" w:eastAsia="Arial" w:hAnsi="Arial"/>
                <w:sz w:val="17"/>
                <w:szCs w:val="17"/>
                <w:color w:val="auto"/>
              </w:rPr>
              <w:t>150</w:t>
            </w:r>
          </w:p>
        </w:tc>
        <w:tc>
          <w:tcPr>
            <w:tcW w:w="48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6520" w:type="dxa"/>
            <w:vAlign w:val="bottom"/>
            <w:gridSpan w:val="2"/>
          </w:tcPr>
          <w:p>
            <w:pPr>
              <w:spacing w:after="0"/>
              <w:rPr>
                <w:sz w:val="20"/>
                <w:szCs w:val="20"/>
                <w:color w:val="auto"/>
              </w:rPr>
            </w:pPr>
            <w:r>
              <w:rPr>
                <w:rFonts w:ascii="Arial" w:cs="Arial" w:eastAsia="Arial" w:hAnsi="Arial"/>
                <w:sz w:val="17"/>
                <w:szCs w:val="17"/>
                <w:color w:val="auto"/>
              </w:rPr>
              <w:t xml:space="preserve">Tax Fees </w:t>
            </w:r>
            <w:r>
              <w:rPr>
                <w:rFonts w:ascii="Arial" w:cs="Arial" w:eastAsia="Arial" w:hAnsi="Arial"/>
                <w:sz w:val="22"/>
                <w:szCs w:val="22"/>
                <w:color w:val="auto"/>
                <w:vertAlign w:val="superscript"/>
              </w:rPr>
              <w:t>(3)</w:t>
            </w:r>
          </w:p>
        </w:tc>
        <w:tc>
          <w:tcPr>
            <w:tcW w:w="4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538</w:t>
            </w:r>
          </w:p>
        </w:tc>
        <w:tc>
          <w:tcPr>
            <w:tcW w:w="480" w:type="dxa"/>
            <w:vAlign w:val="bottom"/>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604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6520" w:type="dxa"/>
            <w:vAlign w:val="bottom"/>
            <w:gridSpan w:val="2"/>
            <w:shd w:val="clear" w:color="auto" w:fill="E5E5E5"/>
          </w:tcPr>
          <w:p>
            <w:pPr>
              <w:spacing w:after="0"/>
              <w:rPr>
                <w:sz w:val="20"/>
                <w:szCs w:val="20"/>
                <w:color w:val="auto"/>
              </w:rPr>
            </w:pPr>
            <w:r>
              <w:rPr>
                <w:rFonts w:ascii="Arial" w:cs="Arial" w:eastAsia="Arial" w:hAnsi="Arial"/>
                <w:sz w:val="17"/>
                <w:szCs w:val="17"/>
                <w:color w:val="auto"/>
              </w:rPr>
              <w:t xml:space="preserve">All Other Fees </w:t>
            </w:r>
            <w:r>
              <w:rPr>
                <w:rFonts w:ascii="Arial" w:cs="Arial" w:eastAsia="Arial" w:hAnsi="Arial"/>
                <w:sz w:val="22"/>
                <w:szCs w:val="22"/>
                <w:color w:val="auto"/>
                <w:vertAlign w:val="superscript"/>
              </w:rPr>
              <w:t>(4)</w:t>
            </w:r>
          </w:p>
        </w:tc>
        <w:tc>
          <w:tcPr>
            <w:tcW w:w="480" w:type="dxa"/>
            <w:vAlign w:val="bottom"/>
            <w:gridSpan w:val="2"/>
            <w:shd w:val="clear" w:color="auto" w:fill="E5E5E5"/>
          </w:tcPr>
          <w:p>
            <w:pPr>
              <w:ind w:left="4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E5E5E5"/>
          </w:tcPr>
          <w:p>
            <w:pPr>
              <w:jc w:val="right"/>
              <w:ind w:right="100"/>
              <w:spacing w:after="0"/>
              <w:rPr>
                <w:sz w:val="20"/>
                <w:szCs w:val="20"/>
                <w:color w:val="auto"/>
              </w:rPr>
            </w:pPr>
            <w:r>
              <w:rPr>
                <w:rFonts w:ascii="Arial" w:cs="Arial" w:eastAsia="Arial" w:hAnsi="Arial"/>
                <w:sz w:val="17"/>
                <w:szCs w:val="17"/>
                <w:color w:val="auto"/>
              </w:rPr>
              <w:t>2</w:t>
            </w:r>
          </w:p>
        </w:tc>
        <w:tc>
          <w:tcPr>
            <w:tcW w:w="48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E5E5E5"/>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880" w:type="dxa"/>
            <w:vAlign w:val="bottom"/>
            <w:shd w:val="clear" w:color="auto" w:fill="E5E5E5"/>
          </w:tcPr>
          <w:p>
            <w:pPr>
              <w:spacing w:after="0" w:line="20" w:lineRule="exact"/>
              <w:rPr>
                <w:sz w:val="1"/>
                <w:szCs w:val="1"/>
                <w:color w:val="auto"/>
              </w:rPr>
            </w:pPr>
          </w:p>
        </w:tc>
        <w:tc>
          <w:tcPr>
            <w:tcW w:w="4640" w:type="dxa"/>
            <w:vAlign w:val="bottom"/>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4"/>
        </w:trPr>
        <w:tc>
          <w:tcPr>
            <w:tcW w:w="6520" w:type="dxa"/>
            <w:vAlign w:val="bottom"/>
            <w:gridSpan w:val="2"/>
          </w:tcPr>
          <w:p>
            <w:pPr>
              <w:spacing w:after="0"/>
              <w:rPr>
                <w:sz w:val="20"/>
                <w:szCs w:val="20"/>
                <w:color w:val="auto"/>
              </w:rPr>
            </w:pPr>
            <w:r>
              <w:rPr>
                <w:rFonts w:ascii="Arial" w:cs="Arial" w:eastAsia="Arial" w:hAnsi="Arial"/>
                <w:sz w:val="17"/>
                <w:szCs w:val="17"/>
                <w:color w:val="auto"/>
              </w:rPr>
              <w:t>Total Fees</w:t>
            </w:r>
          </w:p>
        </w:tc>
        <w:tc>
          <w:tcPr>
            <w:tcW w:w="1040" w:type="dxa"/>
            <w:vAlign w:val="bottom"/>
            <w:gridSpan w:val="4"/>
          </w:tcPr>
          <w:p>
            <w:pPr>
              <w:jc w:val="right"/>
              <w:ind w:right="10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7,575</w:t>
            </w:r>
          </w:p>
        </w:tc>
        <w:tc>
          <w:tcPr>
            <w:tcW w:w="480" w:type="dxa"/>
            <w:vAlign w:val="bottom"/>
          </w:tcPr>
          <w:p>
            <w:pPr>
              <w:ind w:left="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6,249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
        </w:trPr>
        <w:tc>
          <w:tcPr>
            <w:tcW w:w="188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53" w:lineRule="exact"/>
        <w:rPr>
          <w:sz w:val="20"/>
          <w:szCs w:val="20"/>
          <w:color w:val="auto"/>
        </w:rPr>
      </w:pPr>
    </w:p>
    <w:p>
      <w:pPr>
        <w:ind w:left="1140" w:right="279" w:hanging="347"/>
        <w:spacing w:after="0" w:line="258"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rendered in connection with the audit of our annual consolidated financial statements, including audited financial statements presented in our annual report on Form 10-K, review of our quarterly financial statements presented in our quarterly reports on Form 10-Q and services that are normally provided by our independent registered public accounting firm in connection with statutory and regulatory filings or engagements for those fiscal years.</w:t>
      </w:r>
    </w:p>
    <w:p>
      <w:pPr>
        <w:spacing w:after="0" w:line="43" w:lineRule="exact"/>
        <w:rPr>
          <w:rFonts w:ascii="Arial" w:cs="Arial" w:eastAsia="Arial" w:hAnsi="Arial"/>
          <w:sz w:val="16"/>
          <w:szCs w:val="16"/>
          <w:color w:val="auto"/>
        </w:rPr>
      </w:pPr>
    </w:p>
    <w:p>
      <w:pPr>
        <w:ind w:left="1140" w:right="179" w:hanging="347"/>
        <w:spacing w:after="0" w:line="258"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“Audit-related Fees” consist of aggregate fees for accounting consultations and other services that were reasonably related to the performance of audits or reviews of our consolidated financial statements and were not reported above under “Audit Fees.” This category includes fees related to the performance of audits and attest services not required by statute or regulations, due diligence related to mergers, acquisitions, and investments, and accounting consultations about the application of generally accepted accounting principles to proposed transactions.</w:t>
      </w:r>
    </w:p>
    <w:p>
      <w:pPr>
        <w:spacing w:after="0" w:line="43" w:lineRule="exact"/>
        <w:rPr>
          <w:rFonts w:ascii="Arial" w:cs="Arial" w:eastAsia="Arial" w:hAnsi="Arial"/>
          <w:sz w:val="16"/>
          <w:szCs w:val="16"/>
          <w:color w:val="auto"/>
        </w:rPr>
      </w:pPr>
    </w:p>
    <w:p>
      <w:pPr>
        <w:ind w:left="1140" w:hanging="347"/>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“Tax Fees” consist of tax return preparation, international and domestic tax studies, consulting and planning.</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Other Fees” consist of the cost of a subscription to an accounting research tool.</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fees described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Arial" w:cs="Arial" w:eastAsia="Arial" w:hAnsi="Arial"/>
          <w:sz w:val="45"/>
          <w:szCs w:val="45"/>
          <w:color w:val="auto"/>
        </w:rPr>
        <w:t>Pre-Approval Policies and Procedures</w:t>
      </w:r>
    </w:p>
    <w:p>
      <w:pPr>
        <w:spacing w:after="0" w:line="116"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the Company’s independent registered public accounting firm, PricewaterhouseCoopers LLP. The Audit Committee generally pre-approves specified services in the defined categories of audit services, audit-related services and tax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5" w:lineRule="exact"/>
        <w:rPr>
          <w:sz w:val="20"/>
          <w:szCs w:val="20"/>
          <w:color w:val="auto"/>
        </w:rPr>
      </w:pPr>
    </w:p>
    <w:p>
      <w:pPr>
        <w:ind w:left="800" w:right="1159"/>
        <w:spacing w:after="0" w:line="298" w:lineRule="auto"/>
        <w:rPr>
          <w:sz w:val="20"/>
          <w:szCs w:val="20"/>
          <w:color w:val="auto"/>
        </w:rPr>
      </w:pPr>
      <w:r>
        <w:rPr>
          <w:rFonts w:ascii="Arial" w:cs="Arial" w:eastAsia="Arial" w:hAnsi="Arial"/>
          <w:sz w:val="17"/>
          <w:szCs w:val="17"/>
          <w:color w:val="auto"/>
        </w:rPr>
        <w:t>The Audit Committee has determined that the rendering of services other than audit services by PricewaterhouseCoopers LLP is compatible with maintaining the principal accountant’s independence.</w:t>
      </w:r>
    </w:p>
    <w:p>
      <w:pPr>
        <w:spacing w:after="0" w:line="224" w:lineRule="exact"/>
        <w:rPr>
          <w:sz w:val="20"/>
          <w:szCs w:val="20"/>
          <w:color w:val="auto"/>
        </w:rPr>
      </w:pPr>
    </w:p>
    <w:p>
      <w:pPr>
        <w:jc w:val="center"/>
        <w:ind w:left="1480" w:right="240"/>
        <w:spacing w:after="0" w:line="209" w:lineRule="auto"/>
        <w:rPr>
          <w:sz w:val="20"/>
          <w:szCs w:val="20"/>
          <w:color w:val="auto"/>
        </w:rPr>
      </w:pPr>
      <w:r>
        <w:rPr>
          <w:sz w:val="1"/>
          <w:szCs w:val="1"/>
          <w:color w:val="auto"/>
        </w:rPr>
        <w:drawing>
          <wp:inline distT="0" distB="0" distL="0" distR="0">
            <wp:extent cx="215900" cy="1905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0" cy="190500"/>
                    </a:xfrm>
                    <a:prstGeom prst="rect">
                      <a:avLst/>
                    </a:prstGeom>
                    <a:noFill/>
                    <a:ln>
                      <a:noFill/>
                    </a:ln>
                  </pic:spPr>
                </pic:pic>
              </a:graphicData>
            </a:graphic>
          </wp:inline>
        </w:drawing>
      </w:r>
      <w:r>
        <w:rPr>
          <w:rFonts w:ascii="Arial" w:cs="Arial" w:eastAsia="Arial" w:hAnsi="Arial"/>
          <w:sz w:val="33"/>
          <w:szCs w:val="33"/>
          <w:color w:val="auto"/>
          <w:vertAlign w:val="superscript"/>
        </w:rPr>
        <w:t xml:space="preserve">  </w:t>
      </w:r>
      <w:r>
        <w:rPr>
          <w:rFonts w:ascii="Arial" w:cs="Arial" w:eastAsia="Arial" w:hAnsi="Arial"/>
          <w:sz w:val="33"/>
          <w:szCs w:val="33"/>
          <w:b w:val="1"/>
          <w:bCs w:val="1"/>
          <w:color w:val="auto"/>
        </w:rPr>
        <w:t>THE BOARD OF DIRECTORS RECOMMENDS A VOTE “FOR”</w:t>
      </w:r>
      <w:r>
        <w:rPr>
          <w:rFonts w:ascii="Arial" w:cs="Arial" w:eastAsia="Arial" w:hAnsi="Arial"/>
          <w:sz w:val="33"/>
          <w:szCs w:val="33"/>
          <w:color w:val="auto"/>
        </w:rPr>
        <w:t xml:space="preserve"> </w:t>
      </w:r>
      <w:r>
        <w:rPr>
          <w:rFonts w:ascii="Arial" w:cs="Arial" w:eastAsia="Arial" w:hAnsi="Arial"/>
          <w:sz w:val="16"/>
          <w:szCs w:val="16"/>
          <w:b w:val="1"/>
          <w:bCs w:val="1"/>
          <w:color w:val="auto"/>
        </w:rPr>
        <w:t>RATIFICATION OF THE APPOINTMENT OF PRICEWATERHOUSECOOPERS LLP AS CROWDSTRIKE’S INDEPENDENT AUDITOR FOR THE FISCAL YEAR ENDING JANUARY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3</w:t>
      </w:r>
    </w:p>
    <w:p>
      <w:pPr>
        <w:spacing w:after="0" w:line="9" w:lineRule="exact"/>
        <w:rPr>
          <w:sz w:val="20"/>
          <w:szCs w:val="20"/>
          <w:color w:val="auto"/>
        </w:rPr>
      </w:pPr>
    </w:p>
    <w:p>
      <w:pPr>
        <w:ind w:left="800" w:right="199"/>
        <w:spacing w:after="0" w:line="231" w:lineRule="auto"/>
        <w:rPr>
          <w:sz w:val="20"/>
          <w:szCs w:val="20"/>
          <w:color w:val="auto"/>
        </w:rPr>
      </w:pPr>
      <w:r>
        <w:rPr>
          <w:rFonts w:ascii="Arial" w:cs="Arial" w:eastAsia="Arial" w:hAnsi="Arial"/>
          <w:sz w:val="49"/>
          <w:szCs w:val="49"/>
          <w:b w:val="1"/>
          <w:bCs w:val="1"/>
          <w:color w:val="auto"/>
        </w:rPr>
        <w:t>Approval of an Amendment and Restatement of Our Amended and Restated Certificate of Incorporation to Limit Officer Liability as Permitted by Delaware Law</w:t>
      </w:r>
    </w:p>
    <w:p>
      <w:pPr>
        <w:spacing w:after="0" w:line="3" w:lineRule="exact"/>
        <w:rPr>
          <w:sz w:val="20"/>
          <w:szCs w:val="20"/>
          <w:color w:val="auto"/>
        </w:rPr>
      </w:pPr>
    </w:p>
    <w:p>
      <w:pPr>
        <w:ind w:left="800" w:right="299"/>
        <w:spacing w:after="0" w:line="269" w:lineRule="auto"/>
        <w:rPr>
          <w:sz w:val="20"/>
          <w:szCs w:val="20"/>
          <w:color w:val="auto"/>
        </w:rPr>
      </w:pPr>
      <w:r>
        <w:rPr>
          <w:rFonts w:ascii="Arial" w:cs="Arial" w:eastAsia="Arial" w:hAnsi="Arial"/>
          <w:sz w:val="17"/>
          <w:szCs w:val="17"/>
          <w:color w:val="auto"/>
        </w:rPr>
        <w:t>After careful consideration, the Board has declared advisable and in the best interests of the Company and its stockholders, and approved and recommended that our stockholders approve, an amendment and restatement of the Company’s Charter to limit the liability of certain officers to the fullest extent permitted by the General Corporation Law of the State of Delaware (the “DGCL”) (the “Proposed Amended and Restated Charter”).</w:t>
      </w:r>
    </w:p>
    <w:p>
      <w:pPr>
        <w:spacing w:after="0" w:line="166" w:lineRule="exact"/>
        <w:rPr>
          <w:sz w:val="20"/>
          <w:szCs w:val="20"/>
          <w:color w:val="auto"/>
        </w:rPr>
      </w:pPr>
    </w:p>
    <w:p>
      <w:pPr>
        <w:ind w:left="800" w:right="179"/>
        <w:spacing w:after="0" w:line="262" w:lineRule="auto"/>
        <w:rPr>
          <w:sz w:val="20"/>
          <w:szCs w:val="20"/>
          <w:color w:val="auto"/>
        </w:rPr>
      </w:pPr>
      <w:r>
        <w:rPr>
          <w:rFonts w:ascii="Arial" w:cs="Arial" w:eastAsia="Arial" w:hAnsi="Arial"/>
          <w:sz w:val="17"/>
          <w:szCs w:val="17"/>
          <w:color w:val="auto"/>
        </w:rPr>
        <w:t>In August 2022, Section 102(b)(7) of the DGCL was amended to permit Delaware corporations to include certificate of incorporation provisions limiting the personal liability of certain officers for monetary damages for breaches of the fiduciary duty of care in certain actions. This change extended the availability of similar protections that have long been available to directors to certain officers who, at the time of alleged wrongful conduct: (i) serve or have served as the Company’s President, Chief Executive Officer, Chief Operating Officer, Chief Financial Officer, Chief Legal Officer, Controller, Treasurer or Chief Accounting Officer, (ii) are or were identified in the Company’s public filings with the SEC as a named executive officer or (iii) had entered into a written agreement with the Company consenting to be identified as an officer for purposes of service of process in the State of Delaware.</w:t>
      </w:r>
    </w:p>
    <w:p>
      <w:pPr>
        <w:spacing w:after="0" w:line="156" w:lineRule="exact"/>
        <w:rPr>
          <w:sz w:val="20"/>
          <w:szCs w:val="20"/>
          <w:color w:val="auto"/>
        </w:rPr>
      </w:pPr>
    </w:p>
    <w:p>
      <w:pPr>
        <w:ind w:left="800" w:right="1059"/>
        <w:spacing w:after="0" w:line="261" w:lineRule="auto"/>
        <w:rPr>
          <w:sz w:val="20"/>
          <w:szCs w:val="20"/>
          <w:color w:val="auto"/>
        </w:rPr>
      </w:pPr>
      <w:r>
        <w:rPr>
          <w:rFonts w:ascii="Arial" w:cs="Arial" w:eastAsia="Arial" w:hAnsi="Arial"/>
          <w:sz w:val="45"/>
          <w:szCs w:val="45"/>
          <w:color w:val="auto"/>
        </w:rPr>
        <w:t>Purpose of the Proposed Amended and Restated Charter</w:t>
      </w:r>
    </w:p>
    <w:p>
      <w:pPr>
        <w:spacing w:after="0" w:line="4"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The Proposed Amended and Restated Charter would contain provisions that allow us to limit the personal liability of certain officers to the fullest extent permitted by the DGCL. Consistent with the statute, this protection would apply only to certain direct claims brought by stockholders, including class actions, and would not apply to claims brought by or in the right of the Company (derivative claims). In addition, the amendment would not limit liability for breaches of the duty of loyalty to us or our stockholders, acts or omissions not in good faith or that involve intentional misconduct or knowing violations of law, or any transaction from which the officer derived an improper personal benefit.</w:t>
      </w:r>
    </w:p>
    <w:p>
      <w:pPr>
        <w:spacing w:after="0" w:line="173" w:lineRule="exact"/>
        <w:rPr>
          <w:sz w:val="20"/>
          <w:szCs w:val="20"/>
          <w:color w:val="auto"/>
        </w:rPr>
      </w:pPr>
    </w:p>
    <w:p>
      <w:pPr>
        <w:ind w:left="800" w:right="139"/>
        <w:spacing w:after="0" w:line="261" w:lineRule="auto"/>
        <w:rPr>
          <w:sz w:val="20"/>
          <w:szCs w:val="20"/>
          <w:color w:val="auto"/>
        </w:rPr>
      </w:pPr>
      <w:r>
        <w:rPr>
          <w:rFonts w:ascii="Arial" w:cs="Arial" w:eastAsia="Arial" w:hAnsi="Arial"/>
          <w:sz w:val="17"/>
          <w:szCs w:val="17"/>
          <w:color w:val="auto"/>
        </w:rPr>
        <w:t>The Board believes that adopting the Proposed Amended and Restated Charter containing provisions that allow us to limit the personal liability of certain officers to the fullest extent permitted by the DGCL will help CrowdStrike attract and retain talented leaders by reducing the potential exposure to liabilities, costs of defense and other risks of legal liability that could exceed the benefits of serving as an officer of our Company. CrowdStrike’s officers are often required to make complex, high impact decisions in response to rapidly evolving opportunities and challenges. Limiting the personal risk exposure of our current and prospective officers would empower officers to best exercise their business judgment regarding decisions made in good faith and in consideration of the best interests of the Company and its stockholders. The Proposed Amended and Restated Charter would also more closely align the protections available to our officers with those already available to our directors and further align our governance practices with those of many other Delaware corporations.</w:t>
      </w:r>
    </w:p>
    <w:p>
      <w:pPr>
        <w:spacing w:after="0" w:line="174" w:lineRule="exact"/>
        <w:rPr>
          <w:sz w:val="20"/>
          <w:szCs w:val="20"/>
          <w:color w:val="auto"/>
        </w:rPr>
      </w:pPr>
    </w:p>
    <w:p>
      <w:pPr>
        <w:jc w:val="both"/>
        <w:ind w:left="800" w:right="219"/>
        <w:spacing w:after="0" w:line="270" w:lineRule="auto"/>
        <w:rPr>
          <w:sz w:val="20"/>
          <w:szCs w:val="20"/>
          <w:color w:val="auto"/>
        </w:rPr>
      </w:pPr>
      <w:r>
        <w:rPr>
          <w:rFonts w:ascii="Arial" w:cs="Arial" w:eastAsia="Arial" w:hAnsi="Arial"/>
          <w:sz w:val="17"/>
          <w:szCs w:val="17"/>
          <w:color w:val="auto"/>
        </w:rPr>
        <w:t xml:space="preserve">Appendix B shows the proposed changes to the Charter, with proposed deletions reflected by </w:t>
      </w:r>
      <w:r>
        <w:rPr>
          <w:rFonts w:ascii="Arial" w:cs="Arial" w:eastAsia="Arial" w:hAnsi="Arial"/>
          <w:sz w:val="17"/>
          <w:szCs w:val="17"/>
          <w:color w:val="FC0014"/>
        </w:rPr>
        <w:t>red “</w:t>
      </w:r>
      <w:r>
        <w:rPr>
          <w:rFonts w:ascii="Arial" w:cs="Arial" w:eastAsia="Arial" w:hAnsi="Arial"/>
          <w:sz w:val="17"/>
          <w:szCs w:val="17"/>
          <w:color w:val="FC0014"/>
          <w:strike w:val="1"/>
        </w:rPr>
        <w:t>strike-through</w:t>
      </w:r>
      <w:r>
        <w:rPr>
          <w:rFonts w:ascii="Arial" w:cs="Arial" w:eastAsia="Arial" w:hAnsi="Arial"/>
          <w:sz w:val="17"/>
          <w:szCs w:val="17"/>
          <w:color w:val="FC0014"/>
        </w:rPr>
        <w:t>”</w:t>
      </w:r>
      <w:r>
        <w:rPr>
          <w:rFonts w:ascii="Arial" w:cs="Arial" w:eastAsia="Arial" w:hAnsi="Arial"/>
          <w:sz w:val="17"/>
          <w:szCs w:val="17"/>
          <w:color w:val="auto"/>
        </w:rPr>
        <w:t xml:space="preserve"> </w:t>
      </w:r>
      <w:r>
        <w:rPr>
          <w:rFonts w:ascii="Arial" w:cs="Arial" w:eastAsia="Arial" w:hAnsi="Arial"/>
          <w:sz w:val="17"/>
          <w:szCs w:val="17"/>
          <w:color w:val="FC0014"/>
        </w:rPr>
        <w:t xml:space="preserve">text </w:t>
      </w:r>
      <w:r>
        <w:rPr>
          <w:rFonts w:ascii="Arial" w:cs="Arial" w:eastAsia="Arial" w:hAnsi="Arial"/>
          <w:sz w:val="17"/>
          <w:szCs w:val="17"/>
          <w:color w:val="000000"/>
        </w:rPr>
        <w:t>and proposed additions reflected by</w:t>
      </w:r>
      <w:r>
        <w:rPr>
          <w:rFonts w:ascii="Arial" w:cs="Arial" w:eastAsia="Arial" w:hAnsi="Arial"/>
          <w:sz w:val="17"/>
          <w:szCs w:val="17"/>
          <w:color w:val="FC0014"/>
        </w:rPr>
        <w:t xml:space="preserve"> </w:t>
      </w:r>
      <w:r>
        <w:rPr>
          <w:rFonts w:ascii="Arial" w:cs="Arial" w:eastAsia="Arial" w:hAnsi="Arial"/>
          <w:sz w:val="17"/>
          <w:szCs w:val="17"/>
          <w:color w:val="0081C4"/>
        </w:rPr>
        <w:t>blue “</w:t>
      </w:r>
      <w:r>
        <w:rPr>
          <w:rFonts w:ascii="Arial" w:cs="Arial" w:eastAsia="Arial" w:hAnsi="Arial"/>
          <w:sz w:val="17"/>
          <w:szCs w:val="17"/>
          <w:u w:val="single" w:color="auto"/>
          <w:color w:val="0081C4"/>
        </w:rPr>
        <w:t>underline</w:t>
      </w:r>
      <w:r>
        <w:rPr>
          <w:rFonts w:ascii="Arial" w:cs="Arial" w:eastAsia="Arial" w:hAnsi="Arial"/>
          <w:sz w:val="17"/>
          <w:szCs w:val="17"/>
          <w:color w:val="0081C4"/>
        </w:rPr>
        <w:t>” text</w:t>
      </w:r>
      <w:r>
        <w:rPr>
          <w:rFonts w:ascii="Arial" w:cs="Arial" w:eastAsia="Arial" w:hAnsi="Arial"/>
          <w:sz w:val="17"/>
          <w:szCs w:val="17"/>
          <w:color w:val="000000"/>
        </w:rPr>
        <w:t>. This summary is qualified in its entirety by reference</w:t>
      </w:r>
      <w:r>
        <w:rPr>
          <w:rFonts w:ascii="Arial" w:cs="Arial" w:eastAsia="Arial" w:hAnsi="Arial"/>
          <w:sz w:val="17"/>
          <w:szCs w:val="17"/>
          <w:color w:val="FC0014"/>
        </w:rPr>
        <w:t xml:space="preserve"> </w:t>
      </w:r>
      <w:r>
        <w:rPr>
          <w:rFonts w:ascii="Arial" w:cs="Arial" w:eastAsia="Arial" w:hAnsi="Arial"/>
          <w:sz w:val="17"/>
          <w:szCs w:val="17"/>
          <w:color w:val="000000"/>
        </w:rPr>
        <w:t>to Appendix B and the above description of Section 102(b)(7) of the DGCL is qualified in its entirety by reference to Section 102(b)(7) of the DGCL.</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45"/>
          <w:szCs w:val="45"/>
          <w:color w:val="auto"/>
        </w:rPr>
        <w:t>Vote Required for Approval</w:t>
      </w:r>
    </w:p>
    <w:p>
      <w:pPr>
        <w:spacing w:after="0" w:line="116" w:lineRule="exact"/>
        <w:rPr>
          <w:sz w:val="20"/>
          <w:szCs w:val="20"/>
          <w:color w:val="auto"/>
        </w:rPr>
      </w:pPr>
    </w:p>
    <w:p>
      <w:pPr>
        <w:ind w:left="800" w:right="319"/>
        <w:spacing w:after="0" w:line="270" w:lineRule="auto"/>
        <w:rPr>
          <w:sz w:val="20"/>
          <w:szCs w:val="20"/>
          <w:color w:val="auto"/>
        </w:rPr>
      </w:pPr>
      <w:r>
        <w:rPr>
          <w:rFonts w:ascii="Arial" w:cs="Arial" w:eastAsia="Arial" w:hAnsi="Arial"/>
          <w:sz w:val="17"/>
          <w:szCs w:val="17"/>
          <w:color w:val="auto"/>
        </w:rPr>
        <w:t>The approval of the Proposed Amended and Restated Charter requires the affirmative “FOR” vote of a majority of the voting power of the outstanding shares of our common stock entitled to vote at the Annual Meeting. You may vote “For” or “Against” or you may “Abstain” with respect to this proposal. Abstentions and broker non-votes will have the same effect of a vote against this proposal.</w:t>
      </w:r>
    </w:p>
    <w:p>
      <w:pPr>
        <w:spacing w:after="0" w:line="38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71"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379"/>
        <w:spacing w:after="0" w:line="270" w:lineRule="auto"/>
        <w:rPr>
          <w:sz w:val="20"/>
          <w:szCs w:val="20"/>
          <w:color w:val="auto"/>
        </w:rPr>
      </w:pPr>
      <w:r>
        <w:rPr>
          <w:rFonts w:ascii="Arial" w:cs="Arial" w:eastAsia="Arial" w:hAnsi="Arial"/>
          <w:sz w:val="17"/>
          <w:szCs w:val="17"/>
          <w:color w:val="auto"/>
        </w:rPr>
        <w:t>If our stockholders approve this proposal, the Proposed Amended and Restated Charter would become effective upon the filing of that document with the Secretary of State of the State of Delaware. We intend to make the filing promptly after the Annual Meeting. The Board retains the discretion to abandon the Proposed Amended and Restated Charter at any time before it becomes effective.</w:t>
      </w:r>
    </w:p>
    <w:p>
      <w:pPr>
        <w:spacing w:after="0" w:line="246" w:lineRule="exact"/>
        <w:rPr>
          <w:sz w:val="20"/>
          <w:szCs w:val="20"/>
          <w:color w:val="auto"/>
        </w:rPr>
      </w:pPr>
    </w:p>
    <w:p>
      <w:pPr>
        <w:jc w:val="center"/>
        <w:ind w:right="-680"/>
        <w:spacing w:after="0"/>
        <w:rPr>
          <w:sz w:val="20"/>
          <w:szCs w:val="20"/>
          <w:color w:val="auto"/>
        </w:rPr>
      </w:pPr>
      <w:r>
        <w:rPr>
          <w:sz w:val="1"/>
          <w:szCs w:val="1"/>
          <w:color w:val="auto"/>
        </w:rPr>
        <w:drawing>
          <wp:inline distT="0" distB="0" distL="0" distR="0">
            <wp:extent cx="215900" cy="2159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0" cy="215900"/>
                    </a:xfrm>
                    <a:prstGeom prst="rect">
                      <a:avLst/>
                    </a:prstGeom>
                    <a:noFill/>
                    <a:ln>
                      <a:noFill/>
                    </a:ln>
                  </pic:spPr>
                </pic:pic>
              </a:graphicData>
            </a:graphic>
          </wp:inline>
        </w:drawing>
      </w:r>
      <w:r>
        <w:rPr>
          <w:rFonts w:ascii="Arial" w:cs="Arial" w:eastAsia="Arial" w:hAnsi="Arial"/>
          <w:sz w:val="25"/>
          <w:szCs w:val="25"/>
          <w:color w:val="auto"/>
          <w:vertAlign w:val="superscript"/>
        </w:rPr>
        <w:t xml:space="preserve">  </w:t>
      </w:r>
      <w:r>
        <w:rPr>
          <w:rFonts w:ascii="Arial" w:cs="Arial" w:eastAsia="Arial" w:hAnsi="Arial"/>
          <w:sz w:val="25"/>
          <w:szCs w:val="25"/>
          <w:b w:val="1"/>
          <w:bCs w:val="1"/>
          <w:color w:val="auto"/>
        </w:rPr>
        <w:t>THE BOARD OF DIRECTORS RECOMMENDS A VOTE OF “FOR” AN</w:t>
      </w:r>
    </w:p>
    <w:p>
      <w:pPr>
        <w:jc w:val="center"/>
        <w:ind w:right="-680"/>
        <w:spacing w:after="0"/>
        <w:rPr>
          <w:sz w:val="20"/>
          <w:szCs w:val="20"/>
          <w:color w:val="auto"/>
        </w:rPr>
      </w:pPr>
      <w:r>
        <w:rPr>
          <w:rFonts w:ascii="Arial" w:cs="Arial" w:eastAsia="Arial" w:hAnsi="Arial"/>
          <w:sz w:val="17"/>
          <w:szCs w:val="17"/>
          <w:b w:val="1"/>
          <w:bCs w:val="1"/>
          <w:color w:val="auto"/>
        </w:rPr>
        <w:t>AMENDMENT AND RESTATEMENT OF OUR AMENDED AND RESTATED CERTIFICATE OF</w:t>
      </w:r>
    </w:p>
    <w:p>
      <w:pPr>
        <w:spacing w:after="0" w:line="1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INCORPORATION TO LIMIT OFFICER LIABILITY AS PERMITTED BY DELAWARE LAW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Proposal 4</w:t>
      </w:r>
    </w:p>
    <w:p>
      <w:pPr>
        <w:spacing w:after="0" w:line="9" w:lineRule="exact"/>
        <w:rPr>
          <w:sz w:val="20"/>
          <w:szCs w:val="20"/>
          <w:color w:val="auto"/>
        </w:rPr>
      </w:pPr>
    </w:p>
    <w:p>
      <w:pPr>
        <w:ind w:left="800" w:right="139"/>
        <w:spacing w:after="0" w:line="231" w:lineRule="auto"/>
        <w:rPr>
          <w:sz w:val="20"/>
          <w:szCs w:val="20"/>
          <w:color w:val="auto"/>
        </w:rPr>
      </w:pPr>
      <w:r>
        <w:rPr>
          <w:rFonts w:ascii="Arial" w:cs="Arial" w:eastAsia="Arial" w:hAnsi="Arial"/>
          <w:sz w:val="49"/>
          <w:szCs w:val="49"/>
          <w:b w:val="1"/>
          <w:bCs w:val="1"/>
          <w:color w:val="auto"/>
        </w:rPr>
        <w:t>Advisory Vote on the Ratification of Supermajority Voting Provisions in Our Amended and Restated Certificate of Incorporation and Amended and Restated Bylaws</w:t>
      </w:r>
    </w:p>
    <w:p>
      <w:pPr>
        <w:spacing w:after="0" w:line="3" w:lineRule="exact"/>
        <w:rPr>
          <w:sz w:val="20"/>
          <w:szCs w:val="20"/>
          <w:color w:val="auto"/>
        </w:rPr>
      </w:pPr>
    </w:p>
    <w:p>
      <w:pPr>
        <w:ind w:left="800" w:right="119"/>
        <w:spacing w:after="0" w:line="264" w:lineRule="auto"/>
        <w:rPr>
          <w:sz w:val="20"/>
          <w:szCs w:val="20"/>
          <w:color w:val="auto"/>
        </w:rPr>
      </w:pPr>
      <w:r>
        <w:rPr>
          <w:rFonts w:ascii="Arial" w:cs="Arial" w:eastAsia="Arial" w:hAnsi="Arial"/>
          <w:sz w:val="17"/>
          <w:szCs w:val="17"/>
          <w:color w:val="auto"/>
        </w:rPr>
        <w:t>Our Board is seeking stockholder ratification of provisions in our Charter and Bylaws that require a vote of two-thirds of the outstanding shares of our common stock in order to take certain actions (the “Supermajority Provisions”). 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following is a summary of the Supermajority Provisions contained in our Charter and Bylaws:</w:t>
      </w:r>
    </w:p>
    <w:p>
      <w:pPr>
        <w:spacing w:after="0" w:line="66" w:lineRule="exact"/>
        <w:rPr>
          <w:sz w:val="20"/>
          <w:szCs w:val="20"/>
          <w:color w:val="auto"/>
        </w:rPr>
      </w:pPr>
    </w:p>
    <w:p>
      <w:pPr>
        <w:ind w:left="1320" w:right="219" w:hanging="179"/>
        <w:spacing w:after="0" w:line="267"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Article IV, Section 3.5 of our Charter relates to the protective provisions for the Class B common stock and requires the prior affirmative vote of the holders of two-thirds the outstanding shares of Class B common stock, voting as a separate class, in addition to any other vote required by applicable law or our Charter, to take certain actions listed in such protective provisions. This provision is no longer applicable as the Class B common stock was retired in December 2024.</w:t>
      </w:r>
    </w:p>
    <w:p>
      <w:pPr>
        <w:spacing w:after="0" w:line="62" w:lineRule="exact"/>
        <w:rPr>
          <w:rFonts w:ascii="Arial" w:cs="Arial" w:eastAsia="Arial" w:hAnsi="Arial"/>
          <w:sz w:val="17"/>
          <w:szCs w:val="17"/>
          <w:color w:val="auto"/>
        </w:rPr>
      </w:pPr>
    </w:p>
    <w:p>
      <w:pPr>
        <w:ind w:left="1320" w:right="299" w:hanging="179"/>
        <w:spacing w:after="0" w:line="270"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Article IV, Section 4.4 of our Charter allows the holders of two-thirds of the then outstanding shares of Class B common stock, voting as a separate class, to set the Final Conversion Date (as defined in our Charter). This provision is no longer applicable as such Final Conversion Date has passed and the Class B common stock was retired in December 2024.</w:t>
      </w:r>
    </w:p>
    <w:p>
      <w:pPr>
        <w:spacing w:after="0" w:line="61" w:lineRule="exact"/>
        <w:rPr>
          <w:rFonts w:ascii="Arial" w:cs="Arial" w:eastAsia="Arial" w:hAnsi="Arial"/>
          <w:sz w:val="17"/>
          <w:szCs w:val="17"/>
          <w:color w:val="auto"/>
        </w:rPr>
      </w:pPr>
    </w:p>
    <w:p>
      <w:pPr>
        <w:ind w:left="1320" w:right="359" w:hanging="179"/>
        <w:spacing w:after="0" w:line="277"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Article V of our Charter requires the affirmative vote of the holders of not less than two-thirds of the total voting power of the capital stock of the Company then entitled to vote generally in the election of directors, voting together as a single class, for our stockholders to adopt, amend or repeal our Bylaws.</w:t>
      </w:r>
    </w:p>
    <w:p>
      <w:pPr>
        <w:spacing w:after="0" w:line="55" w:lineRule="exact"/>
        <w:rPr>
          <w:rFonts w:ascii="Arial" w:cs="Arial" w:eastAsia="Arial" w:hAnsi="Arial"/>
          <w:sz w:val="17"/>
          <w:szCs w:val="17"/>
          <w:color w:val="auto"/>
        </w:rPr>
      </w:pPr>
    </w:p>
    <w:p>
      <w:pPr>
        <w:ind w:left="1320" w:right="239" w:hanging="179"/>
        <w:spacing w:after="0" w:line="267"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Article X of our Charter requires, prior to the Final Conversion Date, the affirmative vote of the holders of at least two-thirds of the voting power of the outstanding shares of stock of the Company entitled to vote generally in the election of directors, voting together as a single class, to amend, alter, change or repeal any provision contained in our Charter or adopt any new provision of our Charter. This provision is no longer applicable as such Final Conversion Date has passed.</w:t>
      </w:r>
    </w:p>
    <w:p>
      <w:pPr>
        <w:spacing w:after="0" w:line="62" w:lineRule="exact"/>
        <w:rPr>
          <w:rFonts w:ascii="Arial" w:cs="Arial" w:eastAsia="Arial" w:hAnsi="Arial"/>
          <w:sz w:val="17"/>
          <w:szCs w:val="17"/>
          <w:color w:val="auto"/>
        </w:rPr>
      </w:pPr>
    </w:p>
    <w:p>
      <w:pPr>
        <w:ind w:left="1320" w:right="159" w:hanging="179"/>
        <w:spacing w:after="0" w:line="267"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Article X of our Charter requires, from and after the Final Conversion Date, the affirmative vote of the holders of at least two-thirds of the voting power of the outstanding shares of stock of the Company entitled to vote generally in the election of directors, voting together as a single class, to amend or repeal, or adopt any provision of our Charter inconsistent with Article IV, Section 3 (Common Stock); Article V (Bylaws); Article VI (Board of Directors); Article VII (Meetings of Stockholders); or Article X (Amendments).</w:t>
      </w:r>
    </w:p>
    <w:p>
      <w:pPr>
        <w:spacing w:after="0" w:line="62" w:lineRule="exact"/>
        <w:rPr>
          <w:rFonts w:ascii="Arial" w:cs="Arial" w:eastAsia="Arial" w:hAnsi="Arial"/>
          <w:sz w:val="17"/>
          <w:szCs w:val="17"/>
          <w:color w:val="auto"/>
        </w:rPr>
      </w:pPr>
    </w:p>
    <w:p>
      <w:pPr>
        <w:jc w:val="both"/>
        <w:ind w:left="1320" w:right="279" w:hanging="179"/>
        <w:spacing w:after="0" w:line="277"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Section 6.06 of our Bylaws requires the affirmative vote of the holders of two-thirds of the total voting power of all the outstanding securities of the Company generally entitled to vote in the election of directors, voting together as a single class, to adopt, amend or repeal our Bylaws.</w:t>
      </w:r>
    </w:p>
    <w:p>
      <w:pPr>
        <w:spacing w:after="0" w:line="160"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The Company received a stockholder proposal this year for consideration at the Annual Meeting to eliminate the Supermajority Provisions in the Charter and Bylaws and to take the necessary actions to replace such provisions with simple majority voting (the “Stockholder Proposal”). As detailed in a letter submitted by the Company to the staff of the SEC, the Company believes that the Stockholder Proposal was appropriately excluded from this Proxy Statement under Rule 14a-8(i)(9) of the Exchange Act because it would have directly conflicted with this Proposal 4. Due to the conflicting nature of this Proposal 4 and the Stockholder Proposal, a reasonable stockholder could not logically vote in favor of both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28 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Purpose of the Supermajority Provisions</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Promote Long-Term Corporate Management</w:t>
      </w:r>
    </w:p>
    <w:p>
      <w:pPr>
        <w:spacing w:after="0" w:line="119" w:lineRule="exact"/>
        <w:rPr>
          <w:sz w:val="20"/>
          <w:szCs w:val="20"/>
          <w:color w:val="auto"/>
        </w:rPr>
      </w:pPr>
    </w:p>
    <w:p>
      <w:pPr>
        <w:ind w:left="800" w:right="259"/>
        <w:spacing w:after="0" w:line="263" w:lineRule="auto"/>
        <w:rPr>
          <w:sz w:val="20"/>
          <w:szCs w:val="20"/>
          <w:color w:val="auto"/>
        </w:rPr>
      </w:pPr>
      <w:r>
        <w:rPr>
          <w:rFonts w:ascii="Arial" w:cs="Arial" w:eastAsia="Arial" w:hAnsi="Arial"/>
          <w:sz w:val="17"/>
          <w:szCs w:val="17"/>
          <w:color w:val="auto"/>
        </w:rPr>
        <w:t>Our Board believes the Supermajority Provisions safeguard the long-term interests of our stockholders, our Board, and third parties, enabling them to make long-term investments in the Company knowing that our corporate governance will be steady and changes will be carefully considered and broadly supported. Changes to the provisions that require a supermajority vote to amend may be appropriate over time. By requiring supermajority approval, we incentivize careful consideration of any such changes, decreasing the likelihood that a change will subsequently be quickly reversed. Supermajority voting requirements on significant corporate actions are common — many publicly-traded companies require a supermajority to take crucial actions.</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Require Broad Stockholder Support for Key Actions and Protect Minority Stockholders</w:t>
      </w:r>
    </w:p>
    <w:p>
      <w:pPr>
        <w:spacing w:after="0" w:line="119" w:lineRule="exact"/>
        <w:rPr>
          <w:sz w:val="20"/>
          <w:szCs w:val="20"/>
          <w:color w:val="auto"/>
        </w:rPr>
      </w:pPr>
    </w:p>
    <w:p>
      <w:pPr>
        <w:ind w:left="800" w:right="379"/>
        <w:spacing w:after="0" w:line="277" w:lineRule="auto"/>
        <w:rPr>
          <w:sz w:val="20"/>
          <w:szCs w:val="20"/>
          <w:color w:val="auto"/>
        </w:rPr>
      </w:pPr>
      <w:r>
        <w:rPr>
          <w:rFonts w:ascii="Arial" w:cs="Arial" w:eastAsia="Arial" w:hAnsi="Arial"/>
          <w:sz w:val="17"/>
          <w:szCs w:val="17"/>
          <w:color w:val="auto"/>
        </w:rPr>
        <w:t>Our Board believes the Supermajority Provisions are strong corporate governance because they ensure that any significant changes to the provisions mentioned above must be made with broad stockholder support. Majority voting allows relatively few, large stockholders to dominate a substantial number of smaller stockholders.</w:t>
      </w:r>
    </w:p>
    <w:p>
      <w:pPr>
        <w:spacing w:after="0" w:line="160" w:lineRule="exact"/>
        <w:rPr>
          <w:sz w:val="20"/>
          <w:szCs w:val="20"/>
          <w:color w:val="auto"/>
        </w:rPr>
      </w:pPr>
    </w:p>
    <w:p>
      <w:pPr>
        <w:ind w:left="800" w:right="279"/>
        <w:spacing w:after="0" w:line="277" w:lineRule="auto"/>
        <w:rPr>
          <w:sz w:val="20"/>
          <w:szCs w:val="20"/>
          <w:color w:val="auto"/>
        </w:rPr>
      </w:pPr>
      <w:r>
        <w:rPr>
          <w:rFonts w:ascii="Arial" w:cs="Arial" w:eastAsia="Arial" w:hAnsi="Arial"/>
          <w:sz w:val="17"/>
          <w:szCs w:val="17"/>
          <w:color w:val="auto"/>
        </w:rPr>
        <w:t>In addition, our Board has a fiduciary duty to pursue the best interests of all stockholders. By reserving changes to certain fundamental governance provisions for supermajority approval, these provisions help insulate us from a small number of large stockholders acting out of self-interest at the expense of minority stockholders.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Limited Scope</w:t>
      </w:r>
    </w:p>
    <w:p>
      <w:pPr>
        <w:spacing w:after="0" w:line="106" w:lineRule="exact"/>
        <w:rPr>
          <w:sz w:val="20"/>
          <w:szCs w:val="20"/>
          <w:color w:val="auto"/>
        </w:rPr>
      </w:pPr>
    </w:p>
    <w:p>
      <w:pPr>
        <w:ind w:left="800" w:right="339"/>
        <w:spacing w:after="0" w:line="270" w:lineRule="auto"/>
        <w:rPr>
          <w:sz w:val="20"/>
          <w:szCs w:val="20"/>
          <w:color w:val="auto"/>
        </w:rPr>
      </w:pPr>
      <w:r>
        <w:rPr>
          <w:rFonts w:ascii="Arial" w:cs="Arial" w:eastAsia="Arial" w:hAnsi="Arial"/>
          <w:sz w:val="17"/>
          <w:szCs w:val="17"/>
          <w:color w:val="auto"/>
        </w:rPr>
        <w:t>Lastly, our Board recognizes that supermajority is not necessary for all aspects of our structure and governance. While the Supermajority Provisions in our Charter and Bylaws promote long-term corporate management, require broad stockholder support and protect minority stockholders with respect to certain fundamental matters, our corporate governance empowers stockholders to take action on all other matters with a lower vote.</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Vote Required for Approval</w:t>
      </w:r>
    </w:p>
    <w:p>
      <w:pPr>
        <w:spacing w:after="0" w:line="109" w:lineRule="exact"/>
        <w:rPr>
          <w:sz w:val="20"/>
          <w:szCs w:val="20"/>
          <w:color w:val="auto"/>
        </w:rPr>
      </w:pPr>
    </w:p>
    <w:p>
      <w:pPr>
        <w:ind w:left="800" w:right="119"/>
        <w:spacing w:after="0" w:line="263" w:lineRule="auto"/>
        <w:rPr>
          <w:sz w:val="20"/>
          <w:szCs w:val="20"/>
          <w:color w:val="auto"/>
        </w:rPr>
      </w:pPr>
      <w:r>
        <w:rPr>
          <w:rFonts w:ascii="Arial" w:cs="Arial" w:eastAsia="Arial" w:hAnsi="Arial"/>
          <w:sz w:val="17"/>
          <w:szCs w:val="17"/>
          <w:color w:val="auto"/>
        </w:rPr>
        <w:t>The ratification of supermajority voting provisions in our Charter and Bylaws, to be approved on an advisory, non-binding basis, requires the affirmative “FOR” vote of a majority of the votes cast to be approved. Abstentions and broker non-votes will not be counted as votes cast. Because the vote is advisory, it is not binding on management or the Board. Nevertheless, the views expressed by our stockholders, whether through this vote or otherwise, are important to management and the Board and, accordingly, the Nominating and Corporate Governance Committee and the Board intend to consider the results of this vote in making determinations in the future regarding our governance.</w:t>
      </w:r>
    </w:p>
    <w:p>
      <w:pPr>
        <w:spacing w:after="0" w:line="269" w:lineRule="exact"/>
        <w:rPr>
          <w:sz w:val="20"/>
          <w:szCs w:val="20"/>
          <w:color w:val="auto"/>
        </w:rPr>
      </w:pPr>
    </w:p>
    <w:p>
      <w:pPr>
        <w:jc w:val="center"/>
        <w:ind w:left="1540" w:right="580"/>
        <w:spacing w:after="0" w:line="270" w:lineRule="auto"/>
        <w:rPr>
          <w:sz w:val="20"/>
          <w:szCs w:val="20"/>
          <w:color w:val="auto"/>
        </w:rPr>
      </w:pPr>
      <w:r>
        <w:rPr>
          <w:sz w:val="1"/>
          <w:szCs w:val="1"/>
          <w:color w:val="auto"/>
        </w:rPr>
        <w:drawing>
          <wp:inline distT="0" distB="0" distL="0" distR="0">
            <wp:extent cx="215900" cy="20764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0" cy="207645"/>
                    </a:xfrm>
                    <a:prstGeom prst="rect">
                      <a:avLst/>
                    </a:prstGeom>
                    <a:noFill/>
                    <a:ln>
                      <a:noFill/>
                    </a:ln>
                  </pic:spPr>
                </pic:pic>
              </a:graphicData>
            </a:graphic>
          </wp:inline>
        </w:drawing>
      </w:r>
      <w:r>
        <w:rPr>
          <w:rFonts w:ascii="Arial" w:cs="Arial" w:eastAsia="Arial" w:hAnsi="Arial"/>
          <w:sz w:val="17"/>
          <w:szCs w:val="17"/>
          <w:color w:val="auto"/>
        </w:rPr>
        <w:t xml:space="preserve">  </w:t>
      </w:r>
      <w:r>
        <w:rPr>
          <w:rFonts w:ascii="Arial" w:cs="Arial" w:eastAsia="Arial" w:hAnsi="Arial"/>
          <w:sz w:val="17"/>
          <w:szCs w:val="17"/>
          <w:b w:val="1"/>
          <w:bCs w:val="1"/>
          <w:color w:val="auto"/>
        </w:rPr>
        <w:t>THE BOARD OF DIRECTORS RECOMMENDS A VOTE OF “FOR” THE ADVISORY VOTE</w:t>
      </w:r>
      <w:r>
        <w:rPr>
          <w:rFonts w:ascii="Arial" w:cs="Arial" w:eastAsia="Arial" w:hAnsi="Arial"/>
          <w:sz w:val="17"/>
          <w:szCs w:val="17"/>
          <w:color w:val="auto"/>
        </w:rPr>
        <w:t xml:space="preserve"> </w:t>
      </w:r>
      <w:r>
        <w:rPr>
          <w:rFonts w:ascii="Arial" w:cs="Arial" w:eastAsia="Arial" w:hAnsi="Arial"/>
          <w:sz w:val="17"/>
          <w:szCs w:val="17"/>
          <w:b w:val="1"/>
          <w:bCs w:val="1"/>
          <w:color w:val="auto"/>
        </w:rPr>
        <w:t>TO RATIFY SUPERMAJORITY VOTING PROVISIONS IN OUR AMENDED AND RESTATED CERTIFICATE OF INCORPORATION AND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right="639"/>
        <w:spacing w:after="0" w:line="269" w:lineRule="auto"/>
        <w:rPr>
          <w:sz w:val="20"/>
          <w:szCs w:val="20"/>
          <w:color w:val="auto"/>
        </w:rPr>
      </w:pPr>
      <w:r>
        <w:rPr>
          <w:rFonts w:ascii="Arial" w:cs="Arial" w:eastAsia="Arial" w:hAnsi="Arial"/>
          <w:sz w:val="49"/>
          <w:szCs w:val="49"/>
          <w:b w:val="1"/>
          <w:bCs w:val="1"/>
          <w:color w:val="auto"/>
        </w:rPr>
        <w:t>Executive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-16510</wp:posOffset>
            </wp:positionV>
            <wp:extent cx="5576570" cy="165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b w:val="1"/>
          <w:bCs w:val="1"/>
          <w:color w:val="FFFFFF"/>
        </w:rPr>
        <w:t>TABLE OF CONTENTS</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1 — Business Performance Highlights</w:t>
            </w:r>
          </w:p>
        </w:tc>
        <w:tc>
          <w:tcPr>
            <w:tcW w:w="1160" w:type="dxa"/>
            <w:vAlign w:val="bottom"/>
            <w:gridSpan w:val="5"/>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30</w:t>
            </w: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346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0000EE"/>
              </w:rPr>
              <w:t>401(k) Plan</w:t>
            </w:r>
          </w:p>
        </w:tc>
        <w:tc>
          <w:tcPr>
            <w:tcW w:w="66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p>
        </w:tc>
        <w:tc>
          <w:tcPr>
            <w:tcW w:w="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0"/>
          </w:tcPr>
          <w:p>
            <w:pPr>
              <w:spacing w:after="0" w:line="189" w:lineRule="exact"/>
              <w:rPr>
                <w:sz w:val="20"/>
                <w:szCs w:val="20"/>
                <w:color w:val="auto"/>
              </w:rPr>
            </w:pPr>
            <w:r>
              <w:rPr>
                <w:rFonts w:ascii="Arial" w:cs="Arial" w:eastAsia="Arial" w:hAnsi="Arial"/>
                <w:sz w:val="17"/>
                <w:szCs w:val="17"/>
                <w:color w:val="0000EE"/>
                <w:w w:val="99"/>
              </w:rPr>
              <w:t>2 — Our Approach to Executive Compensation</w:t>
            </w:r>
          </w:p>
        </w:tc>
        <w:tc>
          <w:tcPr>
            <w:tcW w:w="480" w:type="dxa"/>
            <w:vAlign w:val="bottom"/>
            <w:gridSpan w:val="2"/>
          </w:tcPr>
          <w:p>
            <w:pPr>
              <w:spacing w:after="0"/>
              <w:rPr>
                <w:sz w:val="16"/>
                <w:szCs w:val="16"/>
                <w:color w:val="auto"/>
              </w:rPr>
            </w:pP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32</w:t>
            </w:r>
          </w:p>
        </w:tc>
        <w:tc>
          <w:tcPr>
            <w:tcW w:w="3780" w:type="dxa"/>
            <w:vAlign w:val="bottom"/>
            <w:gridSpan w:val="16"/>
          </w:tcPr>
          <w:p>
            <w:pPr>
              <w:ind w:left="60"/>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Employee Stock Purchase Plan</w:t>
            </w:r>
          </w:p>
        </w:tc>
        <w:tc>
          <w:tcPr>
            <w:tcW w:w="70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3380" w:type="dxa"/>
            <w:vAlign w:val="bottom"/>
            <w:tcBorders>
              <w:right w:val="single" w:sz="8" w:color="CCEEFF"/>
            </w:tcBorders>
            <w:gridSpan w:val="9"/>
            <w:shd w:val="clear" w:color="auto" w:fill="CCEEFF"/>
          </w:tcPr>
          <w:p>
            <w:pPr>
              <w:spacing w:after="0" w:line="189" w:lineRule="exact"/>
              <w:rPr>
                <w:sz w:val="20"/>
                <w:szCs w:val="20"/>
                <w:color w:val="auto"/>
              </w:rPr>
            </w:pPr>
            <w:r>
              <w:rPr>
                <w:rFonts w:ascii="Arial" w:cs="Arial" w:eastAsia="Arial" w:hAnsi="Arial"/>
                <w:sz w:val="17"/>
                <w:szCs w:val="17"/>
                <w:color w:val="0000EE"/>
              </w:rPr>
              <w:t>Role of Stockholders</w:t>
            </w:r>
          </w:p>
        </w:tc>
        <w:tc>
          <w:tcPr>
            <w:tcW w:w="480" w:type="dxa"/>
            <w:vAlign w:val="bottom"/>
            <w:gridSpan w:val="2"/>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32</w:t>
            </w: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60" w:type="dxa"/>
            <w:vAlign w:val="bottom"/>
            <w:gridSpan w:val="13"/>
            <w:shd w:val="clear" w:color="auto" w:fill="CCEEFF"/>
          </w:tcPr>
          <w:p>
            <w:pPr>
              <w:spacing w:after="0" w:line="189" w:lineRule="exact"/>
              <w:rPr>
                <w:sz w:val="20"/>
                <w:szCs w:val="20"/>
                <w:color w:val="auto"/>
              </w:rPr>
            </w:pPr>
            <w:r>
              <w:rPr>
                <w:rFonts w:ascii="Arial" w:cs="Arial" w:eastAsia="Arial" w:hAnsi="Arial"/>
                <w:sz w:val="17"/>
                <w:szCs w:val="17"/>
                <w:color w:val="0000EE"/>
              </w:rPr>
              <w:t>Health and Welfare Benefits</w:t>
            </w:r>
          </w:p>
        </w:tc>
        <w:tc>
          <w:tcPr>
            <w:tcW w:w="66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CCEEFF"/>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860" w:type="dxa"/>
            <w:vAlign w:val="bottom"/>
            <w:gridSpan w:val="11"/>
          </w:tcPr>
          <w:p>
            <w:pPr>
              <w:spacing w:after="0" w:line="189" w:lineRule="exact"/>
              <w:rPr>
                <w:sz w:val="20"/>
                <w:szCs w:val="20"/>
                <w:color w:val="auto"/>
              </w:rPr>
            </w:pPr>
            <w:r>
              <w:rPr>
                <w:rFonts w:ascii="Arial" w:cs="Arial" w:eastAsia="Arial" w:hAnsi="Arial"/>
                <w:sz w:val="17"/>
                <w:szCs w:val="17"/>
                <w:color w:val="0000EE"/>
              </w:rPr>
              <w:t>Compensation Philosophy</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33</w:t>
            </w:r>
          </w:p>
        </w:tc>
        <w:tc>
          <w:tcPr>
            <w:tcW w:w="3780" w:type="dxa"/>
            <w:vAlign w:val="bottom"/>
            <w:gridSpan w:val="16"/>
          </w:tcPr>
          <w:p>
            <w:pPr>
              <w:ind w:left="60"/>
              <w:spacing w:after="0" w:line="18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Perquisites and Other Personal Benefits</w:t>
            </w:r>
          </w:p>
        </w:tc>
        <w:tc>
          <w:tcPr>
            <w:tcW w:w="70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line="176"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60" w:type="dxa"/>
            <w:vAlign w:val="bottom"/>
            <w:gridSpan w:val="10"/>
            <w:shd w:val="clear" w:color="auto" w:fill="CCEEFF"/>
          </w:tcPr>
          <w:p>
            <w:pPr>
              <w:spacing w:after="0" w:line="163" w:lineRule="exact"/>
              <w:rPr>
                <w:sz w:val="20"/>
                <w:szCs w:val="20"/>
                <w:color w:val="auto"/>
              </w:rPr>
            </w:pPr>
            <w:r>
              <w:rPr>
                <w:rFonts w:ascii="Arial" w:cs="Arial" w:eastAsia="Arial" w:hAnsi="Arial"/>
                <w:sz w:val="17"/>
                <w:szCs w:val="17"/>
                <w:color w:val="0000EE"/>
              </w:rPr>
              <w:t>Executive Compensation Practices &amp; Policies</w:t>
            </w:r>
          </w:p>
        </w:tc>
        <w:tc>
          <w:tcPr>
            <w:tcW w:w="4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34</w:t>
            </w: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60" w:type="dxa"/>
            <w:vAlign w:val="bottom"/>
            <w:gridSpan w:val="13"/>
            <w:shd w:val="clear" w:color="auto" w:fill="CCEEFF"/>
          </w:tcPr>
          <w:p>
            <w:pPr>
              <w:spacing w:after="0" w:line="163" w:lineRule="exact"/>
              <w:rPr>
                <w:sz w:val="20"/>
                <w:szCs w:val="20"/>
                <w:color w:val="auto"/>
              </w:rPr>
            </w:pPr>
            <w:r>
              <w:rPr>
                <w:rFonts w:ascii="Arial" w:cs="Arial" w:eastAsia="Arial" w:hAnsi="Arial"/>
                <w:sz w:val="17"/>
                <w:szCs w:val="17"/>
                <w:color w:val="0000EE"/>
              </w:rPr>
              <w:t>Offer Letters, Employment Agreements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60" w:type="dxa"/>
            <w:vAlign w:val="bottom"/>
            <w:tcBorders>
              <w:top w:val="single" w:sz="8" w:color="CCEEFF"/>
            </w:tcBorders>
          </w:tcPr>
          <w:p>
            <w:pPr>
              <w:spacing w:after="0"/>
              <w:rPr>
                <w:sz w:val="14"/>
                <w:szCs w:val="14"/>
                <w:color w:val="auto"/>
              </w:rPr>
            </w:pPr>
          </w:p>
        </w:tc>
        <w:tc>
          <w:tcPr>
            <w:tcW w:w="338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7"/>
                <w:szCs w:val="17"/>
                <w:color w:val="0000EE"/>
              </w:rPr>
              <w:t>Peer Group Used for Fiscal 2026 Executive</w:t>
            </w:r>
          </w:p>
        </w:tc>
        <w:tc>
          <w:tcPr>
            <w:tcW w:w="80" w:type="dxa"/>
            <w:vAlign w:val="bottom"/>
            <w:tcBorders>
              <w:top w:val="single" w:sz="8" w:color="0000EE"/>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3120" w:type="dxa"/>
            <w:vAlign w:val="bottom"/>
            <w:tcBorders>
              <w:top w:val="single" w:sz="8" w:color="0000EE"/>
            </w:tcBorders>
            <w:gridSpan w:val="10"/>
            <w:shd w:val="clear" w:color="auto" w:fill="CCEEFF"/>
          </w:tcPr>
          <w:p>
            <w:pPr>
              <w:spacing w:after="0" w:line="169" w:lineRule="exact"/>
              <w:rPr>
                <w:sz w:val="20"/>
                <w:szCs w:val="20"/>
                <w:color w:val="auto"/>
              </w:rPr>
            </w:pPr>
            <w:r>
              <w:rPr>
                <w:rFonts w:ascii="Arial" w:cs="Arial" w:eastAsia="Arial" w:hAnsi="Arial"/>
                <w:sz w:val="17"/>
                <w:szCs w:val="17"/>
                <w:color w:val="0000EE"/>
              </w:rPr>
              <w:t>Change in Control Arrangements</w:t>
            </w:r>
          </w:p>
        </w:tc>
        <w:tc>
          <w:tcPr>
            <w:tcW w:w="160" w:type="dxa"/>
            <w:vAlign w:val="bottom"/>
            <w:tcBorders>
              <w:top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tcBorders>
            <w:gridSpan w:val="4"/>
            <w:shd w:val="clear" w:color="auto" w:fill="CCEEFF"/>
          </w:tcPr>
          <w:p>
            <w:pPr>
              <w:ind w:left="120"/>
              <w:spacing w:after="0" w:line="1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44</w:t>
            </w:r>
          </w:p>
        </w:tc>
        <w:tc>
          <w:tcPr>
            <w:tcW w:w="40" w:type="dxa"/>
            <w:vAlign w:val="bottom"/>
          </w:tcPr>
          <w:p>
            <w:pPr>
              <w:jc w:val="right"/>
              <w:spacing w:after="0" w:line="16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gridSpan w:val="3"/>
            <w:vMerge w:val="restart"/>
          </w:tcPr>
          <w:p>
            <w:pPr>
              <w:spacing w:after="0" w:line="176" w:lineRule="exact"/>
              <w:rPr>
                <w:sz w:val="20"/>
                <w:szCs w:val="20"/>
                <w:color w:val="auto"/>
              </w:rPr>
            </w:pPr>
            <w:r>
              <w:rPr>
                <w:rFonts w:ascii="Arial" w:cs="Arial" w:eastAsia="Arial" w:hAnsi="Arial"/>
                <w:sz w:val="17"/>
                <w:szCs w:val="17"/>
                <w:color w:val="0000EE"/>
              </w:rPr>
              <w:t>Compensation Analysis</w:t>
            </w: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gridSpan w:val="2"/>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vMerge w:val="restart"/>
          </w:tcPr>
          <w:p>
            <w:pPr>
              <w:ind w:left="60"/>
              <w:spacing w:after="0" w:line="189" w:lineRule="exact"/>
              <w:rPr>
                <w:sz w:val="20"/>
                <w:szCs w:val="20"/>
                <w:color w:val="auto"/>
              </w:rPr>
            </w:pPr>
            <w:r>
              <w:rPr>
                <w:rFonts w:ascii="Arial" w:cs="Arial" w:eastAsia="Arial" w:hAnsi="Arial"/>
                <w:sz w:val="17"/>
                <w:szCs w:val="17"/>
                <w:color w:val="auto"/>
              </w:rPr>
              <w:t>​</w:t>
            </w:r>
          </w:p>
        </w:tc>
        <w:tc>
          <w:tcPr>
            <w:tcW w:w="180" w:type="dxa"/>
            <w:vAlign w:val="bottom"/>
            <w:vMerge w:val="restart"/>
          </w:tcPr>
          <w:p>
            <w:pPr>
              <w:jc w:val="right"/>
              <w:spacing w:after="0" w:line="176" w:lineRule="exact"/>
              <w:rPr>
                <w:sz w:val="20"/>
                <w:szCs w:val="20"/>
                <w:color w:val="auto"/>
              </w:rPr>
            </w:pPr>
            <w:r>
              <w:rPr>
                <w:rFonts w:ascii="Arial" w:cs="Arial" w:eastAsia="Arial" w:hAnsi="Arial"/>
                <w:sz w:val="17"/>
                <w:szCs w:val="17"/>
                <w:color w:val="0000EE"/>
                <w:w w:val="84"/>
              </w:rPr>
              <w:t>34</w:t>
            </w:r>
          </w:p>
        </w:tc>
        <w:tc>
          <w:tcPr>
            <w:tcW w:w="1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Borders>
              <w:bottom w:val="single" w:sz="8" w:color="0000EE"/>
            </w:tcBorders>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0000EE"/>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13"/>
          </w:tcPr>
          <w:p>
            <w:pPr>
              <w:spacing w:after="0" w:line="163" w:lineRule="exact"/>
              <w:rPr>
                <w:sz w:val="20"/>
                <w:szCs w:val="20"/>
                <w:color w:val="auto"/>
              </w:rPr>
            </w:pPr>
            <w:r>
              <w:rPr>
                <w:rFonts w:ascii="Arial" w:cs="Arial" w:eastAsia="Arial" w:hAnsi="Arial"/>
                <w:sz w:val="17"/>
                <w:szCs w:val="17"/>
                <w:color w:val="0000EE"/>
              </w:rPr>
              <w:t>Stock Ownership Guidelines</w:t>
            </w:r>
          </w:p>
        </w:tc>
        <w:tc>
          <w:tcPr>
            <w:tcW w:w="700" w:type="dxa"/>
            <w:vAlign w:val="bottom"/>
            <w:gridSpan w:val="5"/>
          </w:tcPr>
          <w:p>
            <w:pPr>
              <w:jc w:val="right"/>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3860" w:type="dxa"/>
            <w:vAlign w:val="bottom"/>
            <w:gridSpan w:val="11"/>
            <w:shd w:val="clear" w:color="auto" w:fill="CCEEFF"/>
          </w:tcPr>
          <w:p>
            <w:pPr>
              <w:spacing w:after="0" w:line="163" w:lineRule="exact"/>
              <w:rPr>
                <w:sz w:val="20"/>
                <w:szCs w:val="20"/>
                <w:color w:val="auto"/>
              </w:rPr>
            </w:pPr>
            <w:r>
              <w:rPr>
                <w:rFonts w:ascii="Arial" w:cs="Arial" w:eastAsia="Arial" w:hAnsi="Arial"/>
                <w:sz w:val="17"/>
                <w:szCs w:val="17"/>
                <w:color w:val="0000EE"/>
              </w:rPr>
              <w:t>Compensation Setting Process</w:t>
            </w:r>
          </w:p>
        </w:tc>
        <w:tc>
          <w:tcPr>
            <w:tcW w:w="3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35</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60" w:type="dxa"/>
            <w:vAlign w:val="bottom"/>
            <w:gridSpan w:val="13"/>
            <w:shd w:val="clear" w:color="auto" w:fill="CCEEFF"/>
          </w:tcPr>
          <w:p>
            <w:pPr>
              <w:spacing w:after="0" w:line="163" w:lineRule="exact"/>
              <w:rPr>
                <w:sz w:val="20"/>
                <w:szCs w:val="20"/>
                <w:color w:val="auto"/>
              </w:rPr>
            </w:pPr>
            <w:r>
              <w:rPr>
                <w:rFonts w:ascii="Arial" w:cs="Arial" w:eastAsia="Arial" w:hAnsi="Arial"/>
                <w:sz w:val="17"/>
                <w:szCs w:val="17"/>
                <w:color w:val="0000EE"/>
              </w:rPr>
              <w:t>Recoupment of Incentive Compensation, or</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EE"/>
          </w:tcPr>
          <w:p>
            <w:pPr>
              <w:spacing w:after="0" w:line="20" w:lineRule="exact"/>
              <w:rPr>
                <w:sz w:val="1"/>
                <w:szCs w:val="1"/>
                <w:color w:val="auto"/>
              </w:rPr>
            </w:pPr>
          </w:p>
        </w:tc>
        <w:tc>
          <w:tcPr>
            <w:tcW w:w="760" w:type="dxa"/>
            <w:vAlign w:val="bottom"/>
            <w:tcBorders>
              <w:top w:val="single" w:sz="8" w:color="CCEEFF"/>
            </w:tcBorders>
            <w:shd w:val="clear" w:color="auto" w:fill="0000EE"/>
          </w:tcPr>
          <w:p>
            <w:pPr>
              <w:spacing w:after="0" w:line="20" w:lineRule="exact"/>
              <w:rPr>
                <w:sz w:val="1"/>
                <w:szCs w:val="1"/>
                <w:color w:val="auto"/>
              </w:rPr>
            </w:pPr>
          </w:p>
        </w:tc>
        <w:tc>
          <w:tcPr>
            <w:tcW w:w="640" w:type="dxa"/>
            <w:vAlign w:val="bottom"/>
            <w:tcBorders>
              <w:top w:val="single" w:sz="8" w:color="CCEEFF"/>
            </w:tcBorders>
            <w:shd w:val="clear" w:color="auto" w:fill="0000EE"/>
          </w:tcPr>
          <w:p>
            <w:pPr>
              <w:spacing w:after="0" w:line="20" w:lineRule="exact"/>
              <w:rPr>
                <w:sz w:val="1"/>
                <w:szCs w:val="1"/>
                <w:color w:val="auto"/>
              </w:rPr>
            </w:pPr>
          </w:p>
        </w:tc>
        <w:tc>
          <w:tcPr>
            <w:tcW w:w="42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36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EE"/>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0000EE"/>
            </w:tcBorders>
            <w:vMerge w:val="restart"/>
            <w:shd w:val="clear" w:color="auto" w:fill="CCEEFF"/>
          </w:tcPr>
          <w:p>
            <w:pPr>
              <w:spacing w:after="0" w:line="20" w:lineRule="exact"/>
              <w:rPr>
                <w:sz w:val="1"/>
                <w:szCs w:val="1"/>
                <w:color w:val="auto"/>
              </w:rPr>
            </w:pPr>
          </w:p>
        </w:tc>
        <w:tc>
          <w:tcPr>
            <w:tcW w:w="3120" w:type="dxa"/>
            <w:vAlign w:val="bottom"/>
            <w:tcBorders>
              <w:top w:val="single" w:sz="8" w:color="0000EE"/>
            </w:tcBorders>
            <w:gridSpan w:val="10"/>
            <w:vMerge w:val="restart"/>
            <w:shd w:val="clear" w:color="auto" w:fill="CCEEFF"/>
          </w:tcPr>
          <w:p>
            <w:pPr>
              <w:spacing w:after="0" w:line="176" w:lineRule="exact"/>
              <w:rPr>
                <w:sz w:val="20"/>
                <w:szCs w:val="20"/>
                <w:color w:val="auto"/>
              </w:rPr>
            </w:pPr>
            <w:r>
              <w:rPr>
                <w:rFonts w:ascii="Arial" w:cs="Arial" w:eastAsia="Arial" w:hAnsi="Arial"/>
                <w:sz w:val="17"/>
                <w:szCs w:val="17"/>
                <w:color w:val="0000EE"/>
              </w:rPr>
              <w:t>Clawback, Policy</w:t>
            </w:r>
          </w:p>
        </w:tc>
        <w:tc>
          <w:tcPr>
            <w:tcW w:w="160" w:type="dxa"/>
            <w:vAlign w:val="bottom"/>
            <w:tcBorders>
              <w:top w:val="single" w:sz="8" w:color="CCEEFF"/>
            </w:tcBorders>
            <w:gridSpan w:val="2"/>
            <w:vMerge w:val="restart"/>
            <w:shd w:val="clear" w:color="auto" w:fill="CCEEFF"/>
          </w:tcPr>
          <w:p>
            <w:pPr>
              <w:spacing w:after="0" w:line="20" w:lineRule="exact"/>
              <w:rPr>
                <w:sz w:val="1"/>
                <w:szCs w:val="1"/>
                <w:color w:val="auto"/>
              </w:rPr>
            </w:pPr>
          </w:p>
        </w:tc>
        <w:tc>
          <w:tcPr>
            <w:tcW w:w="660" w:type="dxa"/>
            <w:vAlign w:val="bottom"/>
            <w:tcBorders>
              <w:top w:val="single" w:sz="8" w:color="CCEEFF"/>
            </w:tcBorders>
            <w:gridSpan w:val="4"/>
            <w:vMerge w:val="restart"/>
            <w:shd w:val="clear" w:color="auto" w:fill="CCEEFF"/>
          </w:tcPr>
          <w:p>
            <w:pPr>
              <w:ind w:left="120"/>
              <w:spacing w:after="0" w:line="176"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p>
        </w:tc>
        <w:tc>
          <w:tcPr>
            <w:tcW w:w="40" w:type="dxa"/>
            <w:vAlign w:val="bottom"/>
            <w:vMerge w:val="restart"/>
          </w:tcPr>
          <w:p>
            <w:pPr>
              <w:jc w:val="right"/>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3860" w:type="dxa"/>
            <w:vAlign w:val="bottom"/>
            <w:gridSpan w:val="11"/>
          </w:tcPr>
          <w:p>
            <w:pPr>
              <w:spacing w:after="0" w:line="163" w:lineRule="exact"/>
              <w:rPr>
                <w:sz w:val="20"/>
                <w:szCs w:val="20"/>
                <w:color w:val="auto"/>
              </w:rPr>
            </w:pPr>
            <w:r>
              <w:rPr>
                <w:rFonts w:ascii="Arial" w:cs="Arial" w:eastAsia="Arial" w:hAnsi="Arial"/>
                <w:sz w:val="17"/>
                <w:szCs w:val="17"/>
                <w:color w:val="0000EE"/>
              </w:rPr>
              <w:t>Performance-Based Pay and Goal Setting</w:t>
            </w:r>
          </w:p>
        </w:tc>
        <w:tc>
          <w:tcPr>
            <w:tcW w:w="320" w:type="dxa"/>
            <w:vAlign w:val="bottom"/>
            <w:gridSpan w:val="2"/>
          </w:tcPr>
          <w:p>
            <w:pPr>
              <w:jc w:val="right"/>
              <w:spacing w:after="0" w:line="16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36</w:t>
            </w:r>
          </w:p>
        </w:tc>
        <w:tc>
          <w:tcPr>
            <w:tcW w:w="140" w:type="dxa"/>
            <w:vAlign w:val="bottom"/>
            <w:gridSpan w:val="2"/>
          </w:tcPr>
          <w:p>
            <w:pPr>
              <w:jc w:val="right"/>
              <w:spacing w:after="0" w:line="163" w:lineRule="exact"/>
              <w:rPr>
                <w:sz w:val="20"/>
                <w:szCs w:val="20"/>
                <w:color w:val="auto"/>
              </w:rPr>
            </w:pPr>
            <w:r>
              <w:rPr>
                <w:rFonts w:ascii="Arial" w:cs="Arial" w:eastAsia="Arial" w:hAnsi="Arial"/>
                <w:sz w:val="17"/>
                <w:szCs w:val="17"/>
                <w:color w:val="auto"/>
              </w:rPr>
              <w:t>​</w:t>
            </w:r>
          </w:p>
        </w:tc>
        <w:tc>
          <w:tcPr>
            <w:tcW w:w="1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3120" w:type="dxa"/>
            <w:vAlign w:val="bottom"/>
            <w:gridSpan w:val="10"/>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760" w:type="dxa"/>
            <w:vAlign w:val="bottom"/>
            <w:tcBorders>
              <w:bottom w:val="single" w:sz="8" w:color="CCEEFF"/>
            </w:tcBorders>
            <w:shd w:val="clear" w:color="auto" w:fill="0000EE"/>
          </w:tcPr>
          <w:p>
            <w:pPr>
              <w:spacing w:after="0" w:line="20" w:lineRule="exact"/>
              <w:rPr>
                <w:sz w:val="1"/>
                <w:szCs w:val="1"/>
                <w:color w:val="auto"/>
              </w:rPr>
            </w:pPr>
          </w:p>
        </w:tc>
        <w:tc>
          <w:tcPr>
            <w:tcW w:w="640" w:type="dxa"/>
            <w:vAlign w:val="bottom"/>
            <w:tcBorders>
              <w:bottom w:val="single" w:sz="8" w:color="CCEEFF"/>
            </w:tcBorders>
            <w:shd w:val="clear" w:color="auto" w:fill="0000EE"/>
          </w:tcPr>
          <w:p>
            <w:pPr>
              <w:spacing w:after="0" w:line="20" w:lineRule="exact"/>
              <w:rPr>
                <w:sz w:val="1"/>
                <w:szCs w:val="1"/>
                <w:color w:val="auto"/>
              </w:rPr>
            </w:pPr>
          </w:p>
        </w:tc>
        <w:tc>
          <w:tcPr>
            <w:tcW w:w="42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340" w:type="dxa"/>
            <w:vAlign w:val="bottom"/>
            <w:tcBorders>
              <w:bottom w:val="single" w:sz="8" w:color="CCEEFF"/>
            </w:tcBorders>
            <w:shd w:val="clear" w:color="auto" w:fill="0000EE"/>
          </w:tcPr>
          <w:p>
            <w:pPr>
              <w:spacing w:after="0" w:line="20" w:lineRule="exact"/>
              <w:rPr>
                <w:sz w:val="1"/>
                <w:szCs w:val="1"/>
                <w:color w:val="auto"/>
              </w:rPr>
            </w:pPr>
          </w:p>
        </w:tc>
        <w:tc>
          <w:tcPr>
            <w:tcW w:w="50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bottom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340" w:type="dxa"/>
            <w:vAlign w:val="bottom"/>
            <w:gridSpan w:val="14"/>
            <w:shd w:val="clear" w:color="auto" w:fill="CCEEFF"/>
          </w:tcPr>
          <w:p>
            <w:pPr>
              <w:spacing w:after="0" w:line="156" w:lineRule="exact"/>
              <w:rPr>
                <w:sz w:val="20"/>
                <w:szCs w:val="20"/>
                <w:color w:val="auto"/>
              </w:rPr>
            </w:pPr>
            <w:r>
              <w:rPr>
                <w:rFonts w:ascii="Arial" w:cs="Arial" w:eastAsia="Arial" w:hAnsi="Arial"/>
                <w:sz w:val="17"/>
                <w:szCs w:val="17"/>
                <w:color w:val="0000EE"/>
                <w:shd w:val="clear" w:color="auto" w:fill="CCEEFF"/>
              </w:rPr>
              <w:t xml:space="preserve">3 — Fiscal 2026 Compensation Program and Results </w:t>
            </w:r>
            <w:r>
              <w:rPr>
                <w:rFonts w:ascii="Arial" w:cs="Arial" w:eastAsia="Arial" w:hAnsi="Arial"/>
                <w:sz w:val="17"/>
                <w:szCs w:val="17"/>
                <w:color w:val="000000"/>
                <w:shd w:val="clear" w:color="auto" w:fill="CCEEFF"/>
              </w:rPr>
              <w:t>​</w:t>
            </w:r>
            <w:r>
              <w:rPr>
                <w:rFonts w:ascii="Arial" w:cs="Arial" w:eastAsia="Arial" w:hAnsi="Arial"/>
                <w:sz w:val="17"/>
                <w:szCs w:val="17"/>
                <w:color w:val="0000EE"/>
                <w:shd w:val="clear" w:color="auto" w:fill="CCEEFF"/>
              </w:rPr>
              <w:t xml:space="preserve"> 37</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tcPr>
          <w:p>
            <w:pPr>
              <w:jc w:val="right"/>
              <w:spacing w:after="0" w:line="156"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3460" w:type="dxa"/>
            <w:vAlign w:val="bottom"/>
            <w:gridSpan w:val="13"/>
          </w:tcPr>
          <w:p>
            <w:pPr>
              <w:spacing w:after="0" w:line="163" w:lineRule="exact"/>
              <w:rPr>
                <w:sz w:val="20"/>
                <w:szCs w:val="20"/>
                <w:color w:val="auto"/>
              </w:rPr>
            </w:pPr>
            <w:r>
              <w:rPr>
                <w:rFonts w:ascii="Arial" w:cs="Arial" w:eastAsia="Arial" w:hAnsi="Arial"/>
                <w:sz w:val="17"/>
                <w:szCs w:val="17"/>
                <w:color w:val="0000EE"/>
              </w:rPr>
              <w:t>Anti-Hedging and Pledging Policy</w:t>
            </w:r>
          </w:p>
        </w:tc>
        <w:tc>
          <w:tcPr>
            <w:tcW w:w="700" w:type="dxa"/>
            <w:vAlign w:val="bottom"/>
            <w:gridSpan w:val="5"/>
          </w:tcPr>
          <w:p>
            <w:pPr>
              <w:jc w:val="right"/>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940" w:type="dxa"/>
            <w:vAlign w:val="bottom"/>
            <w:gridSpan w:val="2"/>
          </w:tcPr>
          <w:p>
            <w:pPr>
              <w:spacing w:after="0" w:line="156" w:lineRule="exact"/>
              <w:rPr>
                <w:sz w:val="20"/>
                <w:szCs w:val="20"/>
                <w:color w:val="auto"/>
              </w:rPr>
            </w:pPr>
            <w:r>
              <w:rPr>
                <w:rFonts w:ascii="Arial" w:cs="Arial" w:eastAsia="Arial" w:hAnsi="Arial"/>
                <w:sz w:val="17"/>
                <w:szCs w:val="17"/>
                <w:color w:val="0000EE"/>
              </w:rPr>
              <w:t>Base Salary</w:t>
            </w:r>
          </w:p>
        </w:tc>
        <w:tc>
          <w:tcPr>
            <w:tcW w:w="2920" w:type="dxa"/>
            <w:vAlign w:val="bottom"/>
            <w:gridSpan w:val="9"/>
          </w:tcPr>
          <w:p>
            <w:pPr>
              <w:spacing w:after="0"/>
              <w:rPr>
                <w:sz w:val="14"/>
                <w:szCs w:val="14"/>
                <w:color w:val="auto"/>
              </w:rPr>
            </w:pPr>
          </w:p>
        </w:tc>
        <w:tc>
          <w:tcPr>
            <w:tcW w:w="320" w:type="dxa"/>
            <w:vAlign w:val="bottom"/>
            <w:gridSpan w:val="2"/>
          </w:tcPr>
          <w:p>
            <w:pPr>
              <w:jc w:val="right"/>
              <w:spacing w:after="0" w:line="156"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37</w:t>
            </w:r>
          </w:p>
        </w:tc>
        <w:tc>
          <w:tcPr>
            <w:tcW w:w="140" w:type="dxa"/>
            <w:vAlign w:val="bottom"/>
            <w:gridSpan w:val="2"/>
          </w:tcPr>
          <w:p>
            <w:pPr>
              <w:jc w:val="right"/>
              <w:spacing w:after="0" w:line="156"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3460" w:type="dxa"/>
            <w:vAlign w:val="bottom"/>
            <w:gridSpan w:val="13"/>
            <w:shd w:val="clear" w:color="auto" w:fill="CCEEFF"/>
          </w:tcPr>
          <w:p>
            <w:pPr>
              <w:spacing w:after="0" w:line="163" w:lineRule="exact"/>
              <w:rPr>
                <w:sz w:val="20"/>
                <w:szCs w:val="20"/>
                <w:color w:val="auto"/>
              </w:rPr>
            </w:pPr>
            <w:r>
              <w:rPr>
                <w:rFonts w:ascii="Arial" w:cs="Arial" w:eastAsia="Arial" w:hAnsi="Arial"/>
                <w:sz w:val="17"/>
                <w:szCs w:val="17"/>
                <w:color w:val="0000EE"/>
              </w:rPr>
              <w:t>Tax and Accounting Considerations</w:t>
            </w:r>
          </w:p>
        </w:tc>
        <w:tc>
          <w:tcPr>
            <w:tcW w:w="660" w:type="dxa"/>
            <w:vAlign w:val="bottom"/>
            <w:gridSpan w:val="4"/>
            <w:shd w:val="clear" w:color="auto" w:fill="CCEEFF"/>
          </w:tcPr>
          <w:p>
            <w:pPr>
              <w:ind w:left="120"/>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45</w:t>
            </w:r>
          </w:p>
        </w:tc>
        <w:tc>
          <w:tcPr>
            <w:tcW w:w="4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760" w:type="dxa"/>
            <w:vAlign w:val="bottom"/>
            <w:tcBorders>
              <w:bottom w:val="single" w:sz="8" w:color="CCEEFF"/>
            </w:tcBorders>
            <w:shd w:val="clear" w:color="auto" w:fill="0000EE"/>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EE"/>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0000EE"/>
            </w:tcBorders>
            <w:shd w:val="clear" w:color="auto" w:fill="CCEEFF"/>
          </w:tcPr>
          <w:p>
            <w:pPr>
              <w:spacing w:after="0" w:line="20" w:lineRule="exact"/>
              <w:rPr>
                <w:sz w:val="1"/>
                <w:szCs w:val="1"/>
                <w:color w:val="auto"/>
              </w:rPr>
            </w:pPr>
          </w:p>
        </w:tc>
        <w:tc>
          <w:tcPr>
            <w:tcW w:w="700" w:type="dxa"/>
            <w:vAlign w:val="bottom"/>
            <w:tcBorders>
              <w:bottom w:val="single" w:sz="8" w:color="0000EE"/>
            </w:tcBorders>
            <w:shd w:val="clear" w:color="auto" w:fill="CCEEFF"/>
          </w:tcPr>
          <w:p>
            <w:pPr>
              <w:spacing w:after="0" w:line="20" w:lineRule="exact"/>
              <w:rPr>
                <w:sz w:val="1"/>
                <w:szCs w:val="1"/>
                <w:color w:val="auto"/>
              </w:rPr>
            </w:pPr>
          </w:p>
        </w:tc>
        <w:tc>
          <w:tcPr>
            <w:tcW w:w="500" w:type="dxa"/>
            <w:vAlign w:val="bottom"/>
            <w:tcBorders>
              <w:bottom w:val="single" w:sz="8" w:color="0000EE"/>
            </w:tcBorders>
            <w:shd w:val="clear" w:color="auto" w:fill="CCEEFF"/>
          </w:tcPr>
          <w:p>
            <w:pPr>
              <w:spacing w:after="0" w:line="20" w:lineRule="exact"/>
              <w:rPr>
                <w:sz w:val="1"/>
                <w:szCs w:val="1"/>
                <w:color w:val="auto"/>
              </w:rPr>
            </w:pPr>
          </w:p>
        </w:tc>
        <w:tc>
          <w:tcPr>
            <w:tcW w:w="100" w:type="dxa"/>
            <w:vAlign w:val="bottom"/>
            <w:tcBorders>
              <w:bottom w:val="single" w:sz="8" w:color="0000EE"/>
            </w:tcBorders>
            <w:shd w:val="clear" w:color="auto" w:fill="CCEEFF"/>
          </w:tcPr>
          <w:p>
            <w:pPr>
              <w:spacing w:after="0" w:line="20" w:lineRule="exact"/>
              <w:rPr>
                <w:sz w:val="1"/>
                <w:szCs w:val="1"/>
                <w:color w:val="auto"/>
              </w:rPr>
            </w:pPr>
          </w:p>
        </w:tc>
        <w:tc>
          <w:tcPr>
            <w:tcW w:w="680" w:type="dxa"/>
            <w:vAlign w:val="bottom"/>
            <w:tcBorders>
              <w:bottom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bottom w:val="single" w:sz="8" w:color="0000EE"/>
            </w:tcBorders>
            <w:shd w:val="clear" w:color="auto" w:fill="CCEEFF"/>
          </w:tcPr>
          <w:p>
            <w:pPr>
              <w:spacing w:after="0" w:line="20" w:lineRule="exact"/>
              <w:rPr>
                <w:sz w:val="1"/>
                <w:szCs w:val="1"/>
                <w:color w:val="auto"/>
              </w:rPr>
            </w:pPr>
          </w:p>
        </w:tc>
        <w:tc>
          <w:tcPr>
            <w:tcW w:w="80" w:type="dxa"/>
            <w:vAlign w:val="bottom"/>
            <w:tcBorders>
              <w:bottom w:val="single" w:sz="8" w:color="0000EE"/>
            </w:tcBorders>
            <w:shd w:val="clear" w:color="auto" w:fill="CCEEFF"/>
          </w:tcPr>
          <w:p>
            <w:pPr>
              <w:spacing w:after="0" w:line="20" w:lineRule="exact"/>
              <w:rPr>
                <w:sz w:val="1"/>
                <w:szCs w:val="1"/>
                <w:color w:val="auto"/>
              </w:rPr>
            </w:pPr>
          </w:p>
        </w:tc>
        <w:tc>
          <w:tcPr>
            <w:tcW w:w="60" w:type="dxa"/>
            <w:vAlign w:val="bottom"/>
            <w:tcBorders>
              <w:bottom w:val="single" w:sz="8" w:color="0000EE"/>
            </w:tcBorders>
            <w:shd w:val="clear" w:color="auto" w:fill="CCEEFF"/>
          </w:tcPr>
          <w:p>
            <w:pPr>
              <w:spacing w:after="0" w:line="20" w:lineRule="exact"/>
              <w:rPr>
                <w:sz w:val="1"/>
                <w:szCs w:val="1"/>
                <w:color w:val="auto"/>
              </w:rPr>
            </w:pPr>
          </w:p>
        </w:tc>
        <w:tc>
          <w:tcPr>
            <w:tcW w:w="140" w:type="dxa"/>
            <w:vAlign w:val="bottom"/>
            <w:tcBorders>
              <w:bottom w:val="single" w:sz="8" w:color="0000EE"/>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0000EE"/>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shd w:val="clear" w:color="auto" w:fill="CCEEFF"/>
          </w:tcPr>
          <w:p>
            <w:pPr>
              <w:spacing w:after="0"/>
              <w:rPr>
                <w:sz w:val="14"/>
                <w:szCs w:val="14"/>
                <w:color w:val="auto"/>
              </w:rPr>
            </w:pPr>
          </w:p>
        </w:tc>
        <w:tc>
          <w:tcPr>
            <w:tcW w:w="3860" w:type="dxa"/>
            <w:vAlign w:val="bottom"/>
            <w:gridSpan w:val="11"/>
            <w:shd w:val="clear" w:color="auto" w:fill="CCEEFF"/>
          </w:tcPr>
          <w:p>
            <w:pPr>
              <w:spacing w:after="0" w:line="156" w:lineRule="exact"/>
              <w:rPr>
                <w:sz w:val="20"/>
                <w:szCs w:val="20"/>
                <w:color w:val="auto"/>
              </w:rPr>
            </w:pPr>
            <w:r>
              <w:rPr>
                <w:rFonts w:ascii="Arial" w:cs="Arial" w:eastAsia="Arial" w:hAnsi="Arial"/>
                <w:sz w:val="17"/>
                <w:szCs w:val="17"/>
                <w:color w:val="0000EE"/>
              </w:rPr>
              <w:t>Annual Cash Incentive Awards</w:t>
            </w:r>
          </w:p>
        </w:tc>
        <w:tc>
          <w:tcPr>
            <w:tcW w:w="3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37</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tcPr>
          <w:p>
            <w:pPr>
              <w:jc w:val="right"/>
              <w:spacing w:after="0" w:line="156"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3460" w:type="dxa"/>
            <w:vAlign w:val="bottom"/>
            <w:gridSpan w:val="13"/>
          </w:tcPr>
          <w:p>
            <w:pPr>
              <w:spacing w:after="0" w:line="163" w:lineRule="exact"/>
              <w:rPr>
                <w:sz w:val="20"/>
                <w:szCs w:val="20"/>
                <w:color w:val="auto"/>
              </w:rPr>
            </w:pPr>
            <w:r>
              <w:rPr>
                <w:rFonts w:ascii="Arial" w:cs="Arial" w:eastAsia="Arial" w:hAnsi="Arial"/>
                <w:sz w:val="17"/>
                <w:szCs w:val="17"/>
                <w:color w:val="0000EE"/>
              </w:rPr>
              <w:t>Compensation Risk Assessment</w:t>
            </w:r>
          </w:p>
        </w:tc>
        <w:tc>
          <w:tcPr>
            <w:tcW w:w="700" w:type="dxa"/>
            <w:vAlign w:val="bottom"/>
            <w:gridSpan w:val="5"/>
          </w:tcPr>
          <w:p>
            <w:pPr>
              <w:jc w:val="right"/>
              <w:spacing w:after="0" w:line="16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46</w:t>
            </w: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3240" w:type="dxa"/>
            <w:vAlign w:val="bottom"/>
            <w:gridSpan w:val="8"/>
          </w:tcPr>
          <w:p>
            <w:pPr>
              <w:spacing w:after="0" w:line="169" w:lineRule="exact"/>
              <w:rPr>
                <w:sz w:val="20"/>
                <w:szCs w:val="20"/>
                <w:color w:val="auto"/>
              </w:rPr>
            </w:pPr>
            <w:r>
              <w:rPr>
                <w:rFonts w:ascii="Arial" w:cs="Arial" w:eastAsia="Arial" w:hAnsi="Arial"/>
                <w:sz w:val="17"/>
                <w:szCs w:val="17"/>
                <w:color w:val="0000EE"/>
                <w:w w:val="99"/>
              </w:rPr>
              <w:t>Long-Term Equity Incentive Compensation</w:t>
            </w:r>
          </w:p>
        </w:tc>
        <w:tc>
          <w:tcPr>
            <w:tcW w:w="620" w:type="dxa"/>
            <w:vAlign w:val="bottom"/>
            <w:gridSpan w:val="3"/>
          </w:tcPr>
          <w:p>
            <w:pPr>
              <w:spacing w:after="0"/>
              <w:rPr>
                <w:sz w:val="14"/>
                <w:szCs w:val="14"/>
                <w:color w:val="auto"/>
              </w:rPr>
            </w:pPr>
          </w:p>
        </w:tc>
        <w:tc>
          <w:tcPr>
            <w:tcW w:w="32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color w:val="0000EE"/>
              </w:rPr>
              <w:t>40</w:t>
            </w:r>
          </w:p>
        </w:tc>
        <w:tc>
          <w:tcPr>
            <w:tcW w:w="1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w:t>
            </w:r>
          </w:p>
        </w:tc>
        <w:tc>
          <w:tcPr>
            <w:tcW w:w="3640" w:type="dxa"/>
            <w:vAlign w:val="bottom"/>
            <w:gridSpan w:val="14"/>
            <w:shd w:val="clear" w:color="auto" w:fill="CCEEFF"/>
          </w:tcPr>
          <w:p>
            <w:pPr>
              <w:spacing w:after="0" w:line="169" w:lineRule="exact"/>
              <w:rPr>
                <w:sz w:val="20"/>
                <w:szCs w:val="20"/>
                <w:color w:val="auto"/>
              </w:rPr>
            </w:pPr>
            <w:r>
              <w:rPr>
                <w:rFonts w:ascii="Arial" w:cs="Arial" w:eastAsia="Arial" w:hAnsi="Arial"/>
                <w:sz w:val="17"/>
                <w:szCs w:val="17"/>
                <w:color w:val="0000EE"/>
              </w:rPr>
              <w:t>Report of the Compensation Committee of the</w:t>
            </w:r>
          </w:p>
        </w:tc>
        <w:tc>
          <w:tcPr>
            <w:tcW w:w="660" w:type="dxa"/>
            <w:vAlign w:val="bottom"/>
            <w:gridSpan w:val="4"/>
            <w:vMerge w:val="restart"/>
            <w:shd w:val="clear" w:color="auto" w:fill="CCEEFF"/>
          </w:tcPr>
          <w:p>
            <w:pPr>
              <w:ind w:left="120"/>
              <w:spacing w:after="0"/>
              <w:rPr>
                <w:sz w:val="20"/>
                <w:szCs w:val="20"/>
                <w:color w:val="auto"/>
              </w:rPr>
            </w:pPr>
            <w:r>
              <w:rPr>
                <w:rFonts w:ascii="Arial" w:cs="Arial" w:eastAsia="Arial" w:hAnsi="Arial"/>
                <w:sz w:val="17"/>
                <w:szCs w:val="17"/>
                <w:color w:val="auto"/>
              </w:rPr>
              <w:t xml:space="preserve">​ ​ ​ </w:t>
            </w:r>
            <w:r>
              <w:rPr>
                <w:rFonts w:ascii="Arial" w:cs="Arial" w:eastAsia="Arial" w:hAnsi="Arial"/>
                <w:sz w:val="17"/>
                <w:szCs w:val="17"/>
                <w:color w:val="0000EE"/>
              </w:rPr>
              <w:t>47</w:t>
            </w:r>
          </w:p>
        </w:tc>
        <w:tc>
          <w:tcPr>
            <w:tcW w:w="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3320" w:type="dxa"/>
            <w:vAlign w:val="bottom"/>
            <w:tcBorders>
              <w:top w:val="single" w:sz="8" w:color="0000EE"/>
            </w:tcBorders>
            <w:gridSpan w:val="12"/>
            <w:shd w:val="clear" w:color="auto" w:fill="CCEEFF"/>
          </w:tcPr>
          <w:p>
            <w:pPr>
              <w:spacing w:after="0" w:line="189" w:lineRule="exact"/>
              <w:rPr>
                <w:sz w:val="20"/>
                <w:szCs w:val="20"/>
                <w:color w:val="auto"/>
              </w:rPr>
            </w:pPr>
            <w:r>
              <w:rPr>
                <w:rFonts w:ascii="Arial" w:cs="Arial" w:eastAsia="Arial" w:hAnsi="Arial"/>
                <w:sz w:val="17"/>
                <w:szCs w:val="17"/>
                <w:color w:val="0000EE"/>
              </w:rPr>
              <w:t>Board of Directors</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gridSpan w:val="4"/>
            <w:vMerge w:val="continue"/>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-1891665</wp:posOffset>
            </wp:positionV>
            <wp:extent cx="53276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27650" cy="8255"/>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p>
      <w:pPr>
        <w:spacing w:after="0" w:line="239" w:lineRule="exact"/>
        <w:rPr>
          <w:sz w:val="20"/>
          <w:szCs w:val="20"/>
          <w:color w:val="auto"/>
        </w:rPr>
      </w:pPr>
    </w:p>
    <w:p>
      <w:pPr>
        <w:ind w:left="800" w:right="1160"/>
        <w:spacing w:after="0" w:line="261" w:lineRule="auto"/>
        <w:rPr>
          <w:sz w:val="20"/>
          <w:szCs w:val="20"/>
          <w:color w:val="auto"/>
        </w:rPr>
      </w:pPr>
      <w:r>
        <w:rPr>
          <w:rFonts w:ascii="Arial" w:cs="Arial" w:eastAsia="Arial" w:hAnsi="Arial"/>
          <w:sz w:val="45"/>
          <w:szCs w:val="45"/>
          <w:color w:val="auto"/>
        </w:rPr>
        <w:t>1 — Business Performance Highlights</w:t>
      </w:r>
    </w:p>
    <w:p>
      <w:pPr>
        <w:spacing w:after="0" w:line="4" w:lineRule="exact"/>
        <w:rPr>
          <w:sz w:val="20"/>
          <w:szCs w:val="20"/>
          <w:color w:val="auto"/>
        </w:rPr>
      </w:pPr>
    </w:p>
    <w:p>
      <w:pPr>
        <w:ind w:left="800"/>
        <w:spacing w:after="0" w:line="298" w:lineRule="auto"/>
        <w:rPr>
          <w:sz w:val="20"/>
          <w:szCs w:val="20"/>
          <w:color w:val="auto"/>
        </w:rPr>
      </w:pPr>
      <w:r>
        <w:rPr>
          <w:rFonts w:ascii="Arial" w:cs="Arial" w:eastAsia="Arial" w:hAnsi="Arial"/>
          <w:sz w:val="17"/>
          <w:szCs w:val="17"/>
          <w:color w:val="auto"/>
        </w:rPr>
        <w:t>CrowdStrike continued to deliver strong financial and operational performance in fiscal 2026. Highlights include:</w:t>
      </w:r>
    </w:p>
    <w:p>
      <w:pPr>
        <w:spacing w:after="0" w:line="2" w:lineRule="exact"/>
        <w:rPr>
          <w:sz w:val="20"/>
          <w:szCs w:val="20"/>
          <w:color w:val="auto"/>
        </w:rPr>
      </w:pPr>
    </w:p>
    <w:p>
      <w:pPr>
        <w:ind w:left="1320" w:right="260" w:hanging="179"/>
        <w:spacing w:after="0" w:line="236"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Annual Recurring Revenue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26"/>
          <w:szCs w:val="26"/>
          <w:color w:val="auto"/>
          <w:vertAlign w:val="superscript"/>
        </w:rPr>
        <w:t>(1)</w:t>
      </w:r>
      <w:r>
        <w:rPr>
          <w:rFonts w:ascii="Arial" w:cs="Arial" w:eastAsia="Arial" w:hAnsi="Arial"/>
          <w:sz w:val="17"/>
          <w:szCs w:val="17"/>
          <w:b w:val="1"/>
          <w:bCs w:val="1"/>
          <w:color w:val="auto"/>
        </w:rPr>
        <w:t xml:space="preserve"> </w:t>
      </w:r>
      <w:r>
        <w:rPr>
          <w:rFonts w:ascii="Arial" w:cs="Arial" w:eastAsia="Arial" w:hAnsi="Arial"/>
          <w:sz w:val="17"/>
          <w:szCs w:val="17"/>
          <w:color w:val="auto"/>
        </w:rPr>
        <w:t>ARR increased 24% as compared to fiscal</w:t>
      </w:r>
      <w:r>
        <w:rPr>
          <w:rFonts w:ascii="Arial" w:cs="Arial" w:eastAsia="Arial" w:hAnsi="Arial"/>
          <w:sz w:val="17"/>
          <w:szCs w:val="17"/>
          <w:b w:val="1"/>
          <w:bCs w:val="1"/>
          <w:color w:val="auto"/>
        </w:rPr>
        <w:t xml:space="preserve"> </w:t>
      </w:r>
      <w:r>
        <w:rPr>
          <w:rFonts w:ascii="Arial" w:cs="Arial" w:eastAsia="Arial" w:hAnsi="Arial"/>
          <w:sz w:val="17"/>
          <w:szCs w:val="17"/>
          <w:color w:val="auto"/>
        </w:rPr>
        <w:t>2025 to reach $5.25 billion as of January 31, 2026.</w:t>
      </w:r>
    </w:p>
    <w:p>
      <w:pPr>
        <w:spacing w:after="0" w:line="82" w:lineRule="exact"/>
        <w:rPr>
          <w:rFonts w:ascii="Arial" w:cs="Arial" w:eastAsia="Arial" w:hAnsi="Arial"/>
          <w:sz w:val="17"/>
          <w:szCs w:val="17"/>
          <w:color w:val="auto"/>
        </w:rPr>
      </w:pPr>
    </w:p>
    <w:p>
      <w:pPr>
        <w:ind w:left="1320" w:hanging="179"/>
        <w:spacing w:after="0"/>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 Fiscal 2026 revenue grew 22% to reach $4.81 billion.</w:t>
      </w:r>
    </w:p>
    <w:p>
      <w:pPr>
        <w:spacing w:after="0" w:line="118" w:lineRule="exact"/>
        <w:rPr>
          <w:rFonts w:ascii="Arial" w:cs="Arial" w:eastAsia="Arial" w:hAnsi="Arial"/>
          <w:sz w:val="17"/>
          <w:szCs w:val="17"/>
          <w:color w:val="auto"/>
        </w:rPr>
      </w:pPr>
    </w:p>
    <w:p>
      <w:pPr>
        <w:ind w:left="1320" w:right="180" w:hanging="179"/>
        <w:spacing w:after="0" w:line="259"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Cash Flow</w:t>
      </w:r>
      <w:r>
        <w:rPr>
          <w:rFonts w:ascii="Arial" w:cs="Arial" w:eastAsia="Arial" w:hAnsi="Arial"/>
          <w:sz w:val="17"/>
          <w:szCs w:val="17"/>
          <w:color w:val="auto"/>
        </w:rPr>
        <w:t>. Fiscal 2026 cash flow from operations increased 17% to reach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record of $1.61 billion. Free cash flow increased 16%, growing to $1.24 billion. </w:t>
      </w:r>
      <w:r>
        <w:rPr>
          <w:rFonts w:ascii="Arial" w:cs="Arial" w:eastAsia="Arial" w:hAnsi="Arial"/>
          <w:sz w:val="26"/>
          <w:szCs w:val="26"/>
          <w:color w:val="auto"/>
          <w:vertAlign w:val="superscript"/>
        </w:rPr>
        <w:t>(2)</w:t>
      </w:r>
    </w:p>
    <w:p>
      <w:pPr>
        <w:ind w:left="1320" w:right="680" w:hanging="179"/>
        <w:spacing w:after="0" w:line="259"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Net Income</w:t>
      </w:r>
      <w:r>
        <w:rPr>
          <w:rFonts w:ascii="Arial" w:cs="Arial" w:eastAsia="Arial" w:hAnsi="Arial"/>
          <w:sz w:val="17"/>
          <w:szCs w:val="17"/>
          <w:color w:val="auto"/>
        </w:rPr>
        <w:t>. Fiscal 2026 GAAP net loss attributable to CrowdStrike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$163 million and non-GAAP net income attributable to CrowdStrike of $957 million. </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1269365" cy="2282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9365" cy="22821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Named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George Kurtz</w:t>
      </w:r>
    </w:p>
    <w:p>
      <w:pPr>
        <w:spacing w:after="0" w:line="53" w:lineRule="exact"/>
        <w:rPr>
          <w:sz w:val="20"/>
          <w:szCs w:val="20"/>
          <w:color w:val="auto"/>
        </w:rPr>
      </w:pPr>
    </w:p>
    <w:p>
      <w:pPr>
        <w:ind w:right="319"/>
        <w:spacing w:after="0" w:line="301" w:lineRule="auto"/>
        <w:rPr>
          <w:sz w:val="20"/>
          <w:szCs w:val="20"/>
          <w:color w:val="auto"/>
        </w:rPr>
      </w:pPr>
      <w:r>
        <w:rPr>
          <w:rFonts w:ascii="Arial" w:cs="Arial" w:eastAsia="Arial" w:hAnsi="Arial"/>
          <w:sz w:val="15"/>
          <w:szCs w:val="15"/>
          <w:color w:val="auto"/>
        </w:rPr>
        <w:t>President, Chief Executive Officer &amp; Founder</w:t>
      </w:r>
    </w:p>
    <w:p>
      <w:pPr>
        <w:spacing w:after="0" w:line="206" w:lineRule="exact"/>
        <w:rPr>
          <w:sz w:val="20"/>
          <w:szCs w:val="20"/>
          <w:color w:val="auto"/>
        </w:rPr>
      </w:pPr>
    </w:p>
    <w:p>
      <w:pPr>
        <w:ind w:right="799"/>
        <w:spacing w:after="0" w:line="376" w:lineRule="auto"/>
        <w:rPr>
          <w:sz w:val="20"/>
          <w:szCs w:val="20"/>
          <w:color w:val="auto"/>
        </w:rPr>
      </w:pPr>
      <w:r>
        <w:rPr>
          <w:rFonts w:ascii="Arial" w:cs="Arial" w:eastAsia="Arial" w:hAnsi="Arial"/>
          <w:sz w:val="15"/>
          <w:szCs w:val="15"/>
          <w:b w:val="1"/>
          <w:bCs w:val="1"/>
          <w:color w:val="auto"/>
        </w:rPr>
        <w:t xml:space="preserve">Michael Sentonas </w:t>
      </w:r>
      <w:r>
        <w:rPr>
          <w:rFonts w:ascii="Arial" w:cs="Arial" w:eastAsia="Arial" w:hAnsi="Arial"/>
          <w:sz w:val="15"/>
          <w:szCs w:val="15"/>
          <w:color w:val="auto"/>
        </w:rPr>
        <w:t>President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Burt Podbere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Shawn Henry </w:t>
      </w:r>
      <w:r>
        <w:rPr>
          <w:rFonts w:ascii="Arial" w:cs="Arial" w:eastAsia="Arial" w:hAnsi="Arial"/>
          <w:sz w:val="24"/>
          <w:szCs w:val="24"/>
          <w:b w:val="1"/>
          <w:bCs w:val="1"/>
          <w:color w:val="auto"/>
          <w:vertAlign w:val="superscript"/>
        </w:rPr>
        <w:t>(4)</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Former Chief Security Officer</w:t>
      </w:r>
    </w:p>
    <w:p>
      <w:pPr>
        <w:spacing w:after="0" w:line="552" w:lineRule="exact"/>
        <w:rPr>
          <w:sz w:val="20"/>
          <w:szCs w:val="20"/>
          <w:color w:val="auto"/>
        </w:rPr>
      </w:pPr>
    </w:p>
    <w:p>
      <w:pPr>
        <w:sectPr>
          <w:pgSz w:w="11900" w:h="16838" w:orient="portrait"/>
          <w:cols w:equalWidth="0" w:num="2">
            <w:col w:w="7320" w:space="260"/>
            <w:col w:w="2119"/>
          </w:cols>
          <w:pgMar w:left="760" w:top="94" w:right="1440" w:bottom="1440" w:gutter="0" w:footer="0" w:header="0"/>
          <w:type w:val="continuous"/>
        </w:sectPr>
      </w:pPr>
    </w:p>
    <w:p>
      <w:pPr>
        <w:ind w:left="1320" w:right="339" w:hanging="179"/>
        <w:spacing w:after="0" w:line="301" w:lineRule="auto"/>
        <w:tabs>
          <w:tab w:leader="none" w:pos="132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Customers</w:t>
      </w:r>
      <w:r>
        <w:rPr>
          <w:rFonts w:ascii="Arial" w:cs="Arial" w:eastAsia="Arial" w:hAnsi="Arial"/>
          <w:sz w:val="17"/>
          <w:szCs w:val="17"/>
          <w:color w:val="auto"/>
        </w:rPr>
        <w:t>. We are trusted by more than 88,000 organizations, including our end customers and those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Managed Security Service Providers (MSSP).</w:t>
      </w:r>
    </w:p>
    <w:p>
      <w:pPr>
        <w:spacing w:after="0" w:line="139" w:lineRule="exact"/>
        <w:rPr>
          <w:sz w:val="20"/>
          <w:szCs w:val="20"/>
          <w:color w:val="auto"/>
        </w:rPr>
      </w:pPr>
    </w:p>
    <w:p>
      <w:pPr>
        <w:ind w:left="800" w:right="279"/>
        <w:spacing w:after="0" w:line="298" w:lineRule="auto"/>
        <w:rPr>
          <w:sz w:val="20"/>
          <w:szCs w:val="20"/>
          <w:color w:val="auto"/>
        </w:rPr>
      </w:pPr>
      <w:r>
        <w:rPr>
          <w:rFonts w:ascii="Arial" w:cs="Arial" w:eastAsia="Arial" w:hAnsi="Arial"/>
          <w:sz w:val="17"/>
          <w:szCs w:val="17"/>
          <w:color w:val="auto"/>
        </w:rPr>
        <w:t>CrowdStrike’s performance was achieved through continued execution on multiple fronts in fiscal 2026. Innovation and business milestones from the year and recent highlights include:</w:t>
      </w:r>
    </w:p>
    <w:p>
      <w:pPr>
        <w:spacing w:after="0" w:line="50" w:lineRule="exact"/>
        <w:rPr>
          <w:sz w:val="20"/>
          <w:szCs w:val="20"/>
          <w:color w:val="auto"/>
        </w:rPr>
      </w:pPr>
    </w:p>
    <w:p>
      <w:pPr>
        <w:ind w:left="1320" w:right="139" w:hanging="179"/>
        <w:spacing w:after="0" w:line="298" w:lineRule="auto"/>
        <w:tabs>
          <w:tab w:leader="none" w:pos="13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Achieving ISO/IEC 42001:2023 certification, validating CrowdStrike’s disciplined, externally audited approach to the responsible design, development, and operation of AI-powered cybersecurity.</w:t>
      </w:r>
    </w:p>
    <w:p>
      <w:pPr>
        <w:spacing w:after="0" w:line="181" w:lineRule="exact"/>
        <w:rPr>
          <w:rFonts w:ascii="Arial" w:cs="Arial" w:eastAsia="Arial" w:hAnsi="Arial"/>
          <w:sz w:val="17"/>
          <w:szCs w:val="17"/>
          <w:color w:val="auto"/>
        </w:rPr>
      </w:pPr>
    </w:p>
    <w:p>
      <w:pPr>
        <w:ind w:left="1140" w:right="179" w:hanging="347"/>
        <w:spacing w:after="0" w:line="243" w:lineRule="auto"/>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29" w:lineRule="exact"/>
        <w:rPr>
          <w:rFonts w:ascii="Arial" w:cs="Arial" w:eastAsia="Arial" w:hAnsi="Arial"/>
          <w:sz w:val="17"/>
          <w:szCs w:val="17"/>
          <w:color w:val="auto"/>
        </w:rPr>
      </w:pPr>
    </w:p>
    <w:p>
      <w:pPr>
        <w:ind w:left="1140" w:hanging="347"/>
        <w:spacing w:after="0"/>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See Appendix A of this Proxy Statement for a reconciliation of free cash flow to cash flow from operations.</w:t>
      </w:r>
    </w:p>
    <w:p>
      <w:pPr>
        <w:spacing w:after="0" w:line="65" w:lineRule="exact"/>
        <w:rPr>
          <w:rFonts w:ascii="Arial" w:cs="Arial" w:eastAsia="Arial" w:hAnsi="Arial"/>
          <w:sz w:val="17"/>
          <w:szCs w:val="17"/>
          <w:color w:val="auto"/>
        </w:rPr>
      </w:pPr>
    </w:p>
    <w:p>
      <w:pPr>
        <w:ind w:left="1140" w:right="1059" w:hanging="347"/>
        <w:spacing w:after="0" w:line="280" w:lineRule="auto"/>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See Appendix A of this Proxy Statement for a reconciliation of non-GAAP net income attributable to CrowdStrike to GAAP net income (loss) attributable to CrowdStrike.</w:t>
      </w:r>
    </w:p>
    <w:p>
      <w:pPr>
        <w:spacing w:after="0" w:line="1" w:lineRule="exact"/>
        <w:rPr>
          <w:rFonts w:ascii="Arial" w:cs="Arial" w:eastAsia="Arial" w:hAnsi="Arial"/>
          <w:sz w:val="17"/>
          <w:szCs w:val="17"/>
          <w:color w:val="auto"/>
        </w:rPr>
      </w:pPr>
    </w:p>
    <w:p>
      <w:pPr>
        <w:ind w:left="1140" w:right="199" w:hanging="347"/>
        <w:spacing w:after="0" w:line="249" w:lineRule="auto"/>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purposes of this Executive Compensation Discussion and Analysis section, references to our NEOs do not include Mr. Shawn Henry, our Former Chief Security Officer, who retired from his role as Chief Security Officer effective as of March 31, 2025 and whose compensation is separately discussed below under “Mr. Henry’s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-1698625</wp:posOffset>
            </wp:positionV>
            <wp:extent cx="11950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65"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320" w:right="459" w:hanging="179"/>
        <w:spacing w:after="0" w:line="298" w:lineRule="auto"/>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Acquiring SGNL, a leader in Continuous Identity; Seraphic Security, a leader in browser runtime security; Onum, a pioneer in real-time telemetry pipeline management; and Pangea, a leader in AI security.</w:t>
      </w:r>
    </w:p>
    <w:p>
      <w:pPr>
        <w:spacing w:after="0" w:line="50" w:lineRule="exact"/>
        <w:rPr>
          <w:rFonts w:ascii="Arial" w:cs="Arial" w:eastAsia="Arial" w:hAnsi="Arial"/>
          <w:sz w:val="17"/>
          <w:szCs w:val="17"/>
          <w:color w:val="auto"/>
        </w:rPr>
      </w:pPr>
    </w:p>
    <w:p>
      <w:pPr>
        <w:ind w:left="1320" w:right="419" w:hanging="179"/>
        <w:spacing w:after="0" w:line="298" w:lineRule="auto"/>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Announcing an expansion of a strategic alliance with Microsoft that allows organizations to purchase the Falcon platform on Microsoft Marketplace using their existing Microsoft Azure Consumption Commitment.</w:t>
      </w:r>
    </w:p>
    <w:p>
      <w:pPr>
        <w:spacing w:after="0" w:line="63" w:lineRule="exact"/>
        <w:rPr>
          <w:rFonts w:ascii="Arial" w:cs="Arial" w:eastAsia="Arial" w:hAnsi="Arial"/>
          <w:sz w:val="17"/>
          <w:szCs w:val="17"/>
          <w:color w:val="auto"/>
        </w:rPr>
      </w:pPr>
    </w:p>
    <w:p>
      <w:pPr>
        <w:ind w:left="1320" w:right="739" w:hanging="179"/>
        <w:spacing w:after="0" w:line="298" w:lineRule="auto"/>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Delivering 100% detection and 100% protection with no false positives in the 2025 MITRE ATT&amp;CK® Enterprise Evaluations.</w:t>
      </w:r>
    </w:p>
    <w:p>
      <w:pPr>
        <w:spacing w:after="0" w:line="63" w:lineRule="exact"/>
        <w:rPr>
          <w:rFonts w:ascii="Arial" w:cs="Arial" w:eastAsia="Arial" w:hAnsi="Arial"/>
          <w:sz w:val="17"/>
          <w:szCs w:val="17"/>
          <w:color w:val="auto"/>
        </w:rPr>
      </w:pPr>
    </w:p>
    <w:p>
      <w:pPr>
        <w:ind w:left="1320" w:right="139" w:hanging="179"/>
        <w:spacing w:after="0" w:line="277" w:lineRule="auto"/>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Announcing new innovations, including AI Model Scanning and detection of Shadow AI, to secure every area of cloud risk and groundbreaking agentic AI innovations built on NVIDIA AI software, setting a new standard for AI-powered cybersecurity.</w:t>
      </w:r>
    </w:p>
    <w:p>
      <w:pPr>
        <w:spacing w:after="0" w:line="68" w:lineRule="exact"/>
        <w:rPr>
          <w:rFonts w:ascii="Arial" w:cs="Arial" w:eastAsia="Arial" w:hAnsi="Arial"/>
          <w:sz w:val="17"/>
          <w:szCs w:val="17"/>
          <w:color w:val="auto"/>
        </w:rPr>
      </w:pPr>
    </w:p>
    <w:p>
      <w:pPr>
        <w:ind w:left="1320" w:right="239" w:hanging="179"/>
        <w:spacing w:after="0" w:line="263" w:lineRule="auto"/>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Expanding CrowdStrike’s module adoption rates, which were 50%, 34%, and 24% for, six or more, seven or more and eight or more modules, respectively, as of January 31, 2026. </w:t>
      </w:r>
      <w:r>
        <w:rPr>
          <w:rFonts w:ascii="Arial" w:cs="Arial" w:eastAsia="Arial" w:hAnsi="Arial"/>
          <w:sz w:val="26"/>
          <w:szCs w:val="26"/>
          <w:color w:val="auto"/>
          <w:vertAlign w:val="superscript"/>
        </w:rPr>
        <w:t>(5)</w:t>
      </w:r>
    </w:p>
    <w:p>
      <w:pPr>
        <w:spacing w:after="0" w:line="99" w:lineRule="exact"/>
        <w:rPr>
          <w:sz w:val="20"/>
          <w:szCs w:val="20"/>
          <w:color w:val="auto"/>
        </w:rPr>
      </w:pPr>
    </w:p>
    <w:p>
      <w:pPr>
        <w:ind w:left="800" w:right="159"/>
        <w:spacing w:after="0" w:line="279" w:lineRule="auto"/>
        <w:rPr>
          <w:sz w:val="20"/>
          <w:szCs w:val="20"/>
          <w:color w:val="auto"/>
        </w:rPr>
      </w:pPr>
      <w:r>
        <w:rPr>
          <w:rFonts w:ascii="Arial" w:cs="Arial" w:eastAsia="Arial" w:hAnsi="Arial"/>
          <w:sz w:val="17"/>
          <w:szCs w:val="17"/>
          <w:color w:val="auto"/>
        </w:rPr>
        <w:t>Our business performance has resulted in a stock price that has appreciated considerably, looking at the five-year period ended January 31, 2026. We have continued to deliver meaningful long-term total stockholder return (“TSR”) during this period and trend above the aggregate TSR performance of key indices such as the S&amp;P 500 Index and the Nasdaq 100. The chart below shows how a $100 investment in CrowdStrike’s common stock on January 31, 2021 would have grown to $204.54 on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4691380</wp:posOffset>
            </wp:positionV>
            <wp:extent cx="11950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152400</wp:posOffset>
            </wp:positionV>
            <wp:extent cx="4680585" cy="36429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8058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259" w:hanging="347"/>
        <w:spacing w:after="0" w:line="249" w:lineRule="auto"/>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Module adoption rates are calculated by taking the total number of customers with six or more, seven or more and eight or more modules, respectively, divided by the total number of subscription customers (excluding Falcon Go customers). Falcon Go customers are defined as customers who have subscribed with the Falcon Go bundle, a package designed for organizations with 100 endpoints or less.</w:t>
      </w:r>
    </w:p>
    <w:p>
      <w:pPr>
        <w:sectPr>
          <w:pgSz w:w="11900" w:h="16838" w:orient="portrait"/>
          <w:cols w:equalWidth="0" w:num="1">
            <w:col w:w="9699"/>
          </w:cols>
          <w:pgMar w:left="760" w:top="94" w:right="1440" w:bottom="1440" w:gutter="0" w:footer="0" w:header="0"/>
        </w:sectPr>
      </w:pPr>
    </w:p>
    <w:p>
      <w:pPr>
        <w:spacing w:after="0" w:line="399"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359"/>
        <w:spacing w:after="0" w:line="270" w:lineRule="auto"/>
        <w:rPr>
          <w:sz w:val="20"/>
          <w:szCs w:val="20"/>
          <w:color w:val="auto"/>
        </w:rPr>
      </w:pPr>
      <w:r>
        <w:rPr>
          <w:rFonts w:ascii="Arial" w:cs="Arial" w:eastAsia="Arial" w:hAnsi="Arial"/>
          <w:sz w:val="17"/>
          <w:szCs w:val="17"/>
          <w:color w:val="auto"/>
        </w:rPr>
        <w:t>The supplemental disclosure chart below shows CrowdStrike’s aggregate TSR performance against the Global X Cybersecurity ETF (BUG) and the Bessemer Venture Partners Nasdaq Emerging Cloud Index (EMCLOUD). We believe these additional indices provide a helpful comparison of our performance against a basket of other cybersecurity stocks and emerging cloud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132715</wp:posOffset>
            </wp:positionV>
            <wp:extent cx="4713605" cy="3443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3605" cy="344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0" w:right="219"/>
        <w:spacing w:after="0" w:line="265" w:lineRule="auto"/>
        <w:rPr>
          <w:sz w:val="20"/>
          <w:szCs w:val="20"/>
          <w:color w:val="auto"/>
        </w:rPr>
      </w:pPr>
      <w:r>
        <w:rPr>
          <w:rFonts w:ascii="Arial" w:cs="Arial" w:eastAsia="Arial" w:hAnsi="Arial"/>
          <w:sz w:val="17"/>
          <w:szCs w:val="17"/>
          <w:color w:val="auto"/>
        </w:rPr>
        <w:t>The Compensation Committee believes that fiscal 2026 compensation for our NEOs is commensurate with CrowdStrike’s growth, performance and the significance of the roles each NEO plays in continuing to scale the business to that of a more mature public company that has goals and impact priorities designed to be realized over the next several years. The Compensation Committee also took into consideration the talent environment in which we operate to ensure that our compensation programs are designed to strengthen our ability to continue to attract and retain the caliber of executives needed to sustain our success.</w:t>
      </w:r>
    </w:p>
    <w:p>
      <w:pPr>
        <w:spacing w:after="0" w:line="169" w:lineRule="exact"/>
        <w:rPr>
          <w:sz w:val="20"/>
          <w:szCs w:val="20"/>
          <w:color w:val="auto"/>
        </w:rPr>
      </w:pPr>
    </w:p>
    <w:p>
      <w:pPr>
        <w:jc w:val="both"/>
        <w:ind w:left="800" w:right="259"/>
        <w:spacing w:after="0" w:line="277" w:lineRule="auto"/>
        <w:rPr>
          <w:sz w:val="20"/>
          <w:szCs w:val="20"/>
          <w:color w:val="auto"/>
        </w:rPr>
      </w:pPr>
      <w:r>
        <w:rPr>
          <w:rFonts w:ascii="Arial" w:cs="Arial" w:eastAsia="Arial" w:hAnsi="Arial"/>
          <w:sz w:val="17"/>
          <w:szCs w:val="17"/>
          <w:color w:val="auto"/>
        </w:rPr>
        <w:t>This Executive Compensation Discussion and Analysis section describes our executive compensation philosophy, policies and practices upon which our executive compensation program is based, including the compensation paid to our NEOs for fiscal 2026.</w:t>
      </w:r>
    </w:p>
    <w:p>
      <w:pPr>
        <w:spacing w:after="0" w:line="154" w:lineRule="exact"/>
        <w:rPr>
          <w:sz w:val="20"/>
          <w:szCs w:val="20"/>
          <w:color w:val="auto"/>
        </w:rPr>
      </w:pPr>
    </w:p>
    <w:p>
      <w:pPr>
        <w:ind w:left="800" w:right="2699"/>
        <w:spacing w:after="0" w:line="257" w:lineRule="auto"/>
        <w:rPr>
          <w:sz w:val="20"/>
          <w:szCs w:val="20"/>
          <w:color w:val="auto"/>
        </w:rPr>
      </w:pPr>
      <w:r>
        <w:rPr>
          <w:rFonts w:ascii="Arial" w:cs="Arial" w:eastAsia="Arial" w:hAnsi="Arial"/>
          <w:sz w:val="45"/>
          <w:szCs w:val="45"/>
          <w:color w:val="auto"/>
        </w:rPr>
        <w:t>2 — Our Approach to Executive Compensation</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Role of Stockholders</w:t>
      </w:r>
    </w:p>
    <w:p>
      <w:pPr>
        <w:spacing w:after="0" w:line="122" w:lineRule="exact"/>
        <w:rPr>
          <w:sz w:val="20"/>
          <w:szCs w:val="20"/>
          <w:color w:val="auto"/>
        </w:rPr>
      </w:pPr>
    </w:p>
    <w:p>
      <w:pPr>
        <w:ind w:left="800" w:right="139"/>
        <w:spacing w:after="0" w:line="261" w:lineRule="auto"/>
        <w:rPr>
          <w:sz w:val="20"/>
          <w:szCs w:val="20"/>
          <w:color w:val="auto"/>
        </w:rPr>
      </w:pPr>
      <w:r>
        <w:rPr>
          <w:rFonts w:ascii="Arial" w:cs="Arial" w:eastAsia="Arial" w:hAnsi="Arial"/>
          <w:sz w:val="17"/>
          <w:szCs w:val="17"/>
          <w:color w:val="auto"/>
        </w:rPr>
        <w:t>We value our stockholders’ opinions and feedback and are committed to maintaining an active dialogue to understand their priorities and concerns. Since our 2025 annual meeting of stockholders, we have continued our stockholder engagement program, seeking meetings or meeting with stockholders who collectively represented over 40% of our outstanding shares at the time of outreach, excluding our affiliates. Through this program, we engaged with our stockholders to, among other things, discuss our executive compensation practices and solicit feedback to inform our Compensation Committee’s deliberations as it considers how to incentivize performance and set appropriate goals as our company continues to mature. Influenced in part by our conversations with our stockholders, we maintain stock ownership guidelines for our independent directors and executive officers, including our Chief Executive Officer. We believe that ongoing engagement builds mutual trust and alignment with our stockholders and is essential to our long-term success.</w:t>
      </w:r>
    </w:p>
    <w:p>
      <w:pPr>
        <w:spacing w:after="0" w:line="200" w:lineRule="exact"/>
        <w:rPr>
          <w:sz w:val="20"/>
          <w:szCs w:val="20"/>
          <w:color w:val="auto"/>
        </w:rPr>
      </w:pPr>
    </w:p>
    <w:p>
      <w:pPr>
        <w:spacing w:after="0" w:line="34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Compensation Philosophy</w:t>
      </w:r>
    </w:p>
    <w:p>
      <w:pPr>
        <w:spacing w:after="0" w:line="109" w:lineRule="exact"/>
        <w:rPr>
          <w:sz w:val="20"/>
          <w:szCs w:val="20"/>
          <w:color w:val="auto"/>
        </w:rPr>
      </w:pPr>
    </w:p>
    <w:p>
      <w:pPr>
        <w:ind w:left="800" w:right="219"/>
        <w:spacing w:after="0" w:line="263" w:lineRule="auto"/>
        <w:rPr>
          <w:sz w:val="20"/>
          <w:szCs w:val="20"/>
          <w:color w:val="auto"/>
        </w:rPr>
      </w:pPr>
      <w:r>
        <w:rPr>
          <w:rFonts w:ascii="Arial" w:cs="Arial" w:eastAsia="Arial" w:hAnsi="Arial"/>
          <w:sz w:val="17"/>
          <w:szCs w:val="17"/>
          <w:color w:val="auto"/>
        </w:rPr>
        <w:t>Our compensation philosophy is designed to attract, motivate and retain top talent while driving long-term business success through performance-based compensation. Our performance-based elements are designed to ensure executive compensation outcomes are directly linked to achievement of critical business goals. Given the highly competitive market for proven cybersecurity executives, our awards provide strong incentives for select continued leadership while maintaining strict performance requirements. We also place considerable weight on long-term incentive vehicles, reinforcing our commitment to sustainable long-run success and talent retention. We achieve these objectives through programs that:</w:t>
      </w:r>
    </w:p>
    <w:p>
      <w:pPr>
        <w:spacing w:after="0" w:line="211"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6720" w:type="dxa"/>
            <w:vAlign w:val="bottom"/>
          </w:tcPr>
          <w:p>
            <w:pPr>
              <w:ind w:left="600"/>
              <w:spacing w:after="0"/>
              <w:rPr>
                <w:sz w:val="20"/>
                <w:szCs w:val="20"/>
                <w:color w:val="auto"/>
              </w:rPr>
            </w:pPr>
            <w:r>
              <w:rPr>
                <w:rFonts w:ascii="Arial" w:cs="Arial" w:eastAsia="Arial" w:hAnsi="Arial"/>
                <w:sz w:val="17"/>
                <w:szCs w:val="17"/>
                <w:color w:val="auto"/>
              </w:rPr>
              <w:t xml:space="preserve">​ ​Provide a </w:t>
            </w:r>
            <w:r>
              <w:rPr>
                <w:rFonts w:ascii="Arial" w:cs="Arial" w:eastAsia="Arial" w:hAnsi="Arial"/>
                <w:sz w:val="17"/>
                <w:szCs w:val="17"/>
                <w:b w:val="1"/>
                <w:bCs w:val="1"/>
                <w:color w:val="D6515D"/>
              </w:rPr>
              <w:t>competitive total pay opportunity for top talent who possess</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11"/>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b w:val="1"/>
                <w:bCs w:val="1"/>
                <w:color w:val="D6515D"/>
              </w:rPr>
              <w:t xml:space="preserve">best-in-class skills, experience and leadership </w:t>
            </w:r>
            <w:r>
              <w:rPr>
                <w:rFonts w:ascii="Arial" w:cs="Arial" w:eastAsia="Arial" w:hAnsi="Arial"/>
                <w:sz w:val="17"/>
                <w:szCs w:val="17"/>
                <w:color w:val="000000"/>
              </w:rPr>
              <w:t>required to drive and</w:t>
            </w:r>
          </w:p>
        </w:tc>
        <w:tc>
          <w:tcPr>
            <w:tcW w:w="6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expand our business in a dynamic, innovative and highly competitive</w:t>
            </w:r>
          </w:p>
        </w:tc>
        <w:tc>
          <w:tcPr>
            <w:tcW w:w="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environment;</w:t>
            </w:r>
          </w:p>
        </w:tc>
        <w:tc>
          <w:tcPr>
            <w:tcW w:w="60" w:type="dxa"/>
            <w:vAlign w:val="bottom"/>
          </w:tcPr>
          <w:p>
            <w:pPr>
              <w:spacing w:after="0"/>
              <w:rPr>
                <w:sz w:val="19"/>
                <w:szCs w:val="19"/>
                <w:color w:val="auto"/>
              </w:rPr>
            </w:pPr>
          </w:p>
        </w:tc>
      </w:tr>
      <w:tr>
        <w:trPr>
          <w:trHeight w:val="27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6720" w:type="dxa"/>
            <w:vAlign w:val="bottom"/>
          </w:tcPr>
          <w:p>
            <w:pPr>
              <w:ind w:left="600"/>
              <w:spacing w:after="0" w:line="272"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Deliver a significant portion of our executive’s </w:t>
            </w:r>
            <w:r>
              <w:rPr>
                <w:rFonts w:ascii="Arial" w:cs="Arial" w:eastAsia="Arial" w:hAnsi="Arial"/>
                <w:sz w:val="16"/>
                <w:szCs w:val="16"/>
                <w:b w:val="1"/>
                <w:bCs w:val="1"/>
                <w:color w:val="D6515D"/>
              </w:rPr>
              <w:t>pay through performance-</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11"/>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b w:val="1"/>
                <w:bCs w:val="1"/>
                <w:color w:val="D6515D"/>
              </w:rPr>
              <w:t xml:space="preserve">based incentives </w:t>
            </w:r>
            <w:r>
              <w:rPr>
                <w:rFonts w:ascii="Arial" w:cs="Arial" w:eastAsia="Arial" w:hAnsi="Arial"/>
                <w:sz w:val="17"/>
                <w:szCs w:val="17"/>
                <w:color w:val="000000"/>
              </w:rPr>
              <w:t>that are tied to meeting rigorous financial and operating</w:t>
            </w:r>
          </w:p>
        </w:tc>
        <w:tc>
          <w:tcPr>
            <w:tcW w:w="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goals, as well as the performance of our stock; and</w:t>
            </w:r>
          </w:p>
        </w:tc>
        <w:tc>
          <w:tcPr>
            <w:tcW w:w="60" w:type="dxa"/>
            <w:vAlign w:val="bottom"/>
          </w:tcPr>
          <w:p>
            <w:pPr>
              <w:spacing w:after="0"/>
              <w:rPr>
                <w:sz w:val="19"/>
                <w:szCs w:val="19"/>
                <w:color w:val="auto"/>
              </w:rPr>
            </w:pPr>
          </w:p>
        </w:tc>
      </w:tr>
      <w:tr>
        <w:trPr>
          <w:trHeight w:val="27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6720" w:type="dxa"/>
            <w:vAlign w:val="bottom"/>
          </w:tcPr>
          <w:p>
            <w:pPr>
              <w:ind w:left="600"/>
              <w:spacing w:after="0" w:line="272" w:lineRule="exact"/>
              <w:rPr>
                <w:sz w:val="20"/>
                <w:szCs w:val="20"/>
                <w:color w:val="auto"/>
              </w:rPr>
            </w:pPr>
            <w:r>
              <w:rPr>
                <w:rFonts w:ascii="Arial" w:cs="Arial" w:eastAsia="Arial" w:hAnsi="Arial"/>
                <w:sz w:val="31"/>
                <w:szCs w:val="31"/>
                <w:color w:val="000000"/>
                <w:vertAlign w:val="superscript"/>
              </w:rPr>
              <w:t>​ ​</w:t>
            </w:r>
            <w:r>
              <w:rPr>
                <w:rFonts w:ascii="Arial" w:cs="Arial" w:eastAsia="Arial" w:hAnsi="Arial"/>
                <w:sz w:val="16"/>
                <w:szCs w:val="16"/>
                <w:b w:val="1"/>
                <w:bCs w:val="1"/>
                <w:color w:val="D6515D"/>
              </w:rPr>
              <w:t>Emphasize long-term performance, retention and alignment with</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11"/>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b w:val="1"/>
                <w:bCs w:val="1"/>
                <w:color w:val="D6515D"/>
              </w:rPr>
              <w:t xml:space="preserve">stockholders </w:t>
            </w:r>
            <w:r>
              <w:rPr>
                <w:rFonts w:ascii="Arial" w:cs="Arial" w:eastAsia="Arial" w:hAnsi="Arial"/>
                <w:sz w:val="17"/>
                <w:szCs w:val="17"/>
                <w:color w:val="000000"/>
              </w:rPr>
              <w:t>by significantly weighting our executives’ compensation towards</w:t>
            </w:r>
          </w:p>
        </w:tc>
        <w:tc>
          <w:tcPr>
            <w:tcW w:w="6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long-term equity incentives, multi-year vesting and challenging performance</w:t>
            </w:r>
          </w:p>
        </w:tc>
        <w:tc>
          <w:tcPr>
            <w:tcW w:w="6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6720" w:type="dxa"/>
            <w:vAlign w:val="bottom"/>
          </w:tcPr>
          <w:p>
            <w:pPr>
              <w:ind w:left="740"/>
              <w:spacing w:after="0"/>
              <w:rPr>
                <w:sz w:val="20"/>
                <w:szCs w:val="20"/>
                <w:color w:val="auto"/>
              </w:rPr>
            </w:pPr>
            <w:r>
              <w:rPr>
                <w:rFonts w:ascii="Arial" w:cs="Arial" w:eastAsia="Arial" w:hAnsi="Arial"/>
                <w:sz w:val="17"/>
                <w:szCs w:val="17"/>
                <w:color w:val="auto"/>
              </w:rPr>
              <w:t>requirements.</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-1562100</wp:posOffset>
            </wp:positionV>
            <wp:extent cx="323850" cy="332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0" cy="33210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-981075</wp:posOffset>
            </wp:positionV>
            <wp:extent cx="365125" cy="207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5125" cy="20764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-532765</wp:posOffset>
            </wp:positionV>
            <wp:extent cx="356870" cy="290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6870" cy="290195"/>
                    </a:xfrm>
                    <a:prstGeom prst="rect">
                      <a:avLst/>
                    </a:prstGeom>
                    <a:noFill/>
                  </pic:spPr>
                </pic:pic>
              </a:graphicData>
            </a:graphic>
          </wp:anchor>
        </w:drawing>
      </w:r>
    </w:p>
    <w:p>
      <w:pPr>
        <w:spacing w:after="0" w:line="169" w:lineRule="exact"/>
        <w:rPr>
          <w:sz w:val="20"/>
          <w:szCs w:val="20"/>
          <w:color w:val="auto"/>
        </w:rPr>
      </w:pPr>
    </w:p>
    <w:p>
      <w:pPr>
        <w:ind w:left="800" w:right="159"/>
        <w:spacing w:after="0" w:line="265" w:lineRule="auto"/>
        <w:rPr>
          <w:sz w:val="20"/>
          <w:szCs w:val="20"/>
          <w:color w:val="auto"/>
        </w:rPr>
      </w:pPr>
      <w:r>
        <w:rPr>
          <w:rFonts w:ascii="Arial" w:cs="Arial" w:eastAsia="Arial" w:hAnsi="Arial"/>
          <w:sz w:val="17"/>
          <w:szCs w:val="17"/>
          <w:color w:val="auto"/>
        </w:rPr>
        <w:t>In fiscal 2026, we continued to emphasize our commitment to long-term sustained success by anchoring our executive compensation programs to performance-based and long-term incentives. On average, 93.7% of our NEOs’ annual compensation was tied to long-term incentives. 46.8% of our NEOs’ annual long-term incentive equity awards consisted of performance-based stock units (“PSUs”) with vesting tied to the achievement of rigorous financial targets. In addition, 50.1% of our NEOs’ total compensation is performance-based, with payout or vesting based on the achievement of financial or operational goals.</w:t>
      </w:r>
    </w:p>
    <w:p>
      <w:pPr>
        <w:spacing w:after="0" w:line="169" w:lineRule="exact"/>
        <w:rPr>
          <w:sz w:val="20"/>
          <w:szCs w:val="20"/>
          <w:color w:val="auto"/>
        </w:rPr>
      </w:pPr>
    </w:p>
    <w:p>
      <w:pPr>
        <w:ind w:left="800" w:right="139"/>
        <w:spacing w:after="0" w:line="267" w:lineRule="auto"/>
        <w:rPr>
          <w:sz w:val="20"/>
          <w:szCs w:val="20"/>
          <w:color w:val="auto"/>
        </w:rPr>
      </w:pPr>
      <w:r>
        <w:rPr>
          <w:rFonts w:ascii="Arial" w:cs="Arial" w:eastAsia="Arial" w:hAnsi="Arial"/>
          <w:sz w:val="17"/>
          <w:szCs w:val="17"/>
          <w:color w:val="auto"/>
        </w:rPr>
        <w:t>These metrics exclude the TSR PSUs awarded to Mr. Kurtz (as defined and further discussed below) and the compensation of Shawn Henry, who retired from his role as Chief Security Officer effective as of March 31, 2025 (as further discussed below under “Mr. Henry’s Compensation”). The payout of both annual cash and long-term equity incentive awards is based on achievement of pre-established financial performance goals that emphasize responsible growth through the inclusion of both top and bottom-line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133350</wp:posOffset>
            </wp:positionV>
            <wp:extent cx="4348480" cy="2074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484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40" w:right="159" w:hanging="347"/>
        <w:spacing w:after="0" w:line="298" w:lineRule="auto"/>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Excludes Mr. Kurtz’s TSR PSUs and the compensation of Mr. Henry, who retired from his role as Chief Security Officer effective as of March 31, 2025 and did not receive any equity compensation in fiscal 2026.</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Executive Compensation Practices &amp; Policies</w:t>
      </w:r>
    </w:p>
    <w:p>
      <w:pPr>
        <w:spacing w:after="0" w:line="109" w:lineRule="exact"/>
        <w:rPr>
          <w:sz w:val="20"/>
          <w:szCs w:val="20"/>
          <w:color w:val="auto"/>
        </w:rPr>
      </w:pPr>
    </w:p>
    <w:p>
      <w:pPr>
        <w:ind w:left="800" w:right="1240"/>
        <w:spacing w:after="0" w:line="269" w:lineRule="auto"/>
        <w:rPr>
          <w:sz w:val="20"/>
          <w:szCs w:val="20"/>
          <w:color w:val="auto"/>
        </w:rPr>
      </w:pPr>
      <w:r>
        <w:rPr>
          <w:rFonts w:ascii="Arial" w:cs="Arial" w:eastAsia="Arial" w:hAnsi="Arial"/>
          <w:sz w:val="17"/>
          <w:szCs w:val="17"/>
          <w:color w:val="auto"/>
        </w:rPr>
        <w:t>Our executive compensation program incorporates the following corporate governance best practices designed to protect the interests of our stockholders and is consistent with high standards of risk management. We are committed to sound executive compensation policies and practices, as highlighted in the following table: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Summary of Key Compensation Practices:</w:t>
      </w:r>
    </w:p>
    <w:p>
      <w:pPr>
        <w:sectPr>
          <w:pgSz w:w="11900" w:h="16838" w:orient="portrait"/>
          <w:cols w:equalWidth="0" w:num="1">
            <w:col w:w="10640"/>
          </w:cols>
          <w:pgMar w:left="760" w:top="94" w:right="499" w:bottom="1440" w:gutter="0" w:footer="0" w:header="0"/>
        </w:sectPr>
      </w:pPr>
    </w:p>
    <w:p>
      <w:pPr>
        <w:spacing w:after="0" w:line="163" w:lineRule="exact"/>
        <w:rPr>
          <w:sz w:val="20"/>
          <w:szCs w:val="20"/>
          <w:color w:val="auto"/>
        </w:rPr>
      </w:pPr>
    </w:p>
    <w:tbl>
      <w:tblPr>
        <w:tblLayout w:type="fixed"/>
        <w:tblInd w:w="1189" w:type="dxa"/>
        <w:tblCellMar>
          <w:top w:w="0" w:type="dxa"/>
          <w:left w:w="0" w:type="dxa"/>
          <w:bottom w:w="0" w:type="dxa"/>
          <w:right w:w="0" w:type="dxa"/>
        </w:tblCellMar>
      </w:tblPr>
      <w:tr>
        <w:trPr>
          <w:trHeight w:val="1080"/>
        </w:trPr>
        <w:tc>
          <w:tcPr>
            <w:tcW w:w="439" w:type="dxa"/>
            <w:vAlign w:val="bottom"/>
            <w:textDirection w:val="tbRl"/>
          </w:tcPr>
          <w:p>
            <w:pPr>
              <w:spacing w:after="0"/>
              <w:rPr>
                <w:sz w:val="20"/>
                <w:szCs w:val="20"/>
                <w:color w:val="auto"/>
              </w:rPr>
            </w:pPr>
            <w:r>
              <w:rPr>
                <w:sz w:val="1"/>
                <w:szCs w:val="1"/>
                <w:color w:val="auto"/>
              </w:rPr>
              <w:drawing>
                <wp:inline distT="0" distB="0" distL="0" distR="0">
                  <wp:extent cx="265430" cy="23241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430" cy="232410"/>
                          </a:xfrm>
                          <a:prstGeom prst="rect">
                            <a:avLst/>
                          </a:prstGeom>
                          <a:noFill/>
                          <a:ln>
                            <a:noFill/>
                          </a:ln>
                        </pic:spPr>
                      </pic:pic>
                    </a:graphicData>
                  </a:graphic>
                </wp:inline>
              </w:drawing>
            </w:r>
            <w:r>
              <w:rPr>
                <w:rFonts w:ascii="Arial" w:cs="Arial" w:eastAsia="Arial" w:hAnsi="Arial"/>
                <w:sz w:val="10"/>
                <w:szCs w:val="10"/>
                <w:b w:val="1"/>
                <w:bCs w:val="1"/>
                <w:color w:val="FFFFFF"/>
              </w:rPr>
              <w:t>What We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-684530</wp:posOffset>
            </wp:positionV>
            <wp:extent cx="779780" cy="57175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9780" cy="571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433" w:type="dxa"/>
        <w:tblCellMar>
          <w:top w:w="0" w:type="dxa"/>
          <w:left w:w="0" w:type="dxa"/>
          <w:bottom w:w="0" w:type="dxa"/>
          <w:right w:w="0" w:type="dxa"/>
        </w:tblCellMar>
      </w:tblPr>
      <w:tr>
        <w:trPr>
          <w:trHeight w:val="168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FFFFFF"/>
              </w:rPr>
              <w:t>What We Do Not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-1052195</wp:posOffset>
            </wp:positionV>
            <wp:extent cx="165735" cy="165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-1052195</wp:posOffset>
            </wp:positionV>
            <wp:extent cx="165735" cy="165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-620395</wp:posOffset>
            </wp:positionV>
            <wp:extent cx="165735" cy="165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-620395</wp:posOffset>
            </wp:positionV>
            <wp:extent cx="165735" cy="165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-172085</wp:posOffset>
            </wp:positionV>
            <wp:extent cx="165735" cy="165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-172085</wp:posOffset>
            </wp:positionV>
            <wp:extent cx="165735" cy="165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142240</wp:posOffset>
            </wp:positionV>
            <wp:extent cx="165735" cy="165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142240</wp:posOffset>
            </wp:positionV>
            <wp:extent cx="165735" cy="165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399415</wp:posOffset>
            </wp:positionV>
            <wp:extent cx="165735" cy="165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399415</wp:posOffset>
            </wp:positionV>
            <wp:extent cx="165735" cy="165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698500</wp:posOffset>
            </wp:positionV>
            <wp:extent cx="165735" cy="165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000000"/>
                        </a:clrFrom>
                        <a:clrTo>
                          <a:srgbClr val="000000">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698500</wp:posOffset>
            </wp:positionV>
            <wp:extent cx="165735" cy="165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65735"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160"/>
        <w:spacing w:after="0" w:line="341" w:lineRule="auto"/>
        <w:rPr>
          <w:sz w:val="20"/>
          <w:szCs w:val="20"/>
          <w:color w:val="auto"/>
        </w:rPr>
      </w:pPr>
      <w:r>
        <w:rPr>
          <w:rFonts w:ascii="Arial" w:cs="Arial" w:eastAsia="Arial" w:hAnsi="Arial"/>
          <w:sz w:val="17"/>
          <w:szCs w:val="17"/>
          <w:b w:val="1"/>
          <w:bCs w:val="1"/>
          <w:i w:val="1"/>
          <w:iCs w:val="1"/>
          <w:color w:val="D6515D"/>
        </w:rPr>
        <w:t>Pay-for-Performance Philosophy</w:t>
      </w:r>
      <w:r>
        <w:rPr>
          <w:rFonts w:ascii="Arial" w:cs="Arial" w:eastAsia="Arial" w:hAnsi="Arial"/>
          <w:sz w:val="17"/>
          <w:szCs w:val="17"/>
          <w:color w:val="000000"/>
        </w:rPr>
        <w:t>. We align pay and performance by awarding a substantial portion of the</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compensation paid to our executives in the form of  “at-risk” performance-based compensation linked to achievement of rigorous performance goals.</w:t>
      </w:r>
    </w:p>
    <w:p>
      <w:pPr>
        <w:spacing w:after="0" w:line="16"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b w:val="1"/>
          <w:bCs w:val="1"/>
          <w:i w:val="1"/>
          <w:iCs w:val="1"/>
          <w:color w:val="D6515D"/>
        </w:rPr>
        <w:t>Balanced Short-Term and Long-Term Compensation</w:t>
      </w:r>
      <w:r>
        <w:rPr>
          <w:rFonts w:ascii="Arial" w:cs="Arial" w:eastAsia="Arial" w:hAnsi="Arial"/>
          <w:sz w:val="17"/>
          <w:szCs w:val="17"/>
          <w:color w:val="000000"/>
        </w:rPr>
        <w:t>. We grant compensation that discourages short-term risk taking at the expense of long-term results.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6515D"/>
        </w:rPr>
        <w:t>At-Risk Short-Term Incentive Compensation</w:t>
      </w:r>
      <w:r>
        <w:rPr>
          <w:rFonts w:ascii="Arial" w:cs="Arial" w:eastAsia="Arial" w:hAnsi="Arial"/>
          <w:sz w:val="17"/>
          <w:szCs w:val="17"/>
          <w:color w:val="000000"/>
        </w:rPr>
        <w:t>. The entirety of our NEOs short-term cash incentive is at-risk.</w:t>
      </w:r>
    </w:p>
    <w:p>
      <w:pPr>
        <w:spacing w:after="0" w:line="210" w:lineRule="exact"/>
        <w:rPr>
          <w:sz w:val="20"/>
          <w:szCs w:val="20"/>
          <w:color w:val="auto"/>
        </w:rPr>
      </w:pPr>
    </w:p>
    <w:p>
      <w:pPr>
        <w:ind w:right="260"/>
        <w:spacing w:after="0" w:line="298" w:lineRule="auto"/>
        <w:rPr>
          <w:sz w:val="20"/>
          <w:szCs w:val="20"/>
          <w:color w:val="auto"/>
        </w:rPr>
      </w:pPr>
      <w:r>
        <w:rPr>
          <w:rFonts w:ascii="Arial" w:cs="Arial" w:eastAsia="Arial" w:hAnsi="Arial"/>
          <w:sz w:val="17"/>
          <w:szCs w:val="17"/>
          <w:b w:val="1"/>
          <w:bCs w:val="1"/>
          <w:i w:val="1"/>
          <w:iCs w:val="1"/>
          <w:color w:val="D6515D"/>
        </w:rPr>
        <w:t>Diverse Performance Measures</w:t>
      </w:r>
      <w:r>
        <w:rPr>
          <w:rFonts w:ascii="Arial" w:cs="Arial" w:eastAsia="Arial" w:hAnsi="Arial"/>
          <w:sz w:val="17"/>
          <w:szCs w:val="17"/>
          <w:color w:val="000000"/>
        </w:rPr>
        <w:t>. Our performance-based compensation elements are tied to a variety of</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diverse performance metrics to ensure success across a variety of key financial measures.</w:t>
      </w:r>
    </w:p>
    <w:p>
      <w:pPr>
        <w:spacing w:after="0" w:line="11" w:lineRule="exact"/>
        <w:rPr>
          <w:sz w:val="20"/>
          <w:szCs w:val="20"/>
          <w:color w:val="auto"/>
        </w:rPr>
      </w:pPr>
    </w:p>
    <w:p>
      <w:pPr>
        <w:spacing w:after="0" w:line="298" w:lineRule="auto"/>
        <w:rPr>
          <w:sz w:val="20"/>
          <w:szCs w:val="20"/>
          <w:color w:val="auto"/>
        </w:rPr>
      </w:pPr>
      <w:r>
        <w:rPr>
          <w:rFonts w:ascii="Arial" w:cs="Arial" w:eastAsia="Arial" w:hAnsi="Arial"/>
          <w:sz w:val="17"/>
          <w:szCs w:val="17"/>
          <w:b w:val="1"/>
          <w:bCs w:val="1"/>
          <w:i w:val="1"/>
          <w:iCs w:val="1"/>
          <w:color w:val="D6515D"/>
        </w:rPr>
        <w:t>Maintain an Independent Compensation Committee</w:t>
      </w:r>
      <w:r>
        <w:rPr>
          <w:rFonts w:ascii="Arial" w:cs="Arial" w:eastAsia="Arial" w:hAnsi="Arial"/>
          <w:sz w:val="17"/>
          <w:szCs w:val="17"/>
          <w:color w:val="000000"/>
        </w:rPr>
        <w:t>. Our Compensation Committee is comprised solely of</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independent directors with extensive industry experience.</w:t>
      </w:r>
    </w:p>
    <w:p>
      <w:pPr>
        <w:spacing w:after="0" w:line="11"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i w:val="1"/>
          <w:iCs w:val="1"/>
          <w:color w:val="D6515D"/>
        </w:rPr>
        <w:t>Maintain an Independent Compensation Committee Advisor</w:t>
      </w:r>
      <w:r>
        <w:rPr>
          <w:rFonts w:ascii="Arial" w:cs="Arial" w:eastAsia="Arial" w:hAnsi="Arial"/>
          <w:sz w:val="17"/>
          <w:szCs w:val="17"/>
          <w:color w:val="000000"/>
        </w:rPr>
        <w:t>. The Compensation Committee engages its</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own independent compensation consultant.</w:t>
      </w:r>
    </w:p>
    <w:p>
      <w:pPr>
        <w:spacing w:after="0" w:line="11"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b w:val="1"/>
          <w:bCs w:val="1"/>
          <w:i w:val="1"/>
          <w:iCs w:val="1"/>
          <w:color w:val="D6515D"/>
        </w:rPr>
        <w:t>Conduct Annual Compensation Review</w:t>
      </w:r>
      <w:r>
        <w:rPr>
          <w:rFonts w:ascii="Arial" w:cs="Arial" w:eastAsia="Arial" w:hAnsi="Arial"/>
          <w:sz w:val="17"/>
          <w:szCs w:val="17"/>
          <w:color w:val="000000"/>
        </w:rPr>
        <w:t>. The Compensation Committee conducts a review at least</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annually of our executive compensation philosophy and strategy, including a review of the compensation peer group used for comparative purposes.</w:t>
      </w:r>
    </w:p>
    <w:p>
      <w:pPr>
        <w:spacing w:after="0" w:line="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D6515D"/>
        </w:rPr>
        <w:t>Perform Annual Compensation-Related Risk Assessment</w:t>
      </w:r>
      <w:r>
        <w:rPr>
          <w:rFonts w:ascii="Arial" w:cs="Arial" w:eastAsia="Arial" w:hAnsi="Arial"/>
          <w:sz w:val="17"/>
          <w:szCs w:val="17"/>
          <w:color w:val="000000"/>
        </w:rPr>
        <w:t>. We have strong risk and control policies, we</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take risk management into account in making executive compensation decisions, and we conduct an annual risk assessment of our executive and broad-based compensation programs to promote prudent risk management.</w:t>
      </w:r>
    </w:p>
    <w:p>
      <w:pPr>
        <w:spacing w:after="0" w:line="35" w:lineRule="exact"/>
        <w:rPr>
          <w:sz w:val="20"/>
          <w:szCs w:val="20"/>
          <w:color w:val="auto"/>
        </w:rPr>
      </w:pPr>
    </w:p>
    <w:p>
      <w:pPr>
        <w:ind w:right="900"/>
        <w:spacing w:after="0" w:line="298" w:lineRule="auto"/>
        <w:rPr>
          <w:sz w:val="20"/>
          <w:szCs w:val="20"/>
          <w:color w:val="auto"/>
        </w:rPr>
      </w:pPr>
      <w:r>
        <w:rPr>
          <w:rFonts w:ascii="Arial" w:cs="Arial" w:eastAsia="Arial" w:hAnsi="Arial"/>
          <w:sz w:val="17"/>
          <w:szCs w:val="17"/>
          <w:b w:val="1"/>
          <w:bCs w:val="1"/>
          <w:i w:val="1"/>
          <w:iCs w:val="1"/>
          <w:color w:val="D6515D"/>
        </w:rPr>
        <w:t>Maintain Stock Ownership Guidelines</w:t>
      </w:r>
      <w:r>
        <w:rPr>
          <w:rFonts w:ascii="Arial" w:cs="Arial" w:eastAsia="Arial" w:hAnsi="Arial"/>
          <w:sz w:val="17"/>
          <w:szCs w:val="17"/>
          <w:color w:val="000000"/>
        </w:rPr>
        <w:t>. We have robust stock ownership guidelines and holding</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requirements for our executive officers.</w:t>
      </w:r>
    </w:p>
    <w:p>
      <w:pPr>
        <w:spacing w:after="0" w:line="1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b w:val="1"/>
          <w:bCs w:val="1"/>
          <w:i w:val="1"/>
          <w:iCs w:val="1"/>
          <w:color w:val="D6515D"/>
        </w:rPr>
        <w:t>Maintain a Clawback Policy</w:t>
      </w:r>
      <w:r>
        <w:rPr>
          <w:rFonts w:ascii="Arial" w:cs="Arial" w:eastAsia="Arial" w:hAnsi="Arial"/>
          <w:sz w:val="17"/>
          <w:szCs w:val="17"/>
          <w:color w:val="000000"/>
        </w:rPr>
        <w:t>. We maintain a clawback policy that provides for the recoupment of incentive</w:t>
      </w:r>
      <w:r>
        <w:rPr>
          <w:rFonts w:ascii="Arial" w:cs="Arial" w:eastAsia="Arial" w:hAnsi="Arial"/>
          <w:sz w:val="17"/>
          <w:szCs w:val="17"/>
          <w:b w:val="1"/>
          <w:bCs w:val="1"/>
          <w:i w:val="1"/>
          <w:iCs w:val="1"/>
          <w:color w:val="D6515D"/>
        </w:rPr>
        <w:t xml:space="preserve"> </w:t>
      </w:r>
      <w:r>
        <w:rPr>
          <w:rFonts w:ascii="Arial" w:cs="Arial" w:eastAsia="Arial" w:hAnsi="Arial"/>
          <w:sz w:val="17"/>
          <w:szCs w:val="17"/>
          <w:color w:val="000000"/>
        </w:rPr>
        <w:t>compensation in compliance with applicable law.</w:t>
      </w:r>
    </w:p>
    <w:p>
      <w:pPr>
        <w:spacing w:after="0" w:line="1"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595959"/>
        </w:rPr>
        <w:t>No Special Executive Retirement Plans</w:t>
      </w:r>
      <w:r>
        <w:rPr>
          <w:rFonts w:ascii="Arial" w:cs="Arial" w:eastAsia="Arial" w:hAnsi="Arial"/>
          <w:sz w:val="17"/>
          <w:szCs w:val="17"/>
          <w:color w:val="000000"/>
        </w:rPr>
        <w:t>. We do not offer pension arrangements or retirement plans or</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similar arrangements with our NEOs that are different from or in addition to those offered to our other employees.</w:t>
      </w:r>
    </w:p>
    <w:p>
      <w:pPr>
        <w:spacing w:after="0" w:line="7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595959"/>
        </w:rPr>
        <w:t xml:space="preserve">No Excise Tax “Gross-Ups.” </w:t>
      </w:r>
      <w:r>
        <w:rPr>
          <w:rFonts w:ascii="Arial" w:cs="Arial" w:eastAsia="Arial" w:hAnsi="Arial"/>
          <w:sz w:val="17"/>
          <w:szCs w:val="17"/>
          <w:color w:val="000000"/>
        </w:rPr>
        <w:t>We do not provide any “gross-ups” for excise taxes that our employees might</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owe as a result of the application of Sections 280G or 4999 of the Internal Revenue Code of 1986, as amended (the “IRC”).</w:t>
      </w:r>
    </w:p>
    <w:p>
      <w:pPr>
        <w:spacing w:after="0" w:line="29" w:lineRule="exact"/>
        <w:rPr>
          <w:sz w:val="20"/>
          <w:szCs w:val="20"/>
          <w:color w:val="auto"/>
        </w:rPr>
      </w:pPr>
    </w:p>
    <w:p>
      <w:pPr>
        <w:ind w:right="200"/>
        <w:spacing w:after="0" w:line="298" w:lineRule="auto"/>
        <w:rPr>
          <w:sz w:val="20"/>
          <w:szCs w:val="20"/>
          <w:color w:val="auto"/>
        </w:rPr>
      </w:pPr>
      <w:r>
        <w:rPr>
          <w:rFonts w:ascii="Arial" w:cs="Arial" w:eastAsia="Arial" w:hAnsi="Arial"/>
          <w:sz w:val="17"/>
          <w:szCs w:val="17"/>
          <w:b w:val="1"/>
          <w:bCs w:val="1"/>
          <w:i w:val="1"/>
          <w:iCs w:val="1"/>
          <w:color w:val="595959"/>
        </w:rPr>
        <w:t>No “Single-Trigger” Change in Control Arrangements</w:t>
      </w:r>
      <w:r>
        <w:rPr>
          <w:rFonts w:ascii="Arial" w:cs="Arial" w:eastAsia="Arial" w:hAnsi="Arial"/>
          <w:sz w:val="17"/>
          <w:szCs w:val="17"/>
          <w:color w:val="000000"/>
        </w:rPr>
        <w:t>. Since the time of our IPO, we have not provided</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for “single-trigger” acceleration of compensation or benefits solely upon a change in control.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95959"/>
        </w:rPr>
        <w:t>No Excessive Perks</w:t>
      </w:r>
      <w:r>
        <w:rPr>
          <w:rFonts w:ascii="Arial" w:cs="Arial" w:eastAsia="Arial" w:hAnsi="Arial"/>
          <w:sz w:val="17"/>
          <w:szCs w:val="17"/>
          <w:color w:val="000000"/>
        </w:rPr>
        <w:t>. We generally do not provide excessive perquisites to our NEOs.</w:t>
      </w:r>
    </w:p>
    <w:p>
      <w:pPr>
        <w:spacing w:after="0" w:line="144" w:lineRule="exact"/>
        <w:rPr>
          <w:sz w:val="20"/>
          <w:szCs w:val="20"/>
          <w:color w:val="auto"/>
        </w:rPr>
      </w:pPr>
    </w:p>
    <w:p>
      <w:pPr>
        <w:ind w:right="880"/>
        <w:spacing w:after="0" w:line="288" w:lineRule="auto"/>
        <w:rPr>
          <w:sz w:val="20"/>
          <w:szCs w:val="20"/>
          <w:color w:val="auto"/>
        </w:rPr>
      </w:pPr>
      <w:r>
        <w:rPr>
          <w:rFonts w:ascii="Arial" w:cs="Arial" w:eastAsia="Arial" w:hAnsi="Arial"/>
          <w:sz w:val="17"/>
          <w:szCs w:val="17"/>
          <w:b w:val="1"/>
          <w:bCs w:val="1"/>
          <w:i w:val="1"/>
          <w:iCs w:val="1"/>
          <w:color w:val="595959"/>
        </w:rPr>
        <w:t>Do Not Permit Hedging</w:t>
      </w:r>
      <w:r>
        <w:rPr>
          <w:rFonts w:ascii="Arial" w:cs="Arial" w:eastAsia="Arial" w:hAnsi="Arial"/>
          <w:sz w:val="17"/>
          <w:szCs w:val="17"/>
          <w:color w:val="000000"/>
        </w:rPr>
        <w:t>. We prohibit directors and employees, including our NEOs, from hedging</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CrowdStrike securities.</w:t>
      </w:r>
    </w:p>
    <w:p>
      <w:pPr>
        <w:spacing w:after="0" w:line="1" w:lineRule="exact"/>
        <w:rPr>
          <w:sz w:val="20"/>
          <w:szCs w:val="20"/>
          <w:color w:val="auto"/>
        </w:rPr>
      </w:pPr>
    </w:p>
    <w:p>
      <w:pPr>
        <w:ind w:right="360"/>
        <w:spacing w:after="0" w:line="298" w:lineRule="auto"/>
        <w:rPr>
          <w:sz w:val="20"/>
          <w:szCs w:val="20"/>
          <w:color w:val="auto"/>
        </w:rPr>
      </w:pPr>
      <w:r>
        <w:rPr>
          <w:rFonts w:ascii="Arial" w:cs="Arial" w:eastAsia="Arial" w:hAnsi="Arial"/>
          <w:sz w:val="17"/>
          <w:szCs w:val="17"/>
          <w:b w:val="1"/>
          <w:bCs w:val="1"/>
          <w:i w:val="1"/>
          <w:iCs w:val="1"/>
          <w:color w:val="595959"/>
        </w:rPr>
        <w:t>Do Not Permit Pledging</w:t>
      </w:r>
      <w:r>
        <w:rPr>
          <w:rFonts w:ascii="Arial" w:cs="Arial" w:eastAsia="Arial" w:hAnsi="Arial"/>
          <w:sz w:val="17"/>
          <w:szCs w:val="17"/>
          <w:color w:val="000000"/>
        </w:rPr>
        <w:t>. We prohibit employees, including NEOs, from pledging CrowdStrike securities</w:t>
      </w:r>
      <w:r>
        <w:rPr>
          <w:rFonts w:ascii="Arial" w:cs="Arial" w:eastAsia="Arial" w:hAnsi="Arial"/>
          <w:sz w:val="17"/>
          <w:szCs w:val="17"/>
          <w:b w:val="1"/>
          <w:bCs w:val="1"/>
          <w:i w:val="1"/>
          <w:iCs w:val="1"/>
          <w:color w:val="595959"/>
        </w:rPr>
        <w:t xml:space="preserve"> </w:t>
      </w:r>
      <w:r>
        <w:rPr>
          <w:rFonts w:ascii="Arial" w:cs="Arial" w:eastAsia="Arial" w:hAnsi="Arial"/>
          <w:sz w:val="17"/>
          <w:szCs w:val="17"/>
          <w:color w:val="000000"/>
        </w:rPr>
        <w:t>without the consent of our Legal Department.</w:t>
      </w:r>
    </w:p>
    <w:p>
      <w:pPr>
        <w:spacing w:after="0" w:line="162" w:lineRule="exact"/>
        <w:rPr>
          <w:sz w:val="20"/>
          <w:szCs w:val="20"/>
          <w:color w:val="auto"/>
        </w:rPr>
      </w:pPr>
    </w:p>
    <w:p>
      <w:pPr>
        <w:sectPr>
          <w:pgSz w:w="11900" w:h="16838" w:orient="portrait"/>
          <w:cols w:equalWidth="0" w:num="2">
            <w:col w:w="1629" w:space="611"/>
            <w:col w:w="8400"/>
          </w:cols>
          <w:pgMar w:left="760" w:top="94" w:right="499" w:bottom="1440" w:gutter="0" w:footer="0" w:header="0"/>
          <w:type w:val="continuous"/>
        </w:sectPr>
      </w:pPr>
    </w:p>
    <w:p>
      <w:pPr>
        <w:ind w:left="800"/>
        <w:spacing w:after="0"/>
        <w:rPr>
          <w:sz w:val="20"/>
          <w:szCs w:val="20"/>
          <w:color w:val="auto"/>
        </w:rPr>
      </w:pPr>
      <w:r>
        <w:rPr>
          <w:rFonts w:ascii="Arial" w:cs="Arial" w:eastAsia="Arial" w:hAnsi="Arial"/>
          <w:sz w:val="24"/>
          <w:szCs w:val="24"/>
          <w:b w:val="1"/>
          <w:bCs w:val="1"/>
          <w:color w:val="auto"/>
        </w:rPr>
        <w:t>Peer Group Used for Fiscal 2026 Executive Compensation Analysis</w:t>
      </w:r>
    </w:p>
    <w:p>
      <w:pPr>
        <w:spacing w:after="0" w:line="122" w:lineRule="exact"/>
        <w:rPr>
          <w:sz w:val="20"/>
          <w:szCs w:val="20"/>
          <w:color w:val="auto"/>
        </w:rPr>
      </w:pPr>
    </w:p>
    <w:p>
      <w:pPr>
        <w:ind w:left="800" w:right="1280"/>
        <w:spacing w:after="0" w:line="260" w:lineRule="auto"/>
        <w:rPr>
          <w:sz w:val="20"/>
          <w:szCs w:val="20"/>
          <w:color w:val="auto"/>
        </w:rPr>
      </w:pPr>
      <w:r>
        <w:rPr>
          <w:rFonts w:ascii="Arial" w:cs="Arial" w:eastAsia="Arial" w:hAnsi="Arial"/>
          <w:sz w:val="17"/>
          <w:szCs w:val="17"/>
          <w:color w:val="auto"/>
        </w:rPr>
        <w:t>On an annual basis, the Compensation Committee reviews and approves the composition of the peer group used for compensation comparison purposes. In determining if any changes were necessary for fiscal 2026, the Compensation Committee, with the assistance of its independent compensation consultant, Compensia Inc. (“Compensia”), considered the following peer group selection criteria:</w:t>
      </w:r>
    </w:p>
    <w:p>
      <w:pPr>
        <w:spacing w:after="0" w:line="42" w:lineRule="exact"/>
        <w:rPr>
          <w:sz w:val="20"/>
          <w:szCs w:val="20"/>
          <w:color w:val="auto"/>
        </w:rPr>
      </w:pPr>
    </w:p>
    <w:p>
      <w:pPr>
        <w:ind w:left="1320" w:right="1640" w:hanging="179"/>
        <w:spacing w:after="0" w:line="298" w:lineRule="auto"/>
        <w:tabs>
          <w:tab w:leader="none" w:pos="1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Companies in the technology industry, with a preference for “software-as-a-service” (SaaS)​ and internet/network security software companies to reflect CrowdStrike’s competition for executive talent;</w:t>
      </w:r>
    </w:p>
    <w:p>
      <w:pPr>
        <w:spacing w:after="0" w:line="35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640"/>
          </w:cols>
          <w:pgMar w:left="760" w:top="94" w:right="4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1320" w:hanging="179"/>
        <w:spacing w:after="0"/>
        <w:tabs>
          <w:tab w:leader="none" w:pos="1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Annual revenue of between approximately 0.5x – 2.5x of CrowdStrike’s last four quarters of revenue;</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Market capitalization between approximately 0.25x – 4x of CrowdStrike’s market capitalization;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High-growth companies with strong revenue growth and market capitalization as a multiple of revenue.</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Based on the selection criteria and the Compensation Committee’s assessment:</w:t>
      </w:r>
    </w:p>
    <w:p>
      <w:pPr>
        <w:spacing w:after="0" w:line="221" w:lineRule="exact"/>
        <w:rPr>
          <w:sz w:val="20"/>
          <w:szCs w:val="20"/>
          <w:color w:val="auto"/>
        </w:rPr>
      </w:pPr>
    </w:p>
    <w:p>
      <w:pPr>
        <w:ind w:left="1500" w:hanging="359"/>
        <w:spacing w:after="0"/>
        <w:tabs>
          <w:tab w:leader="none" w:pos="1500" w:val="left"/>
        </w:tabs>
        <w:numPr>
          <w:ilvl w:val="0"/>
          <w:numId w:val="53"/>
        </w:numPr>
        <w:rPr>
          <w:rFonts w:ascii="Arial" w:cs="Arial" w:eastAsia="Arial" w:hAnsi="Arial"/>
          <w:sz w:val="17"/>
          <w:szCs w:val="17"/>
          <w:b w:val="1"/>
          <w:bCs w:val="1"/>
          <w:color w:val="D6515D"/>
        </w:rPr>
      </w:pPr>
      <w:r>
        <w:rPr>
          <w:rFonts w:ascii="Arial" w:cs="Arial" w:eastAsia="Arial" w:hAnsi="Arial"/>
          <w:sz w:val="17"/>
          <w:szCs w:val="17"/>
          <w:b w:val="1"/>
          <w:bCs w:val="1"/>
          <w:color w:val="D6515D"/>
        </w:rPr>
        <w:t>Added</w:t>
      </w:r>
      <w:r>
        <w:rPr>
          <w:rFonts w:ascii="Arial" w:cs="Arial" w:eastAsia="Arial" w:hAnsi="Arial"/>
          <w:sz w:val="17"/>
          <w:szCs w:val="17"/>
          <w:color w:val="000000"/>
        </w:rPr>
        <w:t>: AppLovin Corporation and Arista Networks, Inc.</w:t>
      </w:r>
    </w:p>
    <w:p>
      <w:pPr>
        <w:spacing w:after="0" w:line="44" w:lineRule="exact"/>
        <w:rPr>
          <w:sz w:val="20"/>
          <w:szCs w:val="20"/>
          <w:color w:val="auto"/>
        </w:rPr>
      </w:pPr>
    </w:p>
    <w:p>
      <w:pPr>
        <w:ind w:left="1500" w:hanging="359"/>
        <w:spacing w:after="0"/>
        <w:tabs>
          <w:tab w:leader="none" w:pos="150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5B5B5B"/>
        </w:rPr>
        <w:t>Removed</w:t>
      </w:r>
      <w:r>
        <w:rPr>
          <w:rFonts w:ascii="Arial" w:cs="Arial" w:eastAsia="Arial" w:hAnsi="Arial"/>
          <w:sz w:val="17"/>
          <w:szCs w:val="17"/>
          <w:color w:val="000000"/>
        </w:rPr>
        <w:t>: BILL Holdings, Inc., Enphase Energy, Inc., and Twilio Inc.</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Fiscal 2026 Peer Group</w:t>
      </w:r>
    </w:p>
    <w:p>
      <w:pPr>
        <w:spacing w:after="0" w:line="151" w:lineRule="exact"/>
        <w:rPr>
          <w:sz w:val="20"/>
          <w:szCs w:val="20"/>
          <w:color w:val="auto"/>
        </w:rPr>
      </w:pPr>
    </w:p>
    <w:tbl>
      <w:tblPr>
        <w:tblLayout w:type="fixed"/>
        <w:tblInd w:w="810" w:type="dxa"/>
        <w:tblCellMar>
          <w:top w:w="0" w:type="dxa"/>
          <w:left w:w="0" w:type="dxa"/>
          <w:bottom w:w="0" w:type="dxa"/>
          <w:right w:w="0" w:type="dxa"/>
        </w:tblCellMar>
      </w:tblPr>
      <w:tr>
        <w:trPr>
          <w:trHeight w:val="409"/>
        </w:trPr>
        <w:tc>
          <w:tcPr>
            <w:tcW w:w="2520" w:type="dxa"/>
            <w:vAlign w:val="bottom"/>
            <w:tcBorders>
              <w:top w:val="single" w:sz="8" w:color="D6515D"/>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AppLovin Corporation</w:t>
            </w:r>
          </w:p>
        </w:tc>
        <w:tc>
          <w:tcPr>
            <w:tcW w:w="2950" w:type="dxa"/>
            <w:vAlign w:val="bottom"/>
            <w:tcBorders>
              <w:top w:val="single" w:sz="8" w:color="D6515D"/>
            </w:tcBorders>
            <w:shd w:val="clear" w:color="auto" w:fill="E5E5E5"/>
          </w:tcPr>
          <w:p>
            <w:pPr>
              <w:ind w:left="660"/>
              <w:spacing w:after="0"/>
              <w:rPr>
                <w:sz w:val="20"/>
                <w:szCs w:val="20"/>
                <w:color w:val="auto"/>
              </w:rPr>
            </w:pPr>
            <w:r>
              <w:rPr>
                <w:rFonts w:ascii="Arial" w:cs="Arial" w:eastAsia="Arial" w:hAnsi="Arial"/>
                <w:sz w:val="17"/>
                <w:szCs w:val="17"/>
                <w:color w:val="auto"/>
              </w:rPr>
              <w:t>MongoDB, Inc.</w:t>
            </w:r>
          </w:p>
        </w:tc>
        <w:tc>
          <w:tcPr>
            <w:tcW w:w="3310" w:type="dxa"/>
            <w:vAlign w:val="bottom"/>
            <w:tcBorders>
              <w:top w:val="single" w:sz="8" w:color="D6515D"/>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Snap Inc.</w:t>
            </w:r>
          </w:p>
        </w:tc>
      </w:tr>
      <w:tr>
        <w:trPr>
          <w:trHeight w:val="248"/>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Arista Networks,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Okta,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Snowflake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Atlassian Corporation</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Palantir Technologies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The Trade Desk,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Block,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Palo Alto Networks,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Workday,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Cloudflare,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Pinterest, Inc.</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Zoom Communications,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Datadog,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Roblox Corporation</w:t>
            </w:r>
          </w:p>
        </w:tc>
        <w:tc>
          <w:tcPr>
            <w:tcW w:w="3310" w:type="dxa"/>
            <w:vAlign w:val="bottom"/>
            <w:tcBorders>
              <w:right w:val="single" w:sz="8" w:color="D6515D"/>
            </w:tcBorders>
            <w:shd w:val="clear" w:color="auto" w:fill="E5E5E5"/>
          </w:tcPr>
          <w:p>
            <w:pPr>
              <w:ind w:left="990"/>
              <w:spacing w:after="0"/>
              <w:rPr>
                <w:sz w:val="20"/>
                <w:szCs w:val="20"/>
                <w:color w:val="auto"/>
              </w:rPr>
            </w:pPr>
            <w:r>
              <w:rPr>
                <w:rFonts w:ascii="Arial" w:cs="Arial" w:eastAsia="Arial" w:hAnsi="Arial"/>
                <w:sz w:val="17"/>
                <w:szCs w:val="17"/>
                <w:color w:val="auto"/>
              </w:rPr>
              <w:t>Zscaler, Inc.</w:t>
            </w: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Fortinet,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ServiceNow, Inc.</w:t>
            </w:r>
          </w:p>
        </w:tc>
        <w:tc>
          <w:tcPr>
            <w:tcW w:w="3310" w:type="dxa"/>
            <w:vAlign w:val="bottom"/>
            <w:tcBorders>
              <w:right w:val="single" w:sz="8" w:color="D6515D"/>
            </w:tcBorders>
            <w:shd w:val="clear" w:color="auto" w:fill="E5E5E5"/>
          </w:tcPr>
          <w:p>
            <w:pPr>
              <w:spacing w:after="0"/>
              <w:rPr>
                <w:sz w:val="22"/>
                <w:szCs w:val="22"/>
                <w:color w:val="auto"/>
              </w:rPr>
            </w:pPr>
          </w:p>
        </w:tc>
      </w:tr>
      <w:tr>
        <w:trPr>
          <w:trHeight w:val="261"/>
        </w:trPr>
        <w:tc>
          <w:tcPr>
            <w:tcW w:w="2520" w:type="dxa"/>
            <w:vAlign w:val="bottom"/>
            <w:tcBorders>
              <w:left w:val="single" w:sz="8" w:color="D6515D"/>
            </w:tcBorders>
            <w:shd w:val="clear" w:color="auto" w:fill="E5E5E5"/>
          </w:tcPr>
          <w:p>
            <w:pPr>
              <w:ind w:left="220"/>
              <w:spacing w:after="0"/>
              <w:rPr>
                <w:sz w:val="20"/>
                <w:szCs w:val="20"/>
                <w:color w:val="auto"/>
              </w:rPr>
            </w:pPr>
            <w:r>
              <w:rPr>
                <w:rFonts w:ascii="Arial" w:cs="Arial" w:eastAsia="Arial" w:hAnsi="Arial"/>
                <w:sz w:val="17"/>
                <w:szCs w:val="17"/>
                <w:color w:val="auto"/>
              </w:rPr>
              <w:t>HubSpot, Inc.</w:t>
            </w:r>
          </w:p>
        </w:tc>
        <w:tc>
          <w:tcPr>
            <w:tcW w:w="2950" w:type="dxa"/>
            <w:vAlign w:val="bottom"/>
            <w:shd w:val="clear" w:color="auto" w:fill="E5E5E5"/>
          </w:tcPr>
          <w:p>
            <w:pPr>
              <w:ind w:left="660"/>
              <w:spacing w:after="0"/>
              <w:rPr>
                <w:sz w:val="20"/>
                <w:szCs w:val="20"/>
                <w:color w:val="auto"/>
              </w:rPr>
            </w:pPr>
            <w:r>
              <w:rPr>
                <w:rFonts w:ascii="Arial" w:cs="Arial" w:eastAsia="Arial" w:hAnsi="Arial"/>
                <w:sz w:val="17"/>
                <w:szCs w:val="17"/>
                <w:color w:val="auto"/>
              </w:rPr>
              <w:t>Shopify Inc.</w:t>
            </w:r>
          </w:p>
        </w:tc>
        <w:tc>
          <w:tcPr>
            <w:tcW w:w="3310" w:type="dxa"/>
            <w:vAlign w:val="bottom"/>
            <w:tcBorders>
              <w:right w:val="single" w:sz="8" w:color="D6515D"/>
            </w:tcBorders>
            <w:shd w:val="clear" w:color="auto" w:fill="E5E5E5"/>
          </w:tcPr>
          <w:p>
            <w:pPr>
              <w:spacing w:after="0"/>
              <w:rPr>
                <w:sz w:val="22"/>
                <w:szCs w:val="22"/>
                <w:color w:val="auto"/>
              </w:rPr>
            </w:pPr>
          </w:p>
        </w:tc>
      </w:tr>
      <w:tr>
        <w:trPr>
          <w:trHeight w:val="205"/>
        </w:trPr>
        <w:tc>
          <w:tcPr>
            <w:tcW w:w="2520" w:type="dxa"/>
            <w:vAlign w:val="bottom"/>
            <w:tcBorders>
              <w:left w:val="single" w:sz="8" w:color="D6515D"/>
              <w:bottom w:val="single" w:sz="8" w:color="D6515D"/>
            </w:tcBorders>
            <w:shd w:val="clear" w:color="auto" w:fill="E5E5E5"/>
          </w:tcPr>
          <w:p>
            <w:pPr>
              <w:spacing w:after="0"/>
              <w:rPr>
                <w:sz w:val="17"/>
                <w:szCs w:val="17"/>
                <w:color w:val="auto"/>
              </w:rPr>
            </w:pPr>
          </w:p>
        </w:tc>
        <w:tc>
          <w:tcPr>
            <w:tcW w:w="2950" w:type="dxa"/>
            <w:vAlign w:val="bottom"/>
            <w:tcBorders>
              <w:bottom w:val="single" w:sz="8" w:color="D6515D"/>
            </w:tcBorders>
            <w:shd w:val="clear" w:color="auto" w:fill="E5E5E5"/>
          </w:tcPr>
          <w:p>
            <w:pPr>
              <w:spacing w:after="0"/>
              <w:rPr>
                <w:sz w:val="17"/>
                <w:szCs w:val="17"/>
                <w:color w:val="auto"/>
              </w:rPr>
            </w:pPr>
          </w:p>
        </w:tc>
        <w:tc>
          <w:tcPr>
            <w:tcW w:w="3310" w:type="dxa"/>
            <w:vAlign w:val="bottom"/>
            <w:tcBorders>
              <w:bottom w:val="single" w:sz="8" w:color="D6515D"/>
              <w:right w:val="single" w:sz="8" w:color="D6515D"/>
            </w:tcBorders>
            <w:shd w:val="clear" w:color="auto" w:fill="E5E5E5"/>
          </w:tcPr>
          <w:p>
            <w:pPr>
              <w:spacing w:after="0"/>
              <w:rPr>
                <w:sz w:val="17"/>
                <w:szCs w:val="17"/>
                <w:color w:val="auto"/>
              </w:rPr>
            </w:pPr>
          </w:p>
        </w:tc>
      </w:tr>
    </w:tbl>
    <w:p>
      <w:pPr>
        <w:spacing w:after="0" w:line="192" w:lineRule="exact"/>
        <w:rPr>
          <w:sz w:val="20"/>
          <w:szCs w:val="20"/>
          <w:color w:val="auto"/>
        </w:rPr>
      </w:pPr>
    </w:p>
    <w:p>
      <w:pPr>
        <w:ind w:left="800" w:right="139"/>
        <w:spacing w:after="0" w:line="259" w:lineRule="auto"/>
        <w:rPr>
          <w:sz w:val="20"/>
          <w:szCs w:val="20"/>
          <w:color w:val="auto"/>
        </w:rPr>
      </w:pPr>
      <w:r>
        <w:rPr>
          <w:rFonts w:ascii="Arial" w:cs="Arial" w:eastAsia="Arial" w:hAnsi="Arial"/>
          <w:sz w:val="17"/>
          <w:szCs w:val="17"/>
          <w:color w:val="auto"/>
        </w:rPr>
        <w:t xml:space="preserve">Our continued strong growth trajectory is reflected in our performance relative to our peer group. The following chart shows CrowdStrike’s position within the peer group on three screening criteria (revenue, one-year revenue growth and market cap), based on each peer company’s publicly reported trailing four quarters financial data as of August 7, 2024.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100965</wp:posOffset>
            </wp:positionV>
            <wp:extent cx="5286375" cy="131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86375" cy="131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40" w:hanging="347"/>
        <w:spacing w:after="0"/>
        <w:tabs>
          <w:tab w:leader="none" w:pos="11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Financial data per S&amp;P Capital IQ as of August 7, 2024. Market Cap based on the 30-day average as of August 7, 2024.</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Compensation Setting Process</w:t>
      </w:r>
    </w:p>
    <w:p>
      <w:pPr>
        <w:spacing w:after="0" w:line="122" w:lineRule="exact"/>
        <w:rPr>
          <w:sz w:val="20"/>
          <w:szCs w:val="20"/>
          <w:color w:val="auto"/>
        </w:rPr>
      </w:pPr>
    </w:p>
    <w:p>
      <w:pPr>
        <w:ind w:left="800" w:right="179"/>
        <w:spacing w:after="0" w:line="267" w:lineRule="auto"/>
        <w:rPr>
          <w:sz w:val="20"/>
          <w:szCs w:val="20"/>
          <w:color w:val="auto"/>
        </w:rPr>
      </w:pPr>
      <w:r>
        <w:rPr>
          <w:rFonts w:ascii="Arial" w:cs="Arial" w:eastAsia="Arial" w:hAnsi="Arial"/>
          <w:sz w:val="17"/>
          <w:szCs w:val="17"/>
          <w:color w:val="auto"/>
        </w:rPr>
        <w:t>When determining recommendations for our NEOs’ fiscal 2026 compensation levels, the Compensation Committee considered how our NEOs compared to the compensation levels for comparable positions in the peer group. In addition to referencing data from proxy statements and current reports on Form 8-K filings of our peer group, the Compensation Committee also reviewed survey data drawn from Radford custom peer group surveys as a supplemental data source.</w:t>
      </w:r>
    </w:p>
    <w:p>
      <w:pPr>
        <w:spacing w:after="0" w:line="167"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The Compensation Committee establishes base salaries, annual cash incentive awards and long-term equity-based incentive awards on a case-by-case basis for each NEO taking into consideration: (i) individual performance, role expertise and experience, (ii) Company performance, (iii) competitive market conditions, (iv) succession planning,</w:t>
      </w:r>
    </w:p>
    <w:p>
      <w:pPr>
        <w:spacing w:after="0" w:line="1" w:lineRule="exact"/>
        <w:rPr>
          <w:sz w:val="20"/>
          <w:szCs w:val="20"/>
          <w:color w:val="auto"/>
        </w:rPr>
      </w:pPr>
    </w:p>
    <w:p>
      <w:pPr>
        <w:ind w:left="800" w:right="479" w:hanging="7"/>
        <w:spacing w:after="0" w:line="279" w:lineRule="auto"/>
        <w:tabs>
          <w:tab w:leader="none" w:pos="1046"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retention and external opportunities potentially available to our executives, (vi) internal equity among internal peers, (vii) unrealized equity gains and (viii) best compensation governance practices.</w:t>
      </w:r>
    </w:p>
    <w:p>
      <w:pPr>
        <w:spacing w:after="0" w:line="157" w:lineRule="exact"/>
        <w:rPr>
          <w:sz w:val="20"/>
          <w:szCs w:val="20"/>
          <w:color w:val="auto"/>
        </w:rPr>
      </w:pPr>
    </w:p>
    <w:p>
      <w:pPr>
        <w:ind w:left="800" w:right="299"/>
        <w:spacing w:after="0" w:line="267" w:lineRule="auto"/>
        <w:rPr>
          <w:sz w:val="20"/>
          <w:szCs w:val="20"/>
          <w:color w:val="auto"/>
        </w:rPr>
      </w:pPr>
      <w:r>
        <w:rPr>
          <w:rFonts w:ascii="Arial" w:cs="Arial" w:eastAsia="Arial" w:hAnsi="Arial"/>
          <w:sz w:val="17"/>
          <w:szCs w:val="17"/>
          <w:color w:val="auto"/>
        </w:rPr>
        <w:t>While the Compensation Committee considers a multitude of factors in its deliberations, it places no formal weighting on any one factor. The Compensation Committee does not tie individual compensation to specific target pay percentiles but rather makes a determination based on inputs from the CEO (except with respect to his own compensation), as well as the directors’ knowledge and judgment in assessing the various factors that would best further the principles and objectives of our executive compensation program.</w:t>
      </w:r>
    </w:p>
    <w:p>
      <w:pPr>
        <w:sectPr>
          <w:pgSz w:w="11900" w:h="16838" w:orient="portrait"/>
          <w:cols w:equalWidth="0" w:num="1">
            <w:col w:w="9699"/>
          </w:cols>
          <w:pgMar w:left="760" w:top="94" w:right="1440" w:bottom="1440" w:gutter="0" w:footer="0" w:header="0"/>
        </w:sectPr>
      </w:pPr>
    </w:p>
    <w:p>
      <w:pPr>
        <w:spacing w:after="0" w:line="38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Performance-Based Pay and Goal Setting</w:t>
      </w:r>
    </w:p>
    <w:p>
      <w:pPr>
        <w:spacing w:after="0" w:line="109" w:lineRule="exact"/>
        <w:rPr>
          <w:sz w:val="20"/>
          <w:szCs w:val="20"/>
          <w:color w:val="auto"/>
        </w:rPr>
      </w:pPr>
    </w:p>
    <w:p>
      <w:pPr>
        <w:ind w:left="800" w:right="179"/>
        <w:spacing w:after="0" w:line="251" w:lineRule="auto"/>
        <w:rPr>
          <w:sz w:val="20"/>
          <w:szCs w:val="20"/>
          <w:color w:val="auto"/>
        </w:rPr>
      </w:pPr>
      <w:r>
        <w:rPr>
          <w:rFonts w:ascii="Arial" w:cs="Arial" w:eastAsia="Arial" w:hAnsi="Arial"/>
          <w:sz w:val="17"/>
          <w:szCs w:val="17"/>
          <w:color w:val="auto"/>
        </w:rPr>
        <w:t>In order to promote our focus on long-term sustained financial success, the Compensation Committee engages in a rigorous and deliberate process in establishing various revenue and profitability objectives that are used in both our annual cash and long-term equity incentive plans. The Compensation Committee reviews and determines the appropriateness of thresholds, maximums and interim payout levels for each metric by considering past performance, business expectations, potential customer / market scenarios and macroeconomic conditions on a yearly basis. The performance goals are intended to be challenging but achievable without encouraging inappropriate risk-taking, with maximums that can be reached only with exceptional performance. The fiscal 2026 performance targets were directly linked to our annual operating plan.</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302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Performance-Based Pay Component</w:t>
            </w:r>
          </w:p>
        </w:tc>
        <w:tc>
          <w:tcPr>
            <w:tcW w:w="27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Metrics</w:t>
            </w:r>
          </w:p>
        </w:tc>
        <w:tc>
          <w:tcPr>
            <w:tcW w:w="2980" w:type="dxa"/>
            <w:vAlign w:val="bottom"/>
            <w:tcBorders>
              <w:bottom w:val="single" w:sz="8" w:color="D6515D"/>
            </w:tcBorders>
          </w:tcPr>
          <w:p>
            <w:pPr>
              <w:ind w:left="200"/>
              <w:spacing w:after="0"/>
              <w:rPr>
                <w:sz w:val="20"/>
                <w:szCs w:val="20"/>
                <w:color w:val="auto"/>
              </w:rPr>
            </w:pPr>
            <w:r>
              <w:rPr>
                <w:rFonts w:ascii="Arial" w:cs="Arial" w:eastAsia="Arial" w:hAnsi="Arial"/>
                <w:sz w:val="14"/>
                <w:szCs w:val="14"/>
                <w:b w:val="1"/>
                <w:bCs w:val="1"/>
                <w:color w:val="auto"/>
              </w:rPr>
              <w:t>Rationale</w:t>
            </w:r>
          </w:p>
        </w:tc>
        <w:tc>
          <w:tcPr>
            <w:tcW w:w="0" w:type="dxa"/>
            <w:vAlign w:val="bottom"/>
          </w:tcPr>
          <w:p>
            <w:pPr>
              <w:spacing w:after="0"/>
              <w:rPr>
                <w:sz w:val="1"/>
                <w:szCs w:val="1"/>
                <w:color w:val="auto"/>
              </w:rPr>
            </w:pPr>
          </w:p>
        </w:tc>
      </w:tr>
      <w:tr>
        <w:trPr>
          <w:trHeight w:val="218"/>
        </w:trPr>
        <w:tc>
          <w:tcPr>
            <w:tcW w:w="3020" w:type="dxa"/>
            <w:vAlign w:val="bottom"/>
          </w:tcPr>
          <w:p>
            <w:pPr>
              <w:spacing w:after="0"/>
              <w:rPr>
                <w:sz w:val="20"/>
                <w:szCs w:val="20"/>
                <w:color w:val="auto"/>
              </w:rPr>
            </w:pPr>
            <w:r>
              <w:rPr>
                <w:rFonts w:ascii="Arial" w:cs="Arial" w:eastAsia="Arial" w:hAnsi="Arial"/>
                <w:sz w:val="17"/>
                <w:szCs w:val="17"/>
                <w:b w:val="1"/>
                <w:bCs w:val="1"/>
                <w:color w:val="auto"/>
              </w:rPr>
              <w:t>Annual Cash Incentive</w:t>
            </w:r>
          </w:p>
        </w:tc>
        <w:tc>
          <w:tcPr>
            <w:tcW w:w="2780" w:type="dxa"/>
            <w:vAlign w:val="bottom"/>
          </w:tcPr>
          <w:p>
            <w:pPr>
              <w:jc w:val="center"/>
              <w:spacing w:after="0"/>
              <w:rPr>
                <w:sz w:val="20"/>
                <w:szCs w:val="20"/>
                <w:color w:val="auto"/>
              </w:rPr>
            </w:pPr>
            <w:r>
              <w:rPr>
                <w:rFonts w:ascii="Arial" w:cs="Arial" w:eastAsia="Arial" w:hAnsi="Arial"/>
                <w:sz w:val="17"/>
                <w:szCs w:val="17"/>
                <w:color w:val="auto"/>
              </w:rPr>
              <w:t>Non-GAAP Operating Income</w:t>
            </w:r>
          </w:p>
        </w:tc>
        <w:tc>
          <w:tcPr>
            <w:tcW w:w="2980" w:type="dxa"/>
            <w:vAlign w:val="bottom"/>
          </w:tcPr>
          <w:p>
            <w:pPr>
              <w:ind w:left="200"/>
              <w:spacing w:after="0"/>
              <w:rPr>
                <w:sz w:val="20"/>
                <w:szCs w:val="20"/>
                <w:color w:val="auto"/>
              </w:rPr>
            </w:pPr>
            <w:r>
              <w:rPr>
                <w:rFonts w:ascii="Arial" w:cs="Arial" w:eastAsia="Arial" w:hAnsi="Arial"/>
                <w:sz w:val="17"/>
                <w:szCs w:val="17"/>
                <w:color w:val="auto"/>
              </w:rPr>
              <w:t>Motivates our NEOs to achieve</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7"/>
                <w:szCs w:val="17"/>
                <w:color w:val="auto"/>
              </w:rPr>
              <w:t>(Corporate Incentive Plan)</w:t>
            </w: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rPr>
              <w:t>Net New ARR</w:t>
            </w:r>
          </w:p>
        </w:tc>
        <w:tc>
          <w:tcPr>
            <w:tcW w:w="2980" w:type="dxa"/>
            <w:vAlign w:val="bottom"/>
          </w:tcPr>
          <w:p>
            <w:pPr>
              <w:ind w:left="200"/>
              <w:spacing w:after="0"/>
              <w:rPr>
                <w:sz w:val="20"/>
                <w:szCs w:val="20"/>
                <w:color w:val="auto"/>
              </w:rPr>
            </w:pPr>
            <w:r>
              <w:rPr>
                <w:rFonts w:ascii="Arial" w:cs="Arial" w:eastAsia="Arial" w:hAnsi="Arial"/>
                <w:sz w:val="17"/>
                <w:szCs w:val="17"/>
                <w:color w:val="auto"/>
              </w:rPr>
              <w:t>short-term business objectives that</w:t>
            </w:r>
          </w:p>
        </w:tc>
        <w:tc>
          <w:tcPr>
            <w:tcW w:w="0" w:type="dxa"/>
            <w:vAlign w:val="bottom"/>
          </w:tcPr>
          <w:p>
            <w:pPr>
              <w:spacing w:after="0"/>
              <w:rPr>
                <w:sz w:val="1"/>
                <w:szCs w:val="1"/>
                <w:color w:val="auto"/>
              </w:rPr>
            </w:pPr>
          </w:p>
        </w:tc>
      </w:tr>
      <w:tr>
        <w:trPr>
          <w:trHeight w:val="125"/>
        </w:trPr>
        <w:tc>
          <w:tcPr>
            <w:tcW w:w="302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2980" w:type="dxa"/>
            <w:vAlign w:val="bottom"/>
            <w:vMerge w:val="restart"/>
          </w:tcPr>
          <w:p>
            <w:pPr>
              <w:ind w:left="200"/>
              <w:spacing w:after="0"/>
              <w:rPr>
                <w:sz w:val="20"/>
                <w:szCs w:val="20"/>
                <w:color w:val="auto"/>
              </w:rPr>
            </w:pPr>
            <w:r>
              <w:rPr>
                <w:rFonts w:ascii="Arial" w:cs="Arial" w:eastAsia="Arial" w:hAnsi="Arial"/>
                <w:sz w:val="17"/>
                <w:szCs w:val="17"/>
                <w:color w:val="auto"/>
              </w:rPr>
              <w:t>drive growth of the Company</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7"/>
                <w:szCs w:val="17"/>
                <w:color w:val="auto"/>
              </w:rPr>
              <w:t>Net Retention Rate</w:t>
            </w:r>
          </w:p>
        </w:tc>
        <w:tc>
          <w:tcPr>
            <w:tcW w:w="2980" w:type="dxa"/>
            <w:vAlign w:val="bottom"/>
          </w:tcPr>
          <w:p>
            <w:pPr>
              <w:ind w:left="200"/>
              <w:spacing w:after="0"/>
              <w:rPr>
                <w:sz w:val="20"/>
                <w:szCs w:val="20"/>
                <w:color w:val="auto"/>
              </w:rPr>
            </w:pPr>
            <w:r>
              <w:rPr>
                <w:rFonts w:ascii="Arial" w:cs="Arial" w:eastAsia="Arial" w:hAnsi="Arial"/>
                <w:sz w:val="17"/>
                <w:szCs w:val="17"/>
                <w:color w:val="auto"/>
              </w:rPr>
              <w:t>Performance-based, not guaranteed</w:t>
            </w:r>
          </w:p>
        </w:tc>
        <w:tc>
          <w:tcPr>
            <w:tcW w:w="0" w:type="dxa"/>
            <w:vAlign w:val="bottom"/>
          </w:tcPr>
          <w:p>
            <w:pPr>
              <w:spacing w:after="0"/>
              <w:rPr>
                <w:sz w:val="1"/>
                <w:szCs w:val="1"/>
                <w:color w:val="auto"/>
              </w:rPr>
            </w:pPr>
          </w:p>
        </w:tc>
      </w:tr>
      <w:tr>
        <w:trPr>
          <w:trHeight w:val="49"/>
        </w:trPr>
        <w:tc>
          <w:tcPr>
            <w:tcW w:w="30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020" w:type="dxa"/>
            <w:vAlign w:val="bottom"/>
          </w:tcPr>
          <w:p>
            <w:pPr>
              <w:spacing w:after="0" w:line="211" w:lineRule="exact"/>
              <w:rPr>
                <w:sz w:val="20"/>
                <w:szCs w:val="20"/>
                <w:color w:val="auto"/>
              </w:rPr>
            </w:pPr>
            <w:r>
              <w:rPr>
                <w:rFonts w:ascii="Arial" w:cs="Arial" w:eastAsia="Arial" w:hAnsi="Arial"/>
                <w:sz w:val="17"/>
                <w:szCs w:val="17"/>
                <w:b w:val="1"/>
                <w:bCs w:val="1"/>
                <w:color w:val="auto"/>
              </w:rPr>
              <w:t xml:space="preserve">Performance-Based Stock Units </w:t>
            </w:r>
            <w:r>
              <w:rPr>
                <w:rFonts w:ascii="Arial" w:cs="Arial" w:eastAsia="Arial" w:hAnsi="Arial"/>
                <w:sz w:val="22"/>
                <w:szCs w:val="22"/>
                <w:color w:val="auto"/>
                <w:vertAlign w:val="superscript"/>
              </w:rPr>
              <w:t>(1)</w:t>
            </w:r>
          </w:p>
        </w:tc>
        <w:tc>
          <w:tcPr>
            <w:tcW w:w="2780" w:type="dxa"/>
            <w:vAlign w:val="bottom"/>
          </w:tcPr>
          <w:p>
            <w:pPr>
              <w:jc w:val="center"/>
              <w:spacing w:after="0" w:line="211" w:lineRule="exact"/>
              <w:rPr>
                <w:sz w:val="20"/>
                <w:szCs w:val="20"/>
                <w:color w:val="auto"/>
              </w:rPr>
            </w:pPr>
            <w:r>
              <w:rPr>
                <w:rFonts w:ascii="Arial" w:cs="Arial" w:eastAsia="Arial" w:hAnsi="Arial"/>
                <w:sz w:val="17"/>
                <w:szCs w:val="17"/>
                <w:color w:val="auto"/>
                <w:w w:val="94"/>
              </w:rPr>
              <w:t xml:space="preserve">Revenue </w:t>
            </w:r>
            <w:r>
              <w:rPr>
                <w:rFonts w:ascii="Arial" w:cs="Arial" w:eastAsia="Arial" w:hAnsi="Arial"/>
                <w:sz w:val="22"/>
                <w:szCs w:val="22"/>
                <w:color w:val="auto"/>
                <w:w w:val="94"/>
                <w:vertAlign w:val="superscript"/>
              </w:rPr>
              <w:t>(2)</w:t>
            </w:r>
          </w:p>
        </w:tc>
        <w:tc>
          <w:tcPr>
            <w:tcW w:w="2980" w:type="dxa"/>
            <w:vAlign w:val="bottom"/>
          </w:tcPr>
          <w:p>
            <w:pPr>
              <w:ind w:left="200"/>
              <w:spacing w:after="0"/>
              <w:rPr>
                <w:sz w:val="20"/>
                <w:szCs w:val="20"/>
                <w:color w:val="auto"/>
              </w:rPr>
            </w:pPr>
            <w:r>
              <w:rPr>
                <w:rFonts w:ascii="Arial" w:cs="Arial" w:eastAsia="Arial" w:hAnsi="Arial"/>
                <w:sz w:val="17"/>
                <w:szCs w:val="17"/>
                <w:color w:val="auto"/>
              </w:rPr>
              <w:t>Aligns our NEOs’ interests with</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rPr>
              <w:t>Non-GAAP Earnings Per Share</w:t>
            </w:r>
          </w:p>
        </w:tc>
        <w:tc>
          <w:tcPr>
            <w:tcW w:w="2980" w:type="dxa"/>
            <w:vAlign w:val="bottom"/>
          </w:tcPr>
          <w:p>
            <w:pPr>
              <w:ind w:left="200"/>
              <w:spacing w:after="0"/>
              <w:rPr>
                <w:sz w:val="20"/>
                <w:szCs w:val="20"/>
                <w:color w:val="auto"/>
              </w:rPr>
            </w:pPr>
            <w:r>
              <w:rPr>
                <w:rFonts w:ascii="Arial" w:cs="Arial" w:eastAsia="Arial" w:hAnsi="Arial"/>
                <w:sz w:val="17"/>
                <w:szCs w:val="17"/>
                <w:color w:val="auto"/>
              </w:rPr>
              <w:t>those of our stockholders by</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2980" w:type="dxa"/>
            <w:vAlign w:val="bottom"/>
            <w:vMerge w:val="restart"/>
          </w:tcPr>
          <w:p>
            <w:pPr>
              <w:ind w:left="200"/>
              <w:spacing w:after="0"/>
              <w:rPr>
                <w:sz w:val="20"/>
                <w:szCs w:val="20"/>
                <w:color w:val="auto"/>
              </w:rPr>
            </w:pPr>
            <w:r>
              <w:rPr>
                <w:rFonts w:ascii="Arial" w:cs="Arial" w:eastAsia="Arial" w:hAnsi="Arial"/>
                <w:sz w:val="17"/>
                <w:szCs w:val="17"/>
                <w:color w:val="auto"/>
              </w:rPr>
              <w:t>focusing on the creation and</w:t>
            </w:r>
          </w:p>
        </w:tc>
        <w:tc>
          <w:tcPr>
            <w:tcW w:w="0" w:type="dxa"/>
            <w:vAlign w:val="bottom"/>
          </w:tcPr>
          <w:p>
            <w:pPr>
              <w:spacing w:after="0"/>
              <w:rPr>
                <w:sz w:val="1"/>
                <w:szCs w:val="1"/>
                <w:color w:val="auto"/>
              </w:rPr>
            </w:pPr>
          </w:p>
        </w:tc>
      </w:tr>
      <w:tr>
        <w:trPr>
          <w:trHeight w:val="91"/>
        </w:trPr>
        <w:tc>
          <w:tcPr>
            <w:tcW w:w="3020" w:type="dxa"/>
            <w:vAlign w:val="bottom"/>
          </w:tcPr>
          <w:p>
            <w:pPr>
              <w:spacing w:after="0"/>
              <w:rPr>
                <w:sz w:val="7"/>
                <w:szCs w:val="7"/>
                <w:color w:val="auto"/>
              </w:rPr>
            </w:pPr>
          </w:p>
        </w:tc>
        <w:tc>
          <w:tcPr>
            <w:tcW w:w="2780" w:type="dxa"/>
            <w:vAlign w:val="bottom"/>
            <w:vMerge w:val="restart"/>
          </w:tcPr>
          <w:p>
            <w:pPr>
              <w:jc w:val="center"/>
              <w:spacing w:after="0"/>
              <w:rPr>
                <w:sz w:val="20"/>
                <w:szCs w:val="20"/>
                <w:color w:val="auto"/>
              </w:rPr>
            </w:pPr>
            <w:r>
              <w:rPr>
                <w:rFonts w:ascii="Arial" w:cs="Arial" w:eastAsia="Arial" w:hAnsi="Arial"/>
                <w:sz w:val="17"/>
                <w:szCs w:val="17"/>
                <w:color w:val="auto"/>
              </w:rPr>
              <w:t>(“EPS”)</w:t>
            </w: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2980" w:type="dxa"/>
            <w:vAlign w:val="bottom"/>
            <w:vMerge w:val="restart"/>
          </w:tcPr>
          <w:p>
            <w:pPr>
              <w:ind w:left="200"/>
              <w:spacing w:after="0"/>
              <w:rPr>
                <w:sz w:val="20"/>
                <w:szCs w:val="20"/>
                <w:color w:val="auto"/>
              </w:rPr>
            </w:pPr>
            <w:r>
              <w:rPr>
                <w:rFonts w:ascii="Arial" w:cs="Arial" w:eastAsia="Arial" w:hAnsi="Arial"/>
                <w:sz w:val="17"/>
                <w:szCs w:val="17"/>
                <w:color w:val="auto"/>
              </w:rPr>
              <w:t>maintenance of long-term</w:t>
            </w:r>
          </w:p>
        </w:tc>
        <w:tc>
          <w:tcPr>
            <w:tcW w:w="0" w:type="dxa"/>
            <w:vAlign w:val="bottom"/>
          </w:tcPr>
          <w:p>
            <w:pPr>
              <w:spacing w:after="0"/>
              <w:rPr>
                <w:sz w:val="1"/>
                <w:szCs w:val="1"/>
                <w:color w:val="auto"/>
              </w:rPr>
            </w:pPr>
          </w:p>
        </w:tc>
      </w:tr>
      <w:tr>
        <w:trPr>
          <w:trHeight w:val="71"/>
        </w:trPr>
        <w:tc>
          <w:tcPr>
            <w:tcW w:w="30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7"/>
                <w:szCs w:val="17"/>
                <w:color w:val="auto"/>
              </w:rPr>
              <w:t>stockholder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138430</wp:posOffset>
            </wp:positionV>
            <wp:extent cx="11950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30" w:lineRule="exact"/>
        <w:rPr>
          <w:sz w:val="20"/>
          <w:szCs w:val="20"/>
          <w:color w:val="auto"/>
        </w:rPr>
      </w:pPr>
    </w:p>
    <w:p>
      <w:pPr>
        <w:ind w:left="1140" w:right="299" w:hanging="347"/>
        <w:spacing w:after="0" w:line="284" w:lineRule="auto"/>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table does not include the TSR PSUs received by Mr. Kurtz, which is a multi-year award and will not be granted on a recurring basis.</w:t>
      </w:r>
    </w:p>
    <w:p>
      <w:pPr>
        <w:spacing w:after="0" w:line="8" w:lineRule="exact"/>
        <w:rPr>
          <w:rFonts w:ascii="Arial" w:cs="Arial" w:eastAsia="Arial" w:hAnsi="Arial"/>
          <w:sz w:val="16"/>
          <w:szCs w:val="16"/>
          <w:color w:val="auto"/>
        </w:rPr>
      </w:pPr>
    </w:p>
    <w:p>
      <w:pPr>
        <w:ind w:left="1140" w:right="139" w:hanging="347"/>
        <w:spacing w:after="0" w:line="270" w:lineRule="auto"/>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fiscal 2026, we transitioned from expressing our revenue growth goal as a percentage to an absolute figure. As our revenue base has grown, absolute dollar targets better distinguish between achievement levels and align with our operating plan.</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Role of the Compensation Committee and the Board</w:t>
      </w:r>
    </w:p>
    <w:p>
      <w:pPr>
        <w:spacing w:after="0" w:line="119" w:lineRule="exact"/>
        <w:rPr>
          <w:sz w:val="20"/>
          <w:szCs w:val="20"/>
          <w:color w:val="auto"/>
        </w:rPr>
      </w:pPr>
    </w:p>
    <w:p>
      <w:pPr>
        <w:ind w:left="800" w:right="379"/>
        <w:spacing w:after="0" w:line="260" w:lineRule="auto"/>
        <w:rPr>
          <w:sz w:val="20"/>
          <w:szCs w:val="20"/>
          <w:color w:val="auto"/>
        </w:rPr>
      </w:pPr>
      <w:r>
        <w:rPr>
          <w:rFonts w:ascii="Arial" w:cs="Arial" w:eastAsia="Arial" w:hAnsi="Arial"/>
          <w:sz w:val="17"/>
          <w:szCs w:val="17"/>
          <w:color w:val="auto"/>
        </w:rPr>
        <w:t>The Compensation Committee, which is composed entirely of independent directors, establishes our overall compensation philosophy and objectives, and is responsible for establishing, overseeing and evaluating our executive compensation program. The Compensation Committee’s responsibilities include, but are not limited to, reviewing and approving:</w:t>
      </w:r>
    </w:p>
    <w:p>
      <w:pPr>
        <w:spacing w:after="0" w:line="55" w:lineRule="exact"/>
        <w:rPr>
          <w:sz w:val="20"/>
          <w:szCs w:val="20"/>
          <w:color w:val="auto"/>
        </w:rPr>
      </w:pPr>
    </w:p>
    <w:p>
      <w:pPr>
        <w:ind w:left="1320" w:hanging="179"/>
        <w:spacing w:after="0"/>
        <w:tabs>
          <w:tab w:leader="none" w:pos="1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peer group;</w:t>
      </w:r>
    </w:p>
    <w:p>
      <w:pPr>
        <w:spacing w:after="0" w:line="105" w:lineRule="exact"/>
        <w:rPr>
          <w:rFonts w:ascii="Arial" w:cs="Arial" w:eastAsia="Arial" w:hAnsi="Arial"/>
          <w:sz w:val="17"/>
          <w:szCs w:val="17"/>
          <w:color w:val="auto"/>
        </w:rPr>
      </w:pPr>
    </w:p>
    <w:p>
      <w:pPr>
        <w:ind w:left="1320" w:hanging="179"/>
        <w:spacing w:after="0"/>
        <w:tabs>
          <w:tab w:leader="none" w:pos="1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compensation philosophy and objectives;</w:t>
      </w:r>
    </w:p>
    <w:p>
      <w:pPr>
        <w:spacing w:after="0" w:line="118" w:lineRule="exact"/>
        <w:rPr>
          <w:rFonts w:ascii="Arial" w:cs="Arial" w:eastAsia="Arial" w:hAnsi="Arial"/>
          <w:sz w:val="17"/>
          <w:szCs w:val="17"/>
          <w:color w:val="auto"/>
        </w:rPr>
      </w:pPr>
    </w:p>
    <w:p>
      <w:pPr>
        <w:ind w:left="1320" w:right="119" w:hanging="179"/>
        <w:spacing w:after="0" w:line="267" w:lineRule="auto"/>
        <w:tabs>
          <w:tab w:leader="none" w:pos="1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specific compensation of our NEOs, other than (i) equity grants to our NEOs, and (ii) the compensation of our CEO, where the Compensation Committee makes recommendations to our Board. Following such recommendation, and after discussion with the members of the Compensation Committee regarding their assessment and recommendations, the Board makes the final determination of our CEO’s compensation and approves equity grants to our NEOs;</w:t>
      </w:r>
    </w:p>
    <w:p>
      <w:pPr>
        <w:spacing w:after="0" w:line="49" w:lineRule="exact"/>
        <w:rPr>
          <w:rFonts w:ascii="Arial" w:cs="Arial" w:eastAsia="Arial" w:hAnsi="Arial"/>
          <w:sz w:val="17"/>
          <w:szCs w:val="17"/>
          <w:color w:val="auto"/>
        </w:rPr>
      </w:pPr>
    </w:p>
    <w:p>
      <w:pPr>
        <w:ind w:left="1320" w:hanging="179"/>
        <w:spacing w:after="0"/>
        <w:tabs>
          <w:tab w:leader="none" w:pos="1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Annual and long-term incentive plans and benefit plans;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Annual proxy statement/Executive Compensation Discussion and Analysis (“CD&amp;A”) disclosure.</w:t>
      </w:r>
    </w:p>
    <w:p>
      <w:pPr>
        <w:spacing w:after="0" w:line="25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Role of Compensation Consultant</w:t>
      </w:r>
    </w:p>
    <w:p>
      <w:pPr>
        <w:spacing w:after="0" w:line="106" w:lineRule="exact"/>
        <w:rPr>
          <w:sz w:val="20"/>
          <w:szCs w:val="20"/>
          <w:color w:val="auto"/>
        </w:rPr>
      </w:pPr>
    </w:p>
    <w:p>
      <w:pPr>
        <w:ind w:left="800" w:right="219"/>
        <w:spacing w:after="0" w:line="260" w:lineRule="auto"/>
        <w:rPr>
          <w:sz w:val="20"/>
          <w:szCs w:val="20"/>
          <w:color w:val="auto"/>
        </w:rPr>
      </w:pPr>
      <w:r>
        <w:rPr>
          <w:rFonts w:ascii="Arial" w:cs="Arial" w:eastAsia="Arial" w:hAnsi="Arial"/>
          <w:sz w:val="17"/>
          <w:szCs w:val="17"/>
          <w:color w:val="auto"/>
        </w:rPr>
        <w:t>Pursuant to its charter, the Compensation Committee has the authority to engage its own legal counsel and other advisors, including compensation consultants, to assist in carrying out its responsibilities. The Compensation Committee is directly responsible for the appointment, compensation and oversight of the work of any such advisor and has sole authority to approve all such advisors’ fees and other retention terms.</w:t>
      </w:r>
    </w:p>
    <w:p>
      <w:pPr>
        <w:spacing w:after="0" w:line="172" w:lineRule="exact"/>
        <w:rPr>
          <w:sz w:val="20"/>
          <w:szCs w:val="20"/>
          <w:color w:val="auto"/>
        </w:rPr>
      </w:pPr>
    </w:p>
    <w:p>
      <w:pPr>
        <w:ind w:left="800" w:right="939"/>
        <w:spacing w:after="0" w:line="261" w:lineRule="auto"/>
        <w:rPr>
          <w:sz w:val="20"/>
          <w:szCs w:val="20"/>
          <w:color w:val="auto"/>
        </w:rPr>
      </w:pPr>
      <w:r>
        <w:rPr>
          <w:rFonts w:ascii="Arial" w:cs="Arial" w:eastAsia="Arial" w:hAnsi="Arial"/>
          <w:sz w:val="17"/>
          <w:szCs w:val="17"/>
          <w:color w:val="auto"/>
        </w:rPr>
        <w:t>Pursuant to this authority, for fiscal 2026, the Compensation Committee engaged Compensia to provide independent advice on matters relating to our executive compensation program. Compensia supports the Compensation Committee by:</w:t>
      </w:r>
    </w:p>
    <w:p>
      <w:pPr>
        <w:spacing w:after="0" w:line="55" w:lineRule="exact"/>
        <w:rPr>
          <w:sz w:val="20"/>
          <w:szCs w:val="20"/>
          <w:color w:val="auto"/>
        </w:rPr>
      </w:pPr>
    </w:p>
    <w:p>
      <w:pPr>
        <w:ind w:left="1320" w:right="519" w:hanging="179"/>
        <w:spacing w:after="0" w:line="298" w:lineRule="auto"/>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Attending Compensation Committee meetings as requested and communicating with the Compensation Committee chair outside of meetings;</w:t>
      </w:r>
    </w:p>
    <w:p>
      <w:pPr>
        <w:spacing w:after="0" w:line="37" w:lineRule="exact"/>
        <w:rPr>
          <w:rFonts w:ascii="Arial" w:cs="Arial" w:eastAsia="Arial" w:hAnsi="Arial"/>
          <w:sz w:val="17"/>
          <w:szCs w:val="17"/>
          <w:color w:val="auto"/>
        </w:rPr>
      </w:pPr>
    </w:p>
    <w:p>
      <w:pPr>
        <w:ind w:left="1320" w:right="159" w:hanging="179"/>
        <w:spacing w:after="0" w:line="277" w:lineRule="auto"/>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Providing independent advice to the Compensation Committee regarding competitive market practices, assessments and trends and advising on plans or practices that may improve the design and structure of our executive compensation program;</w:t>
      </w:r>
    </w:p>
    <w:p>
      <w:pPr>
        <w:spacing w:after="0" w:line="55" w:lineRule="exact"/>
        <w:rPr>
          <w:rFonts w:ascii="Arial" w:cs="Arial" w:eastAsia="Arial" w:hAnsi="Arial"/>
          <w:sz w:val="17"/>
          <w:szCs w:val="17"/>
          <w:color w:val="auto"/>
        </w:rPr>
      </w:pPr>
    </w:p>
    <w:p>
      <w:pPr>
        <w:ind w:left="1320" w:hanging="179"/>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the CD&amp;A and other compensation-related disclosures in our proxy statements;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Updating the Compensation Committee on corporate governance and regulatory issues and developments.</w:t>
      </w:r>
    </w:p>
    <w:p>
      <w:pPr>
        <w:spacing w:after="0" w:line="200" w:lineRule="exact"/>
        <w:rPr>
          <w:sz w:val="20"/>
          <w:szCs w:val="20"/>
          <w:color w:val="auto"/>
        </w:rPr>
      </w:pPr>
    </w:p>
    <w:p>
      <w:pPr>
        <w:spacing w:after="0" w:line="23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199"/>
        <w:spacing w:after="0" w:line="277" w:lineRule="auto"/>
        <w:rPr>
          <w:sz w:val="20"/>
          <w:szCs w:val="20"/>
          <w:color w:val="auto"/>
        </w:rPr>
      </w:pPr>
      <w:r>
        <w:rPr>
          <w:rFonts w:ascii="Arial" w:cs="Arial" w:eastAsia="Arial" w:hAnsi="Arial"/>
          <w:sz w:val="17"/>
          <w:szCs w:val="17"/>
          <w:color w:val="auto"/>
        </w:rPr>
        <w:t>The Compensation Committee may replace its compensation consultant or hire additional advisors at any time. Compensia has not provided any other services to us and has received no compensation other than with respect to the services described above.</w:t>
      </w:r>
    </w:p>
    <w:p>
      <w:pPr>
        <w:spacing w:after="0" w:line="55"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The Compensation Committee has evaluated Compensia’s independence by considering the requirements adopted by Nasdaq and the SEC, and has determined that its relationship with Compensia does not raise any conflict of interest. As part of the Compensation Committee’s determination of Compensia’s independence, it received written confirmation from Compensia addressing these factors and supporting the independence determination.</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Role of Management</w:t>
      </w:r>
    </w:p>
    <w:p>
      <w:pPr>
        <w:spacing w:after="0" w:line="119" w:lineRule="exact"/>
        <w:rPr>
          <w:sz w:val="20"/>
          <w:szCs w:val="20"/>
          <w:color w:val="auto"/>
        </w:rPr>
      </w:pPr>
    </w:p>
    <w:p>
      <w:pPr>
        <w:ind w:left="800" w:right="139"/>
        <w:spacing w:after="0" w:line="261" w:lineRule="auto"/>
        <w:rPr>
          <w:sz w:val="20"/>
          <w:szCs w:val="20"/>
          <w:color w:val="auto"/>
        </w:rPr>
      </w:pPr>
      <w:r>
        <w:rPr>
          <w:rFonts w:ascii="Arial" w:cs="Arial" w:eastAsia="Arial" w:hAnsi="Arial"/>
          <w:sz w:val="17"/>
          <w:szCs w:val="17"/>
          <w:color w:val="auto"/>
        </w:rPr>
        <w:t>The Compensation Committee consults with members of our management team, including our CEO and our human resources, finance and legal professionals when making compensation decisions. Our CEO works closely with the Compensation Committee and provides the Compensation Committee with performance assessments and compensation recommendations for each NEO other than himself, based on each NEO’s level of performance and corporate performance, retention risk, as well as any changes in market practice. While the Compensation Committee considers our CEO’s recommendations, the Compensation Committee ultimately uses its own business judgment and experience in approving, or making recommendations to the Board where applicable, regarding individual compensation elements and the amount of each element for our NEOs. Our CEO recuses himself from all determinations regarding his own compensation.</w:t>
      </w:r>
    </w:p>
    <w:p>
      <w:pPr>
        <w:spacing w:after="0" w:line="172" w:lineRule="exact"/>
        <w:rPr>
          <w:sz w:val="20"/>
          <w:szCs w:val="20"/>
          <w:color w:val="auto"/>
        </w:rPr>
      </w:pPr>
    </w:p>
    <w:p>
      <w:pPr>
        <w:ind w:left="800" w:right="919"/>
        <w:spacing w:after="0" w:line="258" w:lineRule="auto"/>
        <w:rPr>
          <w:sz w:val="20"/>
          <w:szCs w:val="20"/>
          <w:color w:val="auto"/>
        </w:rPr>
      </w:pPr>
      <w:r>
        <w:rPr>
          <w:rFonts w:ascii="Arial" w:cs="Arial" w:eastAsia="Arial" w:hAnsi="Arial"/>
          <w:sz w:val="45"/>
          <w:szCs w:val="45"/>
          <w:color w:val="auto"/>
        </w:rPr>
        <w:t>3 — Fiscal 2026 Compensation Program and Results</w:t>
      </w:r>
    </w:p>
    <w:p>
      <w:pPr>
        <w:spacing w:after="0" w:line="4" w:lineRule="exact"/>
        <w:rPr>
          <w:sz w:val="20"/>
          <w:szCs w:val="20"/>
          <w:color w:val="auto"/>
        </w:rPr>
      </w:pPr>
    </w:p>
    <w:p>
      <w:pPr>
        <w:ind w:left="800" w:right="299"/>
        <w:spacing w:after="0" w:line="267" w:lineRule="auto"/>
        <w:rPr>
          <w:sz w:val="20"/>
          <w:szCs w:val="20"/>
          <w:color w:val="auto"/>
        </w:rPr>
      </w:pPr>
      <w:r>
        <w:rPr>
          <w:rFonts w:ascii="Arial" w:cs="Arial" w:eastAsia="Arial" w:hAnsi="Arial"/>
          <w:sz w:val="17"/>
          <w:szCs w:val="17"/>
          <w:color w:val="auto"/>
        </w:rPr>
        <w:t>Our executive compensation program is designed to motivate outstanding performance commensurate with CrowdStrike’s performance. Our executive compensation philosophy provides for a compensation structure which pays base salaries to our NEOs that represent a relatively small percentage of their total compensation, while offering them the opportunity to earn a significant portion of their compensation in the form of performance-based compensation (</w:t>
      </w:r>
      <w:r>
        <w:rPr>
          <w:rFonts w:ascii="Arial" w:cs="Arial" w:eastAsia="Arial" w:hAnsi="Arial"/>
          <w:sz w:val="17"/>
          <w:szCs w:val="17"/>
          <w:i w:val="1"/>
          <w:iCs w:val="1"/>
          <w:color w:val="auto"/>
        </w:rPr>
        <w:t>i.e.</w:t>
      </w:r>
      <w:r>
        <w:rPr>
          <w:rFonts w:ascii="Arial" w:cs="Arial" w:eastAsia="Arial" w:hAnsi="Arial"/>
          <w:sz w:val="17"/>
          <w:szCs w:val="17"/>
          <w:color w:val="auto"/>
        </w:rPr>
        <w:t>, annual cash and long-term equity incentive awards).</w:t>
      </w:r>
    </w:p>
    <w:p>
      <w:pPr>
        <w:spacing w:after="0" w:line="63"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Each of the compensation elements for our NEOs (other than Mr. Henry) for fiscal 2026 is discussed in detail below. Mr. Henry retired from his role as Chief Security Officer effective as of March 31, 2025 and his compensation for fiscal 2026 is discussed below under “Mr. Henry’s Compensation.”</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Base Salary</w:t>
      </w:r>
    </w:p>
    <w:p>
      <w:pPr>
        <w:spacing w:after="0" w:line="109" w:lineRule="exact"/>
        <w:rPr>
          <w:sz w:val="20"/>
          <w:szCs w:val="20"/>
          <w:color w:val="auto"/>
        </w:rPr>
      </w:pPr>
    </w:p>
    <w:p>
      <w:pPr>
        <w:ind w:left="800" w:right="179"/>
        <w:spacing w:after="0" w:line="270"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to attract and retain top performing senior executives. Base salaries provide a fixed source of compensation to our NEOs, allowing them a modest degree of certainty relative to the significant portion of their compensation that is based on performance and dependent on our stock price.</w:t>
      </w:r>
    </w:p>
    <w:p>
      <w:pPr>
        <w:spacing w:after="0" w:line="61" w:lineRule="exact"/>
        <w:rPr>
          <w:sz w:val="20"/>
          <w:szCs w:val="20"/>
          <w:color w:val="auto"/>
        </w:rPr>
      </w:pPr>
    </w:p>
    <w:p>
      <w:pPr>
        <w:ind w:left="800" w:right="219"/>
        <w:spacing w:after="0" w:line="263" w:lineRule="auto"/>
        <w:rPr>
          <w:sz w:val="20"/>
          <w:szCs w:val="20"/>
          <w:color w:val="auto"/>
        </w:rPr>
      </w:pPr>
      <w:r>
        <w:rPr>
          <w:rFonts w:ascii="Arial" w:cs="Arial" w:eastAsia="Arial" w:hAnsi="Arial"/>
          <w:sz w:val="17"/>
          <w:szCs w:val="17"/>
          <w:color w:val="auto"/>
        </w:rPr>
        <w:t>In early fiscal 2026, the Compensation Committee reviewed the base salaries of our NEOs, taking into consideration a competitive market analysis performed by Compensia, which included a review of the market data of the compensation peer group for our executive officer positions and an evaluation of the compensation levels of our NEOs. Taking into consideration the factors described in the “Compensation Setting Process” section and tailoring each NEO’s pay to reflect their respective role, responsibility and performance with rates of pay of those at comparable companies, under the recommendation of the Compensation Committee, the Board approved the following base salary increases for fiscal 2026:</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Fiscal 2026 Base Salary Increases</w:t>
      </w:r>
    </w:p>
    <w:p>
      <w:pPr>
        <w:spacing w:after="0" w:line="9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8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Fiscal 2025</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2026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1"/>
        </w:trPr>
        <w:tc>
          <w:tcPr>
            <w:tcW w:w="386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tcBorders>
              <w:bottom w:val="single" w:sz="8" w:color="D6515D"/>
            </w:tcBorders>
            <w:gridSpan w:val="2"/>
          </w:tcPr>
          <w:p>
            <w:pPr>
              <w:jc w:val="right"/>
              <w:ind w:right="93"/>
              <w:spacing w:after="0"/>
              <w:rPr>
                <w:sz w:val="20"/>
                <w:szCs w:val="20"/>
                <w:color w:val="auto"/>
              </w:rPr>
            </w:pPr>
            <w:r>
              <w:rPr>
                <w:rFonts w:ascii="Arial" w:cs="Arial" w:eastAsia="Arial" w:hAnsi="Arial"/>
                <w:sz w:val="14"/>
                <w:szCs w:val="14"/>
                <w:b w:val="1"/>
                <w:bCs w:val="1"/>
                <w:color w:val="auto"/>
              </w:rPr>
              <w:t>Base Salary</w:t>
            </w:r>
          </w:p>
        </w:tc>
        <w:tc>
          <w:tcPr>
            <w:tcW w:w="1040" w:type="dxa"/>
            <w:vAlign w:val="bottom"/>
            <w:tcBorders>
              <w:bottom w:val="single" w:sz="8" w:color="D6515D"/>
            </w:tcBorders>
            <w:gridSpan w:val="3"/>
          </w:tcPr>
          <w:p>
            <w:pPr>
              <w:ind w:left="100"/>
              <w:spacing w:after="0"/>
              <w:rPr>
                <w:sz w:val="20"/>
                <w:szCs w:val="20"/>
                <w:color w:val="auto"/>
              </w:rPr>
            </w:pPr>
            <w:r>
              <w:rPr>
                <w:rFonts w:ascii="Arial" w:cs="Arial" w:eastAsia="Arial" w:hAnsi="Arial"/>
                <w:sz w:val="14"/>
                <w:szCs w:val="14"/>
                <w:b w:val="1"/>
                <w:bCs w:val="1"/>
                <w:color w:val="auto"/>
                <w:w w:val="94"/>
              </w:rPr>
              <w:t xml:space="preserve">Base Salary </w:t>
            </w:r>
            <w:r>
              <w:rPr>
                <w:rFonts w:ascii="Arial" w:cs="Arial" w:eastAsia="Arial" w:hAnsi="Arial"/>
                <w:sz w:val="17"/>
                <w:szCs w:val="17"/>
                <w:b w:val="1"/>
                <w:bCs w:val="1"/>
                <w:color w:val="auto"/>
                <w:w w:val="94"/>
                <w:vertAlign w:val="superscript"/>
              </w:rPr>
              <w:t>(1)</w:t>
            </w:r>
          </w:p>
        </w:tc>
        <w:tc>
          <w:tcPr>
            <w:tcW w:w="40" w:type="dxa"/>
            <w:vAlign w:val="bottom"/>
          </w:tcPr>
          <w:p>
            <w:pPr>
              <w:spacing w:after="0"/>
              <w:rPr>
                <w:sz w:val="20"/>
                <w:szCs w:val="20"/>
                <w:color w:val="auto"/>
              </w:rPr>
            </w:pPr>
          </w:p>
        </w:tc>
      </w:tr>
      <w:tr>
        <w:trPr>
          <w:trHeight w:val="241"/>
        </w:trPr>
        <w:tc>
          <w:tcPr>
            <w:tcW w:w="3860" w:type="dxa"/>
            <w:vAlign w:val="bottom"/>
          </w:tcPr>
          <w:p>
            <w:pPr>
              <w:spacing w:after="0"/>
              <w:rPr>
                <w:sz w:val="20"/>
                <w:szCs w:val="20"/>
                <w:color w:val="auto"/>
              </w:rPr>
            </w:pPr>
            <w:r>
              <w:rPr>
                <w:rFonts w:ascii="Arial" w:cs="Arial" w:eastAsia="Arial" w:hAnsi="Arial"/>
                <w:sz w:val="17"/>
                <w:szCs w:val="17"/>
                <w:color w:val="auto"/>
              </w:rPr>
              <w:t>Mr. Kurtz</w:t>
            </w:r>
          </w:p>
        </w:tc>
        <w:tc>
          <w:tcPr>
            <w:tcW w:w="3880" w:type="dxa"/>
            <w:vAlign w:val="bottom"/>
            <w:gridSpan w:val="2"/>
          </w:tcPr>
          <w:p>
            <w:pPr>
              <w:jc w:val="right"/>
              <w:ind w:right="33"/>
              <w:spacing w:after="0"/>
              <w:rPr>
                <w:sz w:val="20"/>
                <w:szCs w:val="20"/>
                <w:color w:val="auto"/>
              </w:rPr>
            </w:pPr>
            <w:r>
              <w:rPr>
                <w:rFonts w:ascii="Arial" w:cs="Arial" w:eastAsia="Arial" w:hAnsi="Arial"/>
                <w:sz w:val="17"/>
                <w:szCs w:val="17"/>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​$ 1,100,000</w:t>
            </w:r>
          </w:p>
        </w:tc>
        <w:tc>
          <w:tcPr>
            <w:tcW w:w="6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48"/>
        </w:trPr>
        <w:tc>
          <w:tcPr>
            <w:tcW w:w="3860" w:type="dxa"/>
            <w:vAlign w:val="bottom"/>
          </w:tcPr>
          <w:p>
            <w:pPr>
              <w:spacing w:after="0"/>
              <w:rPr>
                <w:sz w:val="20"/>
                <w:szCs w:val="20"/>
                <w:color w:val="auto"/>
              </w:rPr>
            </w:pPr>
            <w:r>
              <w:rPr>
                <w:rFonts w:ascii="Arial" w:cs="Arial" w:eastAsia="Arial" w:hAnsi="Arial"/>
                <w:sz w:val="17"/>
                <w:szCs w:val="17"/>
                <w:color w:val="auto"/>
              </w:rPr>
              <w:t>Mr. Sentonas</w:t>
            </w:r>
          </w:p>
        </w:tc>
        <w:tc>
          <w:tcPr>
            <w:tcW w:w="3060" w:type="dxa"/>
            <w:vAlign w:val="bottom"/>
          </w:tcPr>
          <w:p>
            <w:pPr>
              <w:ind w:left="28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750,000</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875,000</w:t>
            </w:r>
          </w:p>
        </w:tc>
        <w:tc>
          <w:tcPr>
            <w:tcW w:w="6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78"/>
        </w:trPr>
        <w:tc>
          <w:tcPr>
            <w:tcW w:w="3860" w:type="dxa"/>
            <w:vAlign w:val="bottom"/>
          </w:tcPr>
          <w:p>
            <w:pPr>
              <w:spacing w:after="0"/>
              <w:rPr>
                <w:sz w:val="20"/>
                <w:szCs w:val="20"/>
                <w:color w:val="auto"/>
              </w:rPr>
            </w:pPr>
            <w:r>
              <w:rPr>
                <w:rFonts w:ascii="Arial" w:cs="Arial" w:eastAsia="Arial" w:hAnsi="Arial"/>
                <w:sz w:val="17"/>
                <w:szCs w:val="17"/>
                <w:color w:val="auto"/>
              </w:rPr>
              <w:t>Mr. Podbere</w:t>
            </w:r>
          </w:p>
        </w:tc>
        <w:tc>
          <w:tcPr>
            <w:tcW w:w="3060" w:type="dxa"/>
            <w:vAlign w:val="bottom"/>
          </w:tcPr>
          <w:p>
            <w:pPr>
              <w:ind w:left="28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675,000</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700,000</w:t>
            </w:r>
          </w:p>
        </w:tc>
        <w:tc>
          <w:tcPr>
            <w:tcW w:w="60" w:type="dxa"/>
            <w:vAlign w:val="bottom"/>
            <w:gridSpan w:val="2"/>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-333375</wp:posOffset>
            </wp:positionV>
            <wp:extent cx="5576570" cy="157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121920</wp:posOffset>
            </wp:positionV>
            <wp:extent cx="11950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17" w:lineRule="exact"/>
        <w:rPr>
          <w:sz w:val="20"/>
          <w:szCs w:val="20"/>
          <w:color w:val="auto"/>
        </w:rPr>
      </w:pPr>
    </w:p>
    <w:p>
      <w:pPr>
        <w:ind w:left="1140" w:hanging="347"/>
        <w:spacing w:after="0"/>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Increases to base salaries for fiscal 2026 became effective as of February 1, 2025.</w:t>
      </w:r>
    </w:p>
    <w:p>
      <w:pPr>
        <w:spacing w:after="0" w:line="237"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Annual Cash Incentive Awards</w:t>
      </w:r>
    </w:p>
    <w:p>
      <w:pPr>
        <w:spacing w:after="0" w:line="109" w:lineRule="exact"/>
        <w:rPr>
          <w:sz w:val="20"/>
          <w:szCs w:val="20"/>
          <w:color w:val="auto"/>
        </w:rPr>
      </w:pPr>
    </w:p>
    <w:p>
      <w:pPr>
        <w:ind w:left="800" w:right="159"/>
        <w:spacing w:after="0" w:line="277" w:lineRule="auto"/>
        <w:rPr>
          <w:sz w:val="20"/>
          <w:szCs w:val="20"/>
          <w:color w:val="auto"/>
        </w:rPr>
      </w:pPr>
      <w:r>
        <w:rPr>
          <w:rFonts w:ascii="Arial" w:cs="Arial" w:eastAsia="Arial" w:hAnsi="Arial"/>
          <w:sz w:val="17"/>
          <w:szCs w:val="17"/>
          <w:color w:val="auto"/>
        </w:rPr>
        <w:t>We use cash incentive awards to motivate our NEOs to achieve our short-term financial objectives while making progress towards our longer-term growth and value creation. Target annual cash incentive opportunities are defined as a percentage of the applicable NEO’s base salary.</w:t>
      </w:r>
    </w:p>
    <w:p>
      <w:pPr>
        <w:sectPr>
          <w:pgSz w:w="11900" w:h="16838" w:orient="portrait"/>
          <w:cols w:equalWidth="0" w:num="1">
            <w:col w:w="9699"/>
          </w:cols>
          <w:pgMar w:left="760" w:top="94" w:right="1440" w:bottom="1148"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48"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700"/>
        <w:spacing w:after="0" w:line="298" w:lineRule="auto"/>
        <w:rPr>
          <w:sz w:val="20"/>
          <w:szCs w:val="20"/>
          <w:color w:val="auto"/>
        </w:rPr>
      </w:pPr>
      <w:r>
        <w:rPr>
          <w:rFonts w:ascii="Arial" w:cs="Arial" w:eastAsia="Arial" w:hAnsi="Arial"/>
          <w:sz w:val="17"/>
          <w:szCs w:val="17"/>
          <w:color w:val="auto"/>
        </w:rPr>
        <w:t>For fiscal 2026, Messrs. Kurtz, Sentonas and Podbere were eligible to participate in the Company’s Corporate Incentive Plan (“CIP”).</w:t>
      </w:r>
    </w:p>
    <w:p>
      <w:pPr>
        <w:spacing w:after="0" w:line="142" w:lineRule="exact"/>
        <w:rPr>
          <w:sz w:val="20"/>
          <w:szCs w:val="20"/>
          <w:color w:val="auto"/>
        </w:rPr>
      </w:pPr>
    </w:p>
    <w:p>
      <w:pPr>
        <w:ind w:left="800" w:right="340"/>
        <w:spacing w:after="0" w:line="265" w:lineRule="auto"/>
        <w:rPr>
          <w:sz w:val="20"/>
          <w:szCs w:val="20"/>
          <w:color w:val="auto"/>
        </w:rPr>
      </w:pPr>
      <w:r>
        <w:rPr>
          <w:rFonts w:ascii="Arial" w:cs="Arial" w:eastAsia="Arial" w:hAnsi="Arial"/>
          <w:sz w:val="17"/>
          <w:szCs w:val="17"/>
          <w:color w:val="auto"/>
        </w:rPr>
        <w:t>After considering the market analysis conducted by Compensia and taking into consideration factors described in the “Compensation Setting Process” section, the Compensation Committee recommended to the Board to approve the following adjustment to our CEO’s target annual cash bonus opportunity and for our other NEOs’ target annual cash bonus opportunity (as a percentage of base salary) to remain at the same levels as for fiscal 2025. Based on the Compensation Committee’s recommendation, the Board approved our NEOs’ target annual cash bonus opportunities for fiscal 2026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720" w:type="dxa"/>
            <w:vAlign w:val="bottom"/>
          </w:tcPr>
          <w:p>
            <w:pPr>
              <w:jc w:val="center"/>
              <w:ind w:left="2860"/>
              <w:spacing w:after="0"/>
              <w:rPr>
                <w:sz w:val="20"/>
                <w:szCs w:val="20"/>
                <w:color w:val="auto"/>
              </w:rPr>
            </w:pPr>
            <w:r>
              <w:rPr>
                <w:rFonts w:ascii="Arial" w:cs="Arial" w:eastAsia="Arial" w:hAnsi="Arial"/>
                <w:sz w:val="14"/>
                <w:szCs w:val="14"/>
                <w:b w:val="1"/>
                <w:bCs w:val="1"/>
                <w:color w:val="auto"/>
                <w:w w:val="98"/>
              </w:rPr>
              <w:t>Fiscal 2025</w:t>
            </w:r>
          </w:p>
        </w:tc>
        <w:tc>
          <w:tcPr>
            <w:tcW w:w="180" w:type="dxa"/>
            <w:vAlign w:val="bottom"/>
          </w:tcPr>
          <w:p>
            <w:pPr>
              <w:spacing w:after="0"/>
              <w:rPr>
                <w:sz w:val="14"/>
                <w:szCs w:val="14"/>
                <w:color w:val="auto"/>
              </w:rPr>
            </w:pPr>
          </w:p>
        </w:tc>
        <w:tc>
          <w:tcPr>
            <w:tcW w:w="920" w:type="dxa"/>
            <w:vAlign w:val="bottom"/>
          </w:tcPr>
          <w:p>
            <w:pPr>
              <w:jc w:val="center"/>
              <w:ind w:left="60"/>
              <w:spacing w:after="0"/>
              <w:rPr>
                <w:sz w:val="20"/>
                <w:szCs w:val="20"/>
                <w:color w:val="auto"/>
              </w:rPr>
            </w:pPr>
            <w:r>
              <w:rPr>
                <w:rFonts w:ascii="Arial" w:cs="Arial" w:eastAsia="Arial" w:hAnsi="Arial"/>
                <w:sz w:val="14"/>
                <w:szCs w:val="14"/>
                <w:b w:val="1"/>
                <w:bCs w:val="1"/>
                <w:color w:val="auto"/>
                <w:w w:val="98"/>
              </w:rPr>
              <w:t>Fiscal 2026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3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gridSpan w:val="2"/>
          </w:tcPr>
          <w:p>
            <w:pPr>
              <w:jc w:val="center"/>
              <w:ind w:left="2680"/>
              <w:spacing w:after="0"/>
              <w:rPr>
                <w:sz w:val="20"/>
                <w:szCs w:val="20"/>
                <w:color w:val="auto"/>
              </w:rPr>
            </w:pPr>
            <w:r>
              <w:rPr>
                <w:rFonts w:ascii="Arial" w:cs="Arial" w:eastAsia="Arial" w:hAnsi="Arial"/>
                <w:sz w:val="14"/>
                <w:szCs w:val="14"/>
                <w:b w:val="1"/>
                <w:bCs w:val="1"/>
                <w:color w:val="auto"/>
                <w:w w:val="99"/>
              </w:rPr>
              <w:t>Target Bonus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Target Bonus</w:t>
            </w:r>
          </w:p>
        </w:tc>
      </w:tr>
      <w:tr>
        <w:trPr>
          <w:trHeight w:val="26"/>
        </w:trPr>
        <w:tc>
          <w:tcPr>
            <w:tcW w:w="3900" w:type="dxa"/>
            <w:vAlign w:val="bottom"/>
            <w:tcBorders>
              <w:bottom w:val="single" w:sz="8" w:color="D6515D"/>
            </w:tcBorders>
          </w:tcPr>
          <w:p>
            <w:pPr>
              <w:spacing w:after="0"/>
              <w:rPr>
                <w:sz w:val="2"/>
                <w:szCs w:val="2"/>
                <w:color w:val="auto"/>
              </w:rPr>
            </w:pPr>
          </w:p>
        </w:tc>
        <w:tc>
          <w:tcPr>
            <w:tcW w:w="3720" w:type="dxa"/>
            <w:vAlign w:val="bottom"/>
            <w:tcBorders>
              <w:bottom w:val="single" w:sz="8" w:color="D6515D"/>
            </w:tcBorders>
          </w:tcPr>
          <w:p>
            <w:pPr>
              <w:spacing w:after="0"/>
              <w:rPr>
                <w:sz w:val="2"/>
                <w:szCs w:val="2"/>
                <w:color w:val="auto"/>
              </w:rPr>
            </w:pPr>
          </w:p>
        </w:tc>
        <w:tc>
          <w:tcPr>
            <w:tcW w:w="180" w:type="dxa"/>
            <w:vAlign w:val="bottom"/>
            <w:tcBorders>
              <w:bottom w:val="single" w:sz="8" w:color="D6515D"/>
            </w:tcBorders>
          </w:tcPr>
          <w:p>
            <w:pPr>
              <w:spacing w:after="0"/>
              <w:rPr>
                <w:sz w:val="2"/>
                <w:szCs w:val="2"/>
                <w:color w:val="auto"/>
              </w:rPr>
            </w:pPr>
          </w:p>
        </w:tc>
        <w:tc>
          <w:tcPr>
            <w:tcW w:w="920" w:type="dxa"/>
            <w:vAlign w:val="bottom"/>
            <w:tcBorders>
              <w:bottom w:val="single" w:sz="8" w:color="D6515D"/>
            </w:tcBorders>
          </w:tcPr>
          <w:p>
            <w:pPr>
              <w:spacing w:after="0"/>
              <w:rPr>
                <w:sz w:val="2"/>
                <w:szCs w:val="2"/>
                <w:color w:val="auto"/>
              </w:rPr>
            </w:pPr>
          </w:p>
        </w:tc>
        <w:tc>
          <w:tcPr>
            <w:tcW w:w="60" w:type="dxa"/>
            <w:vAlign w:val="bottom"/>
            <w:tcBorders>
              <w:bottom w:val="single" w:sz="8" w:color="D6515D"/>
            </w:tcBorders>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7"/>
                <w:szCs w:val="17"/>
                <w:color w:val="auto"/>
              </w:rPr>
              <w:t>Mr. Kurtz</w:t>
            </w:r>
          </w:p>
        </w:tc>
        <w:tc>
          <w:tcPr>
            <w:tcW w:w="3720" w:type="dxa"/>
            <w:vAlign w:val="bottom"/>
          </w:tcPr>
          <w:p>
            <w:pPr>
              <w:ind w:left="3140"/>
              <w:spacing w:after="0"/>
              <w:rPr>
                <w:sz w:val="20"/>
                <w:szCs w:val="20"/>
                <w:color w:val="auto"/>
              </w:rPr>
            </w:pPr>
            <w:r>
              <w:rPr>
                <w:rFonts w:ascii="Arial" w:cs="Arial" w:eastAsia="Arial" w:hAnsi="Arial"/>
                <w:sz w:val="17"/>
                <w:szCs w:val="17"/>
                <w:color w:val="auto"/>
              </w:rPr>
              <w:t>​125%</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ind w:left="340"/>
              <w:spacing w:after="0"/>
              <w:rPr>
                <w:sz w:val="20"/>
                <w:szCs w:val="20"/>
                <w:color w:val="auto"/>
              </w:rPr>
            </w:pPr>
            <w:r>
              <w:rPr>
                <w:rFonts w:ascii="Arial" w:cs="Arial" w:eastAsia="Arial" w:hAnsi="Arial"/>
                <w:sz w:val="17"/>
                <w:szCs w:val="17"/>
                <w:color w:val="auto"/>
              </w:rPr>
              <w:t>​135%</w:t>
            </w:r>
          </w:p>
        </w:tc>
        <w:tc>
          <w:tcPr>
            <w:tcW w:w="80" w:type="dxa"/>
            <w:vAlign w:val="bottom"/>
            <w:gridSpan w:val="2"/>
          </w:tcPr>
          <w:p>
            <w:pPr>
              <w:ind w:left="40"/>
              <w:spacing w:after="0"/>
              <w:rPr>
                <w:sz w:val="20"/>
                <w:szCs w:val="20"/>
                <w:color w:val="auto"/>
              </w:rPr>
            </w:pPr>
            <w:r>
              <w:rPr>
                <w:rFonts w:ascii="Arial" w:cs="Arial" w:eastAsia="Arial" w:hAnsi="Arial"/>
                <w:sz w:val="17"/>
                <w:szCs w:val="17"/>
                <w:color w:val="auto"/>
              </w:rPr>
              <w:t>​</w:t>
            </w:r>
          </w:p>
        </w:tc>
      </w:tr>
      <w:tr>
        <w:trPr>
          <w:trHeight w:val="248"/>
        </w:trPr>
        <w:tc>
          <w:tcPr>
            <w:tcW w:w="3900" w:type="dxa"/>
            <w:vAlign w:val="bottom"/>
          </w:tcPr>
          <w:p>
            <w:pPr>
              <w:spacing w:after="0"/>
              <w:rPr>
                <w:sz w:val="20"/>
                <w:szCs w:val="20"/>
                <w:color w:val="auto"/>
              </w:rPr>
            </w:pPr>
            <w:r>
              <w:rPr>
                <w:rFonts w:ascii="Arial" w:cs="Arial" w:eastAsia="Arial" w:hAnsi="Arial"/>
                <w:sz w:val="17"/>
                <w:szCs w:val="17"/>
                <w:color w:val="auto"/>
              </w:rPr>
              <w:t>Mr. Sentonas</w:t>
            </w:r>
          </w:p>
        </w:tc>
        <w:tc>
          <w:tcPr>
            <w:tcW w:w="3720" w:type="dxa"/>
            <w:vAlign w:val="bottom"/>
          </w:tcPr>
          <w:p>
            <w:pPr>
              <w:ind w:left="3140"/>
              <w:spacing w:after="0"/>
              <w:rPr>
                <w:sz w:val="20"/>
                <w:szCs w:val="20"/>
                <w:color w:val="auto"/>
              </w:rPr>
            </w:pPr>
            <w:r>
              <w:rPr>
                <w:rFonts w:ascii="Arial" w:cs="Arial" w:eastAsia="Arial" w:hAnsi="Arial"/>
                <w:sz w:val="17"/>
                <w:szCs w:val="17"/>
                <w:color w:val="auto"/>
              </w:rPr>
              <w:t>​100%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ind w:left="340"/>
              <w:spacing w:after="0"/>
              <w:rPr>
                <w:sz w:val="20"/>
                <w:szCs w:val="20"/>
                <w:color w:val="auto"/>
              </w:rPr>
            </w:pPr>
            <w:r>
              <w:rPr>
                <w:rFonts w:ascii="Arial" w:cs="Arial" w:eastAsia="Arial" w:hAnsi="Arial"/>
                <w:sz w:val="17"/>
                <w:szCs w:val="17"/>
                <w:color w:val="auto"/>
              </w:rPr>
              <w:t>​100%</w:t>
            </w:r>
          </w:p>
        </w:tc>
        <w:tc>
          <w:tcPr>
            <w:tcW w:w="80" w:type="dxa"/>
            <w:vAlign w:val="bottom"/>
            <w:gridSpan w:val="2"/>
          </w:tcPr>
          <w:p>
            <w:pPr>
              <w:ind w:left="40"/>
              <w:spacing w:after="0"/>
              <w:rPr>
                <w:sz w:val="20"/>
                <w:szCs w:val="20"/>
                <w:color w:val="auto"/>
              </w:rPr>
            </w:pPr>
            <w:r>
              <w:rPr>
                <w:rFonts w:ascii="Arial" w:cs="Arial" w:eastAsia="Arial" w:hAnsi="Arial"/>
                <w:sz w:val="17"/>
                <w:szCs w:val="17"/>
                <w:color w:val="auto"/>
              </w:rPr>
              <w:t>​</w:t>
            </w:r>
          </w:p>
        </w:tc>
      </w:tr>
      <w:tr>
        <w:trPr>
          <w:trHeight w:val="278"/>
        </w:trPr>
        <w:tc>
          <w:tcPr>
            <w:tcW w:w="3900" w:type="dxa"/>
            <w:vAlign w:val="bottom"/>
          </w:tcPr>
          <w:p>
            <w:pPr>
              <w:spacing w:after="0"/>
              <w:rPr>
                <w:sz w:val="20"/>
                <w:szCs w:val="20"/>
                <w:color w:val="auto"/>
              </w:rPr>
            </w:pPr>
            <w:r>
              <w:rPr>
                <w:rFonts w:ascii="Arial" w:cs="Arial" w:eastAsia="Arial" w:hAnsi="Arial"/>
                <w:sz w:val="17"/>
                <w:szCs w:val="17"/>
                <w:color w:val="auto"/>
              </w:rPr>
              <w:t>Mr. Podbere</w:t>
            </w:r>
          </w:p>
        </w:tc>
        <w:tc>
          <w:tcPr>
            <w:tcW w:w="3720" w:type="dxa"/>
            <w:vAlign w:val="bottom"/>
          </w:tcPr>
          <w:p>
            <w:pPr>
              <w:ind w:left="3140"/>
              <w:spacing w:after="0"/>
              <w:rPr>
                <w:sz w:val="20"/>
                <w:szCs w:val="20"/>
                <w:color w:val="auto"/>
              </w:rPr>
            </w:pPr>
            <w:r>
              <w:rPr>
                <w:rFonts w:ascii="Arial" w:cs="Arial" w:eastAsia="Arial" w:hAnsi="Arial"/>
                <w:sz w:val="17"/>
                <w:szCs w:val="17"/>
                <w:color w:val="auto"/>
              </w:rPr>
              <w:t>​100%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ind w:left="340"/>
              <w:spacing w:after="0"/>
              <w:rPr>
                <w:sz w:val="20"/>
                <w:szCs w:val="20"/>
                <w:color w:val="auto"/>
              </w:rPr>
            </w:pPr>
            <w:r>
              <w:rPr>
                <w:rFonts w:ascii="Arial" w:cs="Arial" w:eastAsia="Arial" w:hAnsi="Arial"/>
                <w:sz w:val="17"/>
                <w:szCs w:val="17"/>
                <w:color w:val="auto"/>
              </w:rPr>
              <w:t>​100%</w:t>
            </w:r>
          </w:p>
        </w:tc>
        <w:tc>
          <w:tcPr>
            <w:tcW w:w="80" w:type="dxa"/>
            <w:vAlign w:val="bottom"/>
            <w:gridSpan w:val="2"/>
          </w:tcPr>
          <w:p>
            <w:pPr>
              <w:ind w:left="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-333375</wp:posOffset>
            </wp:positionV>
            <wp:extent cx="5576570" cy="157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6570" cy="157480"/>
                    </a:xfrm>
                    <a:prstGeom prst="rect">
                      <a:avLst/>
                    </a:prstGeom>
                    <a:noFill/>
                  </pic:spPr>
                </pic:pic>
              </a:graphicData>
            </a:graphic>
          </wp:anchor>
        </w:drawing>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Fiscal 2026 Corporate Incentive Plan (CIP)</w:t>
      </w:r>
    </w:p>
    <w:p>
      <w:pPr>
        <w:spacing w:after="0" w:line="102" w:lineRule="exact"/>
        <w:rPr>
          <w:sz w:val="20"/>
          <w:szCs w:val="20"/>
          <w:color w:val="auto"/>
        </w:rPr>
      </w:pPr>
    </w:p>
    <w:p>
      <w:pPr>
        <w:ind w:left="800" w:right="420"/>
        <w:spacing w:after="0" w:line="250" w:lineRule="auto"/>
        <w:rPr>
          <w:sz w:val="20"/>
          <w:szCs w:val="20"/>
          <w:color w:val="auto"/>
        </w:rPr>
      </w:pPr>
      <w:r>
        <w:rPr>
          <w:rFonts w:ascii="Arial" w:cs="Arial" w:eastAsia="Arial" w:hAnsi="Arial"/>
          <w:sz w:val="17"/>
          <w:szCs w:val="17"/>
          <w:color w:val="auto"/>
        </w:rPr>
        <w:t>Under the fiscal 2026 CIP, we maintained the weighting of the non-GAAP operating income metric at 30%. We believe that a weighted structure places the right balance of emphasis between top and bottom-line metrics as we</w:t>
      </w:r>
    </w:p>
    <w:p>
      <w:pPr>
        <w:spacing w:after="0" w:line="1" w:lineRule="exact"/>
        <w:rPr>
          <w:sz w:val="20"/>
          <w:szCs w:val="20"/>
          <w:color w:val="auto"/>
        </w:rPr>
      </w:pPr>
    </w:p>
    <w:p>
      <w:pPr>
        <w:ind w:left="800" w:right="480"/>
        <w:spacing w:after="0" w:line="232" w:lineRule="auto"/>
        <w:rPr>
          <w:sz w:val="20"/>
          <w:szCs w:val="20"/>
          <w:color w:val="auto"/>
        </w:rPr>
      </w:pPr>
      <w:r>
        <w:rPr>
          <w:rFonts w:ascii="Arial" w:cs="Arial" w:eastAsia="Arial" w:hAnsi="Arial"/>
          <w:sz w:val="17"/>
          <w:szCs w:val="17"/>
          <w:color w:val="auto"/>
        </w:rPr>
        <w:t>continue to evolve and grow our business. Each of our NEOs had the opportunity to earn between 0% and 148% (subject to the Net Retention Rate modifier, as described below) of their target annual opportunity based on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performance against the following three financial targets:</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27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Performance Metrics</w:t>
            </w:r>
          </w:p>
        </w:tc>
        <w:tc>
          <w:tcPr>
            <w:tcW w:w="6080" w:type="dxa"/>
            <w:vAlign w:val="bottom"/>
            <w:tcBorders>
              <w:bottom w:val="single" w:sz="8" w:color="D6515D"/>
            </w:tcBorders>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18"/>
        </w:trPr>
        <w:tc>
          <w:tcPr>
            <w:tcW w:w="2700" w:type="dxa"/>
            <w:vAlign w:val="bottom"/>
          </w:tcPr>
          <w:p>
            <w:pPr>
              <w:spacing w:after="0" w:line="218" w:lineRule="exact"/>
              <w:rPr>
                <w:sz w:val="20"/>
                <w:szCs w:val="20"/>
                <w:color w:val="auto"/>
              </w:rPr>
            </w:pPr>
            <w:r>
              <w:rPr>
                <w:rFonts w:ascii="Arial" w:cs="Arial" w:eastAsia="Arial" w:hAnsi="Arial"/>
                <w:sz w:val="17"/>
                <w:szCs w:val="17"/>
                <w:b w:val="1"/>
                <w:bCs w:val="1"/>
                <w:color w:val="auto"/>
              </w:rPr>
              <w:t xml:space="preserve">Non-GAAP Operating Income </w:t>
            </w:r>
            <w:r>
              <w:rPr>
                <w:rFonts w:ascii="Arial" w:cs="Arial" w:eastAsia="Arial" w:hAnsi="Arial"/>
                <w:sz w:val="22"/>
                <w:szCs w:val="22"/>
                <w:b w:val="1"/>
                <w:bCs w:val="1"/>
                <w:color w:val="auto"/>
                <w:vertAlign w:val="superscript"/>
              </w:rPr>
              <w:t>(2)</w:t>
            </w:r>
          </w:p>
        </w:tc>
        <w:tc>
          <w:tcPr>
            <w:tcW w:w="6080" w:type="dxa"/>
            <w:vAlign w:val="bottom"/>
          </w:tcPr>
          <w:p>
            <w:pPr>
              <w:ind w:left="100"/>
              <w:spacing w:after="0"/>
              <w:rPr>
                <w:sz w:val="20"/>
                <w:szCs w:val="20"/>
                <w:color w:val="auto"/>
              </w:rPr>
            </w:pPr>
            <w:r>
              <w:rPr>
                <w:rFonts w:ascii="Arial" w:cs="Arial" w:eastAsia="Arial" w:hAnsi="Arial"/>
                <w:sz w:val="17"/>
                <w:szCs w:val="17"/>
                <w:color w:val="auto"/>
              </w:rPr>
              <w:t>Non-GAAP operating income is an indicator of profitability that eliminates the</w:t>
            </w:r>
          </w:p>
        </w:tc>
      </w:tr>
      <w:tr>
        <w:trPr>
          <w:trHeight w:val="209"/>
        </w:trPr>
        <w:tc>
          <w:tcPr>
            <w:tcW w:w="2700" w:type="dxa"/>
            <w:vAlign w:val="bottom"/>
          </w:tcPr>
          <w:p>
            <w:pPr>
              <w:spacing w:after="0"/>
              <w:rPr>
                <w:sz w:val="20"/>
                <w:szCs w:val="20"/>
                <w:color w:val="auto"/>
              </w:rPr>
            </w:pPr>
            <w:r>
              <w:rPr>
                <w:rFonts w:ascii="Arial" w:cs="Arial" w:eastAsia="Arial" w:hAnsi="Arial"/>
                <w:sz w:val="17"/>
                <w:szCs w:val="17"/>
                <w:b w:val="1"/>
                <w:bCs w:val="1"/>
                <w:color w:val="auto"/>
              </w:rPr>
              <w:t>(30% weighting)</w:t>
            </w:r>
          </w:p>
        </w:tc>
        <w:tc>
          <w:tcPr>
            <w:tcW w:w="6080" w:type="dxa"/>
            <w:vAlign w:val="bottom"/>
          </w:tcPr>
          <w:p>
            <w:pPr>
              <w:ind w:left="100"/>
              <w:spacing w:after="0"/>
              <w:rPr>
                <w:sz w:val="20"/>
                <w:szCs w:val="20"/>
                <w:color w:val="auto"/>
              </w:rPr>
            </w:pPr>
            <w:r>
              <w:rPr>
                <w:rFonts w:ascii="Arial" w:cs="Arial" w:eastAsia="Arial" w:hAnsi="Arial"/>
                <w:sz w:val="17"/>
                <w:szCs w:val="17"/>
                <w:color w:val="auto"/>
              </w:rPr>
              <w:t>effects of events that either are not part of our core operations or are non-cash</w:t>
            </w:r>
          </w:p>
        </w:tc>
      </w:tr>
      <w:tr>
        <w:trPr>
          <w:trHeight w:val="230"/>
        </w:trPr>
        <w:tc>
          <w:tcPr>
            <w:tcW w:w="270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as well as the impact of income taxes.</w:t>
            </w:r>
          </w:p>
        </w:tc>
      </w:tr>
      <w:tr>
        <w:trPr>
          <w:trHeight w:val="293"/>
        </w:trPr>
        <w:tc>
          <w:tcPr>
            <w:tcW w:w="2700" w:type="dxa"/>
            <w:vAlign w:val="bottom"/>
          </w:tcPr>
          <w:p>
            <w:pPr>
              <w:spacing w:after="0"/>
              <w:rPr>
                <w:sz w:val="24"/>
                <w:szCs w:val="24"/>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The non-GAAP operating income portion of the CIP is only funded if at least</w:t>
            </w:r>
          </w:p>
        </w:tc>
      </w:tr>
      <w:tr>
        <w:trPr>
          <w:trHeight w:val="209"/>
        </w:trPr>
        <w:tc>
          <w:tcPr>
            <w:tcW w:w="270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80% of our non-GAAP operating income target is met within the performance</w:t>
            </w:r>
          </w:p>
        </w:tc>
      </w:tr>
      <w:tr>
        <w:trPr>
          <w:trHeight w:val="209"/>
        </w:trPr>
        <w:tc>
          <w:tcPr>
            <w:tcW w:w="270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period. Specifically, funding under the CIP as a percentage of our non-GAAP</w:t>
            </w:r>
          </w:p>
        </w:tc>
      </w:tr>
      <w:tr>
        <w:trPr>
          <w:trHeight w:val="230"/>
        </w:trPr>
        <w:tc>
          <w:tcPr>
            <w:tcW w:w="270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Arial" w:cs="Arial" w:eastAsia="Arial" w:hAnsi="Arial"/>
                <w:sz w:val="17"/>
                <w:szCs w:val="17"/>
                <w:color w:val="auto"/>
              </w:rPr>
              <w:t>operating income target is determined in accordance with the following table:</w:t>
            </w:r>
          </w:p>
        </w:tc>
      </w:tr>
    </w:tbl>
    <w:p>
      <w:pPr>
        <w:spacing w:after="0" w:line="86" w:lineRule="exact"/>
        <w:rPr>
          <w:sz w:val="20"/>
          <w:szCs w:val="20"/>
          <w:color w:val="auto"/>
        </w:rPr>
      </w:pPr>
    </w:p>
    <w:tbl>
      <w:tblPr>
        <w:tblLayout w:type="fixed"/>
        <w:tblInd w:w="3120" w:type="dxa"/>
        <w:tblCellMar>
          <w:top w:w="0" w:type="dxa"/>
          <w:left w:w="0" w:type="dxa"/>
          <w:bottom w:w="0" w:type="dxa"/>
          <w:right w:w="0" w:type="dxa"/>
        </w:tblCellMar>
      </w:tblPr>
      <w:tr>
        <w:trPr>
          <w:trHeight w:val="184"/>
        </w:trPr>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Achievement</w:t>
            </w: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spacing w:after="0" w:line="171" w:lineRule="exact"/>
              <w:rPr>
                <w:sz w:val="20"/>
                <w:szCs w:val="20"/>
                <w:color w:val="auto"/>
              </w:rPr>
            </w:pPr>
            <w:r>
              <w:rPr>
                <w:rFonts w:ascii="Arial" w:cs="Arial" w:eastAsia="Arial" w:hAnsi="Arial"/>
                <w:sz w:val="16"/>
                <w:szCs w:val="16"/>
                <w:b w:val="1"/>
                <w:bCs w:val="1"/>
                <w:color w:val="auto"/>
              </w:rPr>
              <w:t>Against Target</w:t>
            </w:r>
          </w:p>
        </w:tc>
        <w:tc>
          <w:tcPr>
            <w:tcW w:w="660" w:type="dxa"/>
            <w:vAlign w:val="bottom"/>
          </w:tcPr>
          <w:p>
            <w:pPr>
              <w:ind w:left="40"/>
              <w:spacing w:after="0" w:line="171" w:lineRule="exact"/>
              <w:rPr>
                <w:sz w:val="20"/>
                <w:szCs w:val="20"/>
                <w:color w:val="auto"/>
              </w:rPr>
            </w:pPr>
            <w:r>
              <w:rPr>
                <w:rFonts w:ascii="Arial" w:cs="Arial" w:eastAsia="Arial" w:hAnsi="Arial"/>
                <w:sz w:val="16"/>
                <w:szCs w:val="16"/>
                <w:b w:val="1"/>
                <w:bCs w:val="1"/>
                <w:color w:val="auto"/>
              </w:rPr>
              <w:t>Payout</w:t>
            </w:r>
          </w:p>
        </w:tc>
        <w:tc>
          <w:tcPr>
            <w:tcW w:w="4540" w:type="dxa"/>
            <w:vAlign w:val="bottom"/>
          </w:tcPr>
          <w:p>
            <w:pPr>
              <w:spacing w:after="0"/>
              <w:rPr>
                <w:sz w:val="14"/>
                <w:szCs w:val="14"/>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460" w:type="dxa"/>
            <w:vAlign w:val="bottom"/>
            <w:tcBorders>
              <w:bottom w:val="single" w:sz="8" w:color="D6515D"/>
            </w:tcBorders>
          </w:tcPr>
          <w:p>
            <w:pPr>
              <w:spacing w:after="0"/>
              <w:rPr>
                <w:sz w:val="5"/>
                <w:szCs w:val="5"/>
                <w:color w:val="auto"/>
              </w:rPr>
            </w:pPr>
          </w:p>
        </w:tc>
        <w:tc>
          <w:tcPr>
            <w:tcW w:w="660" w:type="dxa"/>
            <w:vAlign w:val="bottom"/>
            <w:tcBorders>
              <w:bottom w:val="single" w:sz="8" w:color="D6515D"/>
            </w:tcBorders>
          </w:tcPr>
          <w:p>
            <w:pPr>
              <w:ind w:left="40"/>
              <w:spacing w:after="0" w:line="66" w:lineRule="exact"/>
              <w:rPr>
                <w:sz w:val="20"/>
                <w:szCs w:val="20"/>
                <w:color w:val="auto"/>
              </w:rPr>
            </w:pPr>
            <w:r>
              <w:rPr>
                <w:rFonts w:ascii="Arial" w:cs="Arial" w:eastAsia="Arial" w:hAnsi="Arial"/>
                <w:sz w:val="7"/>
                <w:szCs w:val="7"/>
                <w:b w:val="1"/>
                <w:bCs w:val="1"/>
                <w:color w:val="auto"/>
              </w:rPr>
              <w:t>​</w:t>
            </w:r>
          </w:p>
        </w:tc>
        <w:tc>
          <w:tcPr>
            <w:tcW w:w="4540" w:type="dxa"/>
            <w:vAlign w:val="bottom"/>
            <w:tcBorders>
              <w:bottom w:val="single" w:sz="8" w:color="D6515D"/>
            </w:tcBorders>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7"/>
                <w:szCs w:val="17"/>
                <w:color w:val="auto"/>
              </w:rPr>
              <w:t>Less than 80%</w:t>
            </w:r>
          </w:p>
        </w:tc>
        <w:tc>
          <w:tcPr>
            <w:tcW w:w="5200" w:type="dxa"/>
            <w:vAlign w:val="bottom"/>
            <w:gridSpan w:val="2"/>
          </w:tcPr>
          <w:p>
            <w:pPr>
              <w:ind w:left="40"/>
              <w:spacing w:after="0"/>
              <w:rPr>
                <w:sz w:val="20"/>
                <w:szCs w:val="20"/>
                <w:color w:val="auto"/>
              </w:rPr>
            </w:pPr>
            <w:r>
              <w:rPr>
                <w:rFonts w:ascii="Arial" w:cs="Arial" w:eastAsia="Arial" w:hAnsi="Arial"/>
                <w:sz w:val="17"/>
                <w:szCs w:val="17"/>
                <w:color w:val="auto"/>
              </w:rPr>
              <w:t>No​ payout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80" w:type="dxa"/>
            <w:vAlign w:val="bottom"/>
            <w:gridSpan w:val="2"/>
            <w:vMerge w:val="restart"/>
          </w:tcPr>
          <w:p>
            <w:pPr>
              <w:spacing w:after="0"/>
              <w:rPr>
                <w:sz w:val="20"/>
                <w:szCs w:val="20"/>
                <w:color w:val="auto"/>
              </w:rPr>
            </w:pPr>
            <w:r>
              <w:rPr>
                <w:rFonts w:ascii="Arial" w:cs="Arial" w:eastAsia="Arial" w:hAnsi="Arial"/>
                <w:sz w:val="17"/>
                <w:szCs w:val="17"/>
                <w:color w:val="auto"/>
              </w:rPr>
              <w:t>80% – 100%</w:t>
            </w:r>
          </w:p>
        </w:tc>
        <w:tc>
          <w:tcPr>
            <w:tcW w:w="5200" w:type="dxa"/>
            <w:vAlign w:val="bottom"/>
            <w:gridSpan w:val="2"/>
          </w:tcPr>
          <w:p>
            <w:pPr>
              <w:ind w:left="40"/>
              <w:spacing w:after="0" w:line="180" w:lineRule="exact"/>
              <w:rPr>
                <w:sz w:val="20"/>
                <w:szCs w:val="20"/>
                <w:color w:val="auto"/>
              </w:rPr>
            </w:pPr>
            <w:r>
              <w:rPr>
                <w:rFonts w:ascii="Arial" w:cs="Arial" w:eastAsia="Arial" w:hAnsi="Arial"/>
                <w:sz w:val="17"/>
                <w:szCs w:val="17"/>
                <w:color w:val="auto"/>
              </w:rPr>
              <w:t>25% – 100% payout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57"/>
        </w:trPr>
        <w:tc>
          <w:tcPr>
            <w:tcW w:w="1480" w:type="dxa"/>
            <w:vAlign w:val="bottom"/>
            <w:gridSpan w:val="2"/>
            <w:vMerge w:val="continue"/>
          </w:tcPr>
          <w:p>
            <w:pPr>
              <w:spacing w:after="0"/>
              <w:rPr>
                <w:sz w:val="13"/>
                <w:szCs w:val="13"/>
                <w:color w:val="auto"/>
              </w:rPr>
            </w:pPr>
          </w:p>
        </w:tc>
        <w:tc>
          <w:tcPr>
            <w:tcW w:w="660" w:type="dxa"/>
            <w:vAlign w:val="bottom"/>
          </w:tcPr>
          <w:p>
            <w:pPr>
              <w:ind w:left="40"/>
              <w:spacing w:after="0" w:line="157" w:lineRule="exact"/>
              <w:rPr>
                <w:sz w:val="20"/>
                <w:szCs w:val="20"/>
                <w:color w:val="auto"/>
              </w:rPr>
            </w:pPr>
            <w:r>
              <w:rPr>
                <w:rFonts w:ascii="Arial" w:cs="Arial" w:eastAsia="Arial" w:hAnsi="Arial"/>
                <w:sz w:val="17"/>
                <w:szCs w:val="17"/>
                <w:color w:val="auto"/>
              </w:rPr>
              <w:t>​</w:t>
            </w:r>
          </w:p>
        </w:tc>
        <w:tc>
          <w:tcPr>
            <w:tcW w:w="45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(with linear interpolation between 80% – 100% achievement levels)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480" w:type="dxa"/>
            <w:vAlign w:val="bottom"/>
            <w:gridSpan w:val="2"/>
          </w:tcPr>
          <w:p>
            <w:pPr>
              <w:spacing w:after="0"/>
              <w:rPr>
                <w:sz w:val="20"/>
                <w:szCs w:val="20"/>
                <w:color w:val="auto"/>
              </w:rPr>
            </w:pPr>
            <w:r>
              <w:rPr>
                <w:rFonts w:ascii="Arial" w:cs="Arial" w:eastAsia="Arial" w:hAnsi="Arial"/>
                <w:sz w:val="17"/>
                <w:szCs w:val="17"/>
                <w:color w:val="auto"/>
              </w:rPr>
              <w:t>Greater than 100%</w:t>
            </w:r>
          </w:p>
        </w:tc>
        <w:tc>
          <w:tcPr>
            <w:tcW w:w="5200" w:type="dxa"/>
            <w:vAlign w:val="bottom"/>
            <w:gridSpan w:val="2"/>
          </w:tcPr>
          <w:p>
            <w:pPr>
              <w:ind w:left="40"/>
              <w:spacing w:after="0"/>
              <w:rPr>
                <w:sz w:val="20"/>
                <w:szCs w:val="20"/>
                <w:color w:val="auto"/>
              </w:rPr>
            </w:pPr>
            <w:r>
              <w:rPr>
                <w:rFonts w:ascii="Arial" w:cs="Arial" w:eastAsia="Arial" w:hAnsi="Arial"/>
                <w:sz w:val="17"/>
                <w:szCs w:val="17"/>
                <w:color w:val="auto"/>
              </w:rPr>
              <w:t>100% – 110% payout</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5"/>
        </w:trPr>
        <w:tc>
          <w:tcPr>
            <w:tcW w:w="1480" w:type="dxa"/>
            <w:vAlign w:val="bottom"/>
            <w:gridSpan w:val="2"/>
            <w:vMerge w:val="restart"/>
          </w:tcPr>
          <w:p>
            <w:pPr>
              <w:spacing w:after="0"/>
              <w:rPr>
                <w:sz w:val="20"/>
                <w:szCs w:val="20"/>
                <w:color w:val="auto"/>
              </w:rPr>
            </w:pPr>
            <w:r>
              <w:rPr>
                <w:rFonts w:ascii="Arial" w:cs="Arial" w:eastAsia="Arial" w:hAnsi="Arial"/>
                <w:sz w:val="17"/>
                <w:szCs w:val="17"/>
                <w:color w:val="auto"/>
              </w:rPr>
              <w:t>up to 110%</w:t>
            </w:r>
          </w:p>
        </w:tc>
        <w:tc>
          <w:tcPr>
            <w:tcW w:w="660" w:type="dxa"/>
            <w:vAlign w:val="bottom"/>
          </w:tcPr>
          <w:p>
            <w:pPr>
              <w:ind w:left="40"/>
              <w:spacing w:after="0" w:line="105" w:lineRule="exact"/>
              <w:rPr>
                <w:sz w:val="20"/>
                <w:szCs w:val="20"/>
                <w:color w:val="auto"/>
              </w:rPr>
            </w:pPr>
            <w:r>
              <w:rPr>
                <w:rFonts w:ascii="Arial" w:cs="Arial" w:eastAsia="Arial" w:hAnsi="Arial"/>
                <w:sz w:val="12"/>
                <w:szCs w:val="12"/>
                <w:color w:val="auto"/>
              </w:rPr>
              <w:t>​</w:t>
            </w:r>
          </w:p>
        </w:tc>
        <w:tc>
          <w:tcPr>
            <w:tcW w:w="45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480" w:type="dxa"/>
            <w:vAlign w:val="bottom"/>
            <w:tcBorders>
              <w:bottom w:val="single" w:sz="8" w:color="auto"/>
            </w:tcBorders>
            <w:gridSpan w:val="2"/>
            <w:vMerge w:val="continue"/>
          </w:tcPr>
          <w:p>
            <w:pPr>
              <w:spacing w:after="0"/>
              <w:rPr>
                <w:sz w:val="20"/>
                <w:szCs w:val="20"/>
                <w:color w:val="auto"/>
              </w:rPr>
            </w:pPr>
          </w:p>
        </w:tc>
        <w:tc>
          <w:tcPr>
            <w:tcW w:w="52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(with linear interpolation between 100% – 110% achievement levels)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80" w:type="dxa"/>
            <w:vAlign w:val="bottom"/>
            <w:gridSpan w:val="2"/>
          </w:tcPr>
          <w:p>
            <w:pPr>
              <w:spacing w:after="0"/>
              <w:rPr>
                <w:sz w:val="20"/>
                <w:szCs w:val="20"/>
                <w:color w:val="auto"/>
              </w:rPr>
            </w:pPr>
            <w:r>
              <w:rPr>
                <w:rFonts w:ascii="Arial" w:cs="Arial" w:eastAsia="Arial" w:hAnsi="Arial"/>
                <w:sz w:val="17"/>
                <w:szCs w:val="17"/>
                <w:color w:val="auto"/>
              </w:rPr>
              <w:t>Greater than 110%</w:t>
            </w:r>
          </w:p>
        </w:tc>
        <w:tc>
          <w:tcPr>
            <w:tcW w:w="660" w:type="dxa"/>
            <w:vAlign w:val="bottom"/>
          </w:tcPr>
          <w:p>
            <w:pPr>
              <w:ind w:left="40"/>
              <w:spacing w:after="0"/>
              <w:rPr>
                <w:sz w:val="20"/>
                <w:szCs w:val="20"/>
                <w:color w:val="auto"/>
              </w:rPr>
            </w:pPr>
            <w:r>
              <w:rPr>
                <w:rFonts w:ascii="Arial" w:cs="Arial" w:eastAsia="Arial" w:hAnsi="Arial"/>
                <w:sz w:val="17"/>
                <w:szCs w:val="17"/>
                <w:color w:val="auto"/>
              </w:rPr>
              <w:t>Capped​</w:t>
            </w:r>
          </w:p>
        </w:tc>
        <w:tc>
          <w:tcPr>
            <w:tcW w:w="4540" w:type="dxa"/>
            <w:vAlign w:val="bottom"/>
          </w:tcPr>
          <w:p>
            <w:pPr>
              <w:ind w:left="20"/>
              <w:spacing w:after="0"/>
              <w:rPr>
                <w:sz w:val="20"/>
                <w:szCs w:val="20"/>
                <w:color w:val="auto"/>
              </w:rPr>
            </w:pPr>
            <w:r>
              <w:rPr>
                <w:rFonts w:ascii="Arial" w:cs="Arial" w:eastAsia="Arial" w:hAnsi="Arial"/>
                <w:sz w:val="17"/>
                <w:szCs w:val="17"/>
                <w:color w:val="auto"/>
              </w:rPr>
              <w:t>at 110% payout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120" w:type="dxa"/>
        <w:tblCellMar>
          <w:top w:w="0" w:type="dxa"/>
          <w:left w:w="0" w:type="dxa"/>
          <w:bottom w:w="0" w:type="dxa"/>
          <w:right w:w="0" w:type="dxa"/>
        </w:tblCellMar>
      </w:tblPr>
      <w:tr>
        <w:trPr>
          <w:trHeight w:val="202"/>
        </w:trPr>
        <w:tc>
          <w:tcPr>
            <w:tcW w:w="6460" w:type="dxa"/>
            <w:vAlign w:val="bottom"/>
            <w:tcBorders>
              <w:top w:val="single" w:sz="8" w:color="auto"/>
              <w:bottom w:val="single" w:sz="8" w:color="D6515D"/>
            </w:tcBorders>
            <w:gridSpan w:val="2"/>
          </w:tcPr>
          <w:p>
            <w:pPr>
              <w:spacing w:after="0" w:line="202" w:lineRule="exact"/>
              <w:rPr>
                <w:sz w:val="20"/>
                <w:szCs w:val="20"/>
                <w:color w:val="auto"/>
              </w:rPr>
            </w:pPr>
            <w:r>
              <w:rPr>
                <w:rFonts w:ascii="Arial" w:cs="Arial" w:eastAsia="Arial" w:hAnsi="Arial"/>
                <w:sz w:val="13"/>
                <w:szCs w:val="13"/>
                <w:b w:val="1"/>
                <w:bCs w:val="1"/>
                <w:color w:val="auto"/>
              </w:rPr>
              <w:t>2026 Target and Results</w:t>
            </w: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w:t>
            </w: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r>
      <w:tr>
        <w:trPr>
          <w:trHeight w:val="214"/>
        </w:trPr>
        <w:tc>
          <w:tcPr>
            <w:tcW w:w="1780" w:type="dxa"/>
            <w:vAlign w:val="bottom"/>
          </w:tcPr>
          <w:p>
            <w:pPr>
              <w:spacing w:after="0"/>
              <w:rPr>
                <w:sz w:val="20"/>
                <w:szCs w:val="20"/>
                <w:color w:val="auto"/>
              </w:rPr>
            </w:pPr>
            <w:r>
              <w:rPr>
                <w:rFonts w:ascii="Arial" w:cs="Arial" w:eastAsia="Arial" w:hAnsi="Arial"/>
                <w:sz w:val="17"/>
                <w:szCs w:val="17"/>
                <w:color w:val="auto"/>
              </w:rPr>
              <w:t>Aggregate of Fiscal</w:t>
            </w:r>
          </w:p>
        </w:tc>
        <w:tc>
          <w:tcPr>
            <w:tcW w:w="4680" w:type="dxa"/>
            <w:vAlign w:val="bottom"/>
          </w:tcPr>
          <w:p>
            <w:pPr>
              <w:ind w:left="40"/>
              <w:spacing w:after="0" w:line="214"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4"/>
                <w:szCs w:val="14"/>
                <w:color w:val="auto"/>
              </w:rPr>
              <w:t xml:space="preserve"> Average of Quarterly Achievement Percentages</w:t>
            </w:r>
          </w:p>
        </w:tc>
        <w:tc>
          <w:tcPr>
            <w:tcW w:w="200" w:type="dxa"/>
            <w:vAlign w:val="bottom"/>
          </w:tcPr>
          <w:p>
            <w:pPr>
              <w:spacing w:after="0"/>
              <w:rPr>
                <w:sz w:val="20"/>
                <w:szCs w:val="20"/>
                <w:color w:val="auto"/>
              </w:rPr>
            </w:pPr>
            <w:r>
              <w:rPr>
                <w:rFonts w:ascii="Arial" w:cs="Arial" w:eastAsia="Arial" w:hAnsi="Arial"/>
                <w:sz w:val="17"/>
                <w:szCs w:val="17"/>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7"/>
                <w:szCs w:val="17"/>
                <w:color w:val="auto"/>
              </w:rPr>
              <w:t>2026 Quarterly Targets</w:t>
            </w:r>
          </w:p>
        </w:tc>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$1,146.4 million</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 105.0%</w:t>
            </w:r>
          </w:p>
        </w:tc>
        <w:tc>
          <w:tcPr>
            <w:tcW w:w="200" w:type="dxa"/>
            <w:vAlign w:val="bottom"/>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1111885</wp:posOffset>
            </wp:positionV>
            <wp:extent cx="11950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40" w:right="320" w:hanging="347"/>
        <w:spacing w:after="0" w:line="267" w:lineRule="auto"/>
        <w:tabs>
          <w:tab w:leader="none" w:pos="11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Non-GAAP operating income is defined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38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38 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820"/>
          </w:cols>
          <w:pgMar w:left="760" w:top="94" w:right="131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501015</wp:posOffset>
            </wp:positionV>
            <wp:extent cx="55765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6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2340" w:type="dxa"/>
            <w:vAlign w:val="bottom"/>
          </w:tcPr>
          <w:p>
            <w:pPr>
              <w:spacing w:after="0"/>
              <w:rPr>
                <w:sz w:val="20"/>
                <w:szCs w:val="20"/>
                <w:color w:val="auto"/>
              </w:rPr>
            </w:pPr>
            <w:r>
              <w:rPr>
                <w:rFonts w:ascii="Arial" w:cs="Arial" w:eastAsia="Arial" w:hAnsi="Arial"/>
                <w:sz w:val="17"/>
                <w:szCs w:val="17"/>
                <w:b w:val="1"/>
                <w:bCs w:val="1"/>
                <w:color w:val="auto"/>
              </w:rPr>
              <w:t>Net New Annual</w:t>
            </w:r>
          </w:p>
        </w:tc>
        <w:tc>
          <w:tcPr>
            <w:tcW w:w="6440" w:type="dxa"/>
            <w:vAlign w:val="bottom"/>
            <w:gridSpan w:val="3"/>
          </w:tcPr>
          <w:p>
            <w:pPr>
              <w:spacing w:after="0"/>
              <w:rPr>
                <w:sz w:val="20"/>
                <w:szCs w:val="20"/>
                <w:color w:val="auto"/>
              </w:rPr>
            </w:pPr>
            <w:r>
              <w:rPr>
                <w:rFonts w:ascii="Arial" w:cs="Arial" w:eastAsia="Arial" w:hAnsi="Arial"/>
                <w:sz w:val="17"/>
                <w:szCs w:val="17"/>
                <w:color w:val="auto"/>
              </w:rPr>
              <w:t>Revenue is a primary financial indicator of our growth and stockholder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80" w:type="dxa"/>
            <w:vAlign w:val="bottom"/>
            <w:gridSpan w:val="4"/>
          </w:tcPr>
          <w:p>
            <w:pPr>
              <w:spacing w:after="0"/>
              <w:rPr>
                <w:sz w:val="20"/>
                <w:szCs w:val="20"/>
                <w:color w:val="auto"/>
              </w:rPr>
            </w:pPr>
            <w:r>
              <w:rPr>
                <w:rFonts w:ascii="Arial" w:cs="Arial" w:eastAsia="Arial" w:hAnsi="Arial"/>
                <w:sz w:val="17"/>
                <w:szCs w:val="17"/>
                <w:b w:val="1"/>
                <w:bCs w:val="1"/>
                <w:color w:val="auto"/>
              </w:rPr>
              <w:t xml:space="preserve">Recurring Revenue (ARR)  </w:t>
            </w:r>
            <w:r>
              <w:rPr>
                <w:rFonts w:ascii="Arial" w:cs="Arial" w:eastAsia="Arial" w:hAnsi="Arial"/>
                <w:sz w:val="17"/>
                <w:szCs w:val="17"/>
                <w:color w:val="auto"/>
              </w:rPr>
              <w:t>creation. It is what our investors look to as a measure of our success at selling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20"/>
                <w:szCs w:val="20"/>
                <w:color w:val="auto"/>
              </w:rPr>
            </w:pPr>
            <w:r>
              <w:rPr>
                <w:rFonts w:ascii="Arial" w:cs="Arial" w:eastAsia="Arial" w:hAnsi="Arial"/>
                <w:sz w:val="17"/>
                <w:szCs w:val="17"/>
                <w:b w:val="1"/>
                <w:bCs w:val="1"/>
                <w:color w:val="auto"/>
              </w:rPr>
              <w:t>(70% weighting)</w:t>
            </w:r>
          </w:p>
        </w:tc>
        <w:tc>
          <w:tcPr>
            <w:tcW w:w="6440" w:type="dxa"/>
            <w:vAlign w:val="bottom"/>
            <w:gridSpan w:val="3"/>
          </w:tcPr>
          <w:p>
            <w:pPr>
              <w:spacing w:after="0"/>
              <w:rPr>
                <w:sz w:val="20"/>
                <w:szCs w:val="20"/>
                <w:color w:val="auto"/>
              </w:rPr>
            </w:pPr>
            <w:r>
              <w:rPr>
                <w:rFonts w:ascii="Arial" w:cs="Arial" w:eastAsia="Arial" w:hAnsi="Arial"/>
                <w:sz w:val="17"/>
                <w:szCs w:val="17"/>
                <w:color w:val="auto"/>
              </w:rPr>
              <w:t>solutions, innovating and competing in the marketplace. Specifically for the CIP, we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7"/>
                <w:szCs w:val="17"/>
                <w:color w:val="auto"/>
              </w:rPr>
              <w:t>focus on net new ARR.</w:t>
            </w:r>
          </w:p>
        </w:tc>
        <w:tc>
          <w:tcPr>
            <w:tcW w:w="4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The net new ARR portion of the CIP is only funded if at least 80% of our net new</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ARR target is met within the performance period. Specifically, funding under the CIP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based on percentage achievement of our net new ARR target is determined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accordance with the following table: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Achievement</w:t>
            </w:r>
          </w:p>
        </w:tc>
        <w:tc>
          <w:tcPr>
            <w:tcW w:w="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1480" w:type="dxa"/>
            <w:vAlign w:val="bottom"/>
          </w:tcPr>
          <w:p>
            <w:pPr>
              <w:spacing w:after="0" w:line="171" w:lineRule="exact"/>
              <w:rPr>
                <w:sz w:val="20"/>
                <w:szCs w:val="20"/>
                <w:color w:val="auto"/>
              </w:rPr>
            </w:pPr>
            <w:r>
              <w:rPr>
                <w:rFonts w:ascii="Arial" w:cs="Arial" w:eastAsia="Arial" w:hAnsi="Arial"/>
                <w:sz w:val="16"/>
                <w:szCs w:val="16"/>
                <w:b w:val="1"/>
                <w:bCs w:val="1"/>
                <w:color w:val="auto"/>
              </w:rPr>
              <w:t>Against Target</w:t>
            </w:r>
          </w:p>
        </w:tc>
        <w:tc>
          <w:tcPr>
            <w:tcW w:w="4960" w:type="dxa"/>
            <w:vAlign w:val="bottom"/>
            <w:gridSpan w:val="2"/>
          </w:tcPr>
          <w:p>
            <w:pPr>
              <w:ind w:left="20"/>
              <w:spacing w:after="0" w:line="171" w:lineRule="exact"/>
              <w:rPr>
                <w:sz w:val="20"/>
                <w:szCs w:val="20"/>
                <w:color w:val="auto"/>
              </w:rPr>
            </w:pPr>
            <w:r>
              <w:rPr>
                <w:rFonts w:ascii="Arial" w:cs="Arial" w:eastAsia="Arial" w:hAnsi="Arial"/>
                <w:sz w:val="16"/>
                <w:szCs w:val="16"/>
                <w:b w:val="1"/>
                <w:bCs w:val="1"/>
                <w:color w:val="auto"/>
              </w:rPr>
              <w:t>Payout</w:t>
            </w:r>
          </w:p>
        </w:tc>
        <w:tc>
          <w:tcPr>
            <w:tcW w:w="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65"/>
        </w:trPr>
        <w:tc>
          <w:tcPr>
            <w:tcW w:w="2340" w:type="dxa"/>
            <w:vAlign w:val="bottom"/>
          </w:tcPr>
          <w:p>
            <w:pPr>
              <w:spacing w:after="0"/>
              <w:rPr>
                <w:sz w:val="5"/>
                <w:szCs w:val="5"/>
                <w:color w:val="auto"/>
              </w:rPr>
            </w:pPr>
          </w:p>
        </w:tc>
        <w:tc>
          <w:tcPr>
            <w:tcW w:w="1480" w:type="dxa"/>
            <w:vAlign w:val="bottom"/>
            <w:tcBorders>
              <w:bottom w:val="single" w:sz="8" w:color="D6515D"/>
            </w:tcBorders>
          </w:tcPr>
          <w:p>
            <w:pPr>
              <w:spacing w:after="0"/>
              <w:rPr>
                <w:sz w:val="5"/>
                <w:szCs w:val="5"/>
                <w:color w:val="auto"/>
              </w:rPr>
            </w:pPr>
          </w:p>
        </w:tc>
        <w:tc>
          <w:tcPr>
            <w:tcW w:w="300" w:type="dxa"/>
            <w:vAlign w:val="bottom"/>
            <w:tcBorders>
              <w:bottom w:val="single" w:sz="8" w:color="D6515D"/>
            </w:tcBorders>
          </w:tcPr>
          <w:p>
            <w:pPr>
              <w:ind w:left="20"/>
              <w:spacing w:after="0" w:line="66" w:lineRule="exact"/>
              <w:rPr>
                <w:sz w:val="20"/>
                <w:szCs w:val="20"/>
                <w:color w:val="auto"/>
              </w:rPr>
            </w:pPr>
            <w:r>
              <w:rPr>
                <w:rFonts w:ascii="Arial" w:cs="Arial" w:eastAsia="Arial" w:hAnsi="Arial"/>
                <w:sz w:val="7"/>
                <w:szCs w:val="7"/>
                <w:b w:val="1"/>
                <w:bCs w:val="1"/>
                <w:color w:val="auto"/>
              </w:rPr>
              <w:t>​</w:t>
            </w:r>
          </w:p>
        </w:tc>
        <w:tc>
          <w:tcPr>
            <w:tcW w:w="4660" w:type="dxa"/>
            <w:vAlign w:val="bottom"/>
            <w:tcBorders>
              <w:bottom w:val="single" w:sz="8" w:color="D6515D"/>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Less than 80%</w:t>
            </w:r>
          </w:p>
        </w:tc>
        <w:tc>
          <w:tcPr>
            <w:tcW w:w="4960" w:type="dxa"/>
            <w:vAlign w:val="bottom"/>
            <w:gridSpan w:val="2"/>
          </w:tcPr>
          <w:p>
            <w:pPr>
              <w:ind w:left="20"/>
              <w:spacing w:after="0"/>
              <w:rPr>
                <w:sz w:val="20"/>
                <w:szCs w:val="20"/>
                <w:color w:val="auto"/>
              </w:rPr>
            </w:pPr>
            <w:r>
              <w:rPr>
                <w:rFonts w:ascii="Arial" w:cs="Arial" w:eastAsia="Arial" w:hAnsi="Arial"/>
                <w:sz w:val="17"/>
                <w:szCs w:val="17"/>
                <w:color w:val="auto"/>
              </w:rPr>
              <w:t>No​ payout</w:t>
            </w:r>
          </w:p>
        </w:tc>
        <w:tc>
          <w:tcPr>
            <w:tcW w:w="60" w:type="dxa"/>
            <w:vAlign w:val="bottom"/>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9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340" w:type="dxa"/>
            <w:vAlign w:val="bottom"/>
          </w:tcPr>
          <w:p>
            <w:pPr>
              <w:spacing w:after="0"/>
              <w:rPr>
                <w:sz w:val="15"/>
                <w:szCs w:val="15"/>
                <w:color w:val="auto"/>
              </w:rPr>
            </w:pPr>
          </w:p>
        </w:tc>
        <w:tc>
          <w:tcPr>
            <w:tcW w:w="1480" w:type="dxa"/>
            <w:vAlign w:val="bottom"/>
            <w:vMerge w:val="restart"/>
          </w:tcPr>
          <w:p>
            <w:pPr>
              <w:spacing w:after="0"/>
              <w:rPr>
                <w:sz w:val="20"/>
                <w:szCs w:val="20"/>
                <w:color w:val="auto"/>
              </w:rPr>
            </w:pPr>
            <w:r>
              <w:rPr>
                <w:rFonts w:ascii="Arial" w:cs="Arial" w:eastAsia="Arial" w:hAnsi="Arial"/>
                <w:sz w:val="17"/>
                <w:szCs w:val="17"/>
                <w:color w:val="auto"/>
              </w:rPr>
              <w:t>80% – 90%</w:t>
            </w:r>
          </w:p>
        </w:tc>
        <w:tc>
          <w:tcPr>
            <w:tcW w:w="49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25% – 80% payout</w:t>
            </w:r>
          </w:p>
        </w:tc>
        <w:tc>
          <w:tcPr>
            <w:tcW w:w="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7"/>
        </w:trPr>
        <w:tc>
          <w:tcPr>
            <w:tcW w:w="23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300" w:type="dxa"/>
            <w:vAlign w:val="bottom"/>
          </w:tcPr>
          <w:p>
            <w:pPr>
              <w:ind w:left="20"/>
              <w:spacing w:after="0" w:line="157" w:lineRule="exact"/>
              <w:rPr>
                <w:sz w:val="20"/>
                <w:szCs w:val="20"/>
                <w:color w:val="auto"/>
              </w:rPr>
            </w:pPr>
            <w:r>
              <w:rPr>
                <w:rFonts w:ascii="Arial" w:cs="Arial" w:eastAsia="Arial" w:hAnsi="Arial"/>
                <w:sz w:val="17"/>
                <w:szCs w:val="17"/>
                <w:color w:val="auto"/>
              </w:rPr>
              <w:t>​</w:t>
            </w:r>
          </w:p>
        </w:tc>
        <w:tc>
          <w:tcPr>
            <w:tcW w:w="46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9"/>
              </w:rPr>
              <w:t>(with linear interpolation between 80% – 90% achievement levels)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1480" w:type="dxa"/>
            <w:vAlign w:val="bottom"/>
            <w:vMerge w:val="restart"/>
          </w:tcPr>
          <w:p>
            <w:pPr>
              <w:spacing w:after="0"/>
              <w:rPr>
                <w:sz w:val="20"/>
                <w:szCs w:val="20"/>
                <w:color w:val="auto"/>
              </w:rPr>
            </w:pPr>
            <w:r>
              <w:rPr>
                <w:rFonts w:ascii="Arial" w:cs="Arial" w:eastAsia="Arial" w:hAnsi="Arial"/>
                <w:sz w:val="17"/>
                <w:szCs w:val="17"/>
                <w:color w:val="auto"/>
              </w:rPr>
              <w:t>90% – 100%</w:t>
            </w:r>
          </w:p>
        </w:tc>
        <w:tc>
          <w:tcPr>
            <w:tcW w:w="4960" w:type="dxa"/>
            <w:vAlign w:val="bottom"/>
            <w:gridSpan w:val="2"/>
          </w:tcPr>
          <w:p>
            <w:pPr>
              <w:ind w:left="20"/>
              <w:spacing w:after="0" w:line="179" w:lineRule="exact"/>
              <w:rPr>
                <w:sz w:val="20"/>
                <w:szCs w:val="20"/>
                <w:color w:val="auto"/>
              </w:rPr>
            </w:pPr>
            <w:r>
              <w:rPr>
                <w:rFonts w:ascii="Arial" w:cs="Arial" w:eastAsia="Arial" w:hAnsi="Arial"/>
                <w:sz w:val="17"/>
                <w:szCs w:val="17"/>
                <w:color w:val="auto"/>
              </w:rPr>
              <w:t>80% – 100% payout (with linear interpolation between 90% – </w:t>
            </w:r>
          </w:p>
        </w:tc>
        <w:tc>
          <w:tcPr>
            <w:tcW w:w="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5"/>
        </w:trPr>
        <w:tc>
          <w:tcPr>
            <w:tcW w:w="23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tcPr>
          <w:p>
            <w:pPr>
              <w:ind w:left="20"/>
              <w:spacing w:after="0" w:line="105" w:lineRule="exact"/>
              <w:rPr>
                <w:sz w:val="20"/>
                <w:szCs w:val="20"/>
                <w:color w:val="auto"/>
              </w:rPr>
            </w:pPr>
            <w:r>
              <w:rPr>
                <w:rFonts w:ascii="Arial" w:cs="Arial" w:eastAsia="Arial" w:hAnsi="Arial"/>
                <w:sz w:val="12"/>
                <w:szCs w:val="12"/>
                <w:color w:val="auto"/>
              </w:rPr>
              <w:t>​</w:t>
            </w:r>
          </w:p>
        </w:tc>
        <w:tc>
          <w:tcPr>
            <w:tcW w:w="46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3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7"/>
                <w:szCs w:val="17"/>
                <w:color w:val="auto"/>
              </w:rPr>
              <w:t>100% achievement levels)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480" w:type="dxa"/>
            <w:vAlign w:val="bottom"/>
          </w:tcPr>
          <w:p>
            <w:pPr>
              <w:spacing w:after="0" w:line="176" w:lineRule="exact"/>
              <w:rPr>
                <w:sz w:val="20"/>
                <w:szCs w:val="20"/>
                <w:color w:val="auto"/>
              </w:rPr>
            </w:pPr>
            <w:r>
              <w:rPr>
                <w:rFonts w:ascii="Arial" w:cs="Arial" w:eastAsia="Arial" w:hAnsi="Arial"/>
                <w:sz w:val="17"/>
                <w:szCs w:val="17"/>
                <w:color w:val="auto"/>
              </w:rPr>
              <w:t>Greater than 100%</w:t>
            </w:r>
          </w:p>
        </w:tc>
        <w:tc>
          <w:tcPr>
            <w:tcW w:w="496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1.5x multiplier on over target achievement</w:t>
            </w:r>
          </w:p>
        </w:tc>
        <w:tc>
          <w:tcPr>
            <w:tcW w:w="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80" w:type="dxa"/>
            <w:vAlign w:val="bottom"/>
            <w:vMerge w:val="restart"/>
          </w:tcPr>
          <w:p>
            <w:pPr>
              <w:spacing w:after="0"/>
              <w:rPr>
                <w:sz w:val="20"/>
                <w:szCs w:val="20"/>
                <w:color w:val="auto"/>
              </w:rPr>
            </w:pPr>
            <w:r>
              <w:rPr>
                <w:rFonts w:ascii="Arial" w:cs="Arial" w:eastAsia="Arial" w:hAnsi="Arial"/>
                <w:sz w:val="17"/>
                <w:szCs w:val="17"/>
                <w:color w:val="auto"/>
              </w:rPr>
              <w:t>up to 110%</w:t>
            </w: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46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34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3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Greater than 110%</w:t>
            </w:r>
          </w:p>
        </w:tc>
        <w:tc>
          <w:tcPr>
            <w:tcW w:w="5020" w:type="dxa"/>
            <w:vAlign w:val="bottom"/>
            <w:gridSpan w:val="3"/>
          </w:tcPr>
          <w:p>
            <w:pPr>
              <w:ind w:left="20"/>
              <w:spacing w:after="0"/>
              <w:rPr>
                <w:sz w:val="20"/>
                <w:szCs w:val="20"/>
                <w:color w:val="auto"/>
              </w:rPr>
            </w:pPr>
            <w:r>
              <w:rPr>
                <w:rFonts w:ascii="Arial" w:cs="Arial" w:eastAsia="Arial" w:hAnsi="Arial"/>
                <w:sz w:val="17"/>
                <w:szCs w:val="17"/>
                <w:color w:val="auto"/>
              </w:rPr>
              <w:t>2x​ multiplier on over-target achievement, capped at 150% payout ​</w:t>
            </w:r>
          </w:p>
        </w:tc>
        <w:tc>
          <w:tcPr>
            <w:tcW w:w="0" w:type="dxa"/>
            <w:vAlign w:val="bottom"/>
          </w:tcPr>
          <w:p>
            <w:pPr>
              <w:spacing w:after="0"/>
              <w:rPr>
                <w:sz w:val="1"/>
                <w:szCs w:val="1"/>
                <w:color w:val="auto"/>
              </w:rPr>
            </w:pPr>
          </w:p>
        </w:tc>
      </w:tr>
      <w:tr>
        <w:trPr>
          <w:trHeight w:val="20"/>
        </w:trPr>
        <w:tc>
          <w:tcPr>
            <w:tcW w:w="2340" w:type="dxa"/>
            <w:vAlign w:val="bottom"/>
            <w:tcBorders>
              <w:right w:val="single" w:sz="8" w:color="auto"/>
            </w:tcBorders>
          </w:tcPr>
          <w:p>
            <w:pPr>
              <w:spacing w:after="0" w:line="20" w:lineRule="exact"/>
              <w:rPr>
                <w:sz w:val="1"/>
                <w:szCs w:val="1"/>
                <w:color w:val="auto"/>
              </w:rPr>
            </w:pPr>
          </w:p>
        </w:tc>
        <w:tc>
          <w:tcPr>
            <w:tcW w:w="64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6440" w:type="dxa"/>
            <w:vAlign w:val="bottom"/>
            <w:tcBorders>
              <w:bottom w:val="single" w:sz="8" w:color="D6515D"/>
            </w:tcBorders>
            <w:gridSpan w:val="3"/>
          </w:tcPr>
          <w:p>
            <w:pPr>
              <w:spacing w:after="0" w:line="202" w:lineRule="exact"/>
              <w:rPr>
                <w:sz w:val="20"/>
                <w:szCs w:val="20"/>
                <w:color w:val="auto"/>
              </w:rPr>
            </w:pPr>
            <w:r>
              <w:rPr>
                <w:rFonts w:ascii="Arial" w:cs="Arial" w:eastAsia="Arial" w:hAnsi="Arial"/>
                <w:sz w:val="13"/>
                <w:szCs w:val="13"/>
                <w:b w:val="1"/>
                <w:bCs w:val="1"/>
                <w:color w:val="auto"/>
              </w:rPr>
              <w:t>2026 Target and Results</w:t>
            </w:r>
            <w:r>
              <w:rPr>
                <w:rFonts w:ascii="Arial" w:cs="Arial" w:eastAsia="Arial" w:hAnsi="Arial"/>
                <w:sz w:val="23"/>
                <w:szCs w:val="23"/>
                <w:b w:val="1"/>
                <w:bCs w:val="1"/>
                <w:color w:val="auto"/>
                <w:vertAlign w:val="subscript"/>
              </w:rPr>
              <w:t>​ ​</w:t>
            </w:r>
            <w:r>
              <w:rPr>
                <w:rFonts w:ascii="Arial" w:cs="Arial" w:eastAsia="Arial" w:hAnsi="Arial"/>
                <w:sz w:val="13"/>
                <w:szCs w:val="13"/>
                <w:b w:val="1"/>
                <w:bCs w:val="1"/>
                <w:color w:val="auto"/>
              </w:rPr>
              <w:t xml:space="preserve"> ​</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7"/>
                <w:szCs w:val="17"/>
                <w:color w:val="auto"/>
                <w:w w:val="99"/>
              </w:rPr>
              <w:t>Aggregate of Fiscal</w:t>
            </w:r>
          </w:p>
        </w:tc>
        <w:tc>
          <w:tcPr>
            <w:tcW w:w="300" w:type="dxa"/>
            <w:vAlign w:val="bottom"/>
          </w:tcPr>
          <w:p>
            <w:pPr>
              <w:spacing w:after="0"/>
              <w:rPr>
                <w:sz w:val="18"/>
                <w:szCs w:val="18"/>
                <w:color w:val="auto"/>
              </w:rPr>
            </w:pPr>
          </w:p>
        </w:tc>
        <w:tc>
          <w:tcPr>
            <w:tcW w:w="4660" w:type="dxa"/>
            <w:vAlign w:val="bottom"/>
          </w:tcPr>
          <w:p>
            <w:pPr>
              <w:ind w:left="20"/>
              <w:spacing w:after="0" w:line="214"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14"/>
                <w:szCs w:val="14"/>
                <w:color w:val="auto"/>
              </w:rPr>
              <w:t xml:space="preserve"> Average of Quarterly Achievement Percentages</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7"/>
                <w:szCs w:val="17"/>
                <w:color w:val="auto"/>
              </w:rPr>
              <w:t>2026 Quarterly Targets</w:t>
            </w:r>
          </w:p>
        </w:tc>
        <w:tc>
          <w:tcPr>
            <w:tcW w:w="4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$952.1 million</w:t>
            </w:r>
          </w:p>
        </w:tc>
        <w:tc>
          <w:tcPr>
            <w:tcW w:w="3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7"/>
                <w:szCs w:val="17"/>
                <w:color w:val="auto"/>
              </w:rPr>
              <w:t>​ ​ 106.1%</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
        </w:trPr>
        <w:tc>
          <w:tcPr>
            <w:tcW w:w="2340" w:type="dxa"/>
            <w:vAlign w:val="bottom"/>
            <w:tcBorders>
              <w:bottom w:val="single" w:sz="8" w:color="auto"/>
            </w:tcBorders>
          </w:tcPr>
          <w:p>
            <w:pPr>
              <w:spacing w:after="0"/>
              <w:rPr>
                <w:sz w:val="8"/>
                <w:szCs w:val="8"/>
                <w:color w:val="auto"/>
              </w:rPr>
            </w:pPr>
          </w:p>
        </w:tc>
        <w:tc>
          <w:tcPr>
            <w:tcW w:w="6440" w:type="dxa"/>
            <w:vAlign w:val="bottom"/>
            <w:tcBorders>
              <w:top w:val="single" w:sz="8" w:color="auto"/>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line="211" w:lineRule="exact"/>
              <w:rPr>
                <w:sz w:val="20"/>
                <w:szCs w:val="20"/>
                <w:color w:val="auto"/>
              </w:rPr>
            </w:pPr>
            <w:r>
              <w:rPr>
                <w:rFonts w:ascii="Arial" w:cs="Arial" w:eastAsia="Arial" w:hAnsi="Arial"/>
                <w:sz w:val="17"/>
                <w:szCs w:val="17"/>
                <w:b w:val="1"/>
                <w:bCs w:val="1"/>
                <w:color w:val="auto"/>
              </w:rPr>
              <w:t xml:space="preserve">Net Retention Rate </w:t>
            </w:r>
            <w:r>
              <w:rPr>
                <w:rFonts w:ascii="Arial" w:cs="Arial" w:eastAsia="Arial" w:hAnsi="Arial"/>
                <w:sz w:val="22"/>
                <w:szCs w:val="22"/>
                <w:b w:val="1"/>
                <w:bCs w:val="1"/>
                <w:color w:val="auto"/>
                <w:vertAlign w:val="superscript"/>
              </w:rPr>
              <w:t>(3)</w:t>
            </w:r>
          </w:p>
        </w:tc>
        <w:tc>
          <w:tcPr>
            <w:tcW w:w="6440" w:type="dxa"/>
            <w:vAlign w:val="bottom"/>
            <w:gridSpan w:val="3"/>
          </w:tcPr>
          <w:p>
            <w:pPr>
              <w:spacing w:after="0"/>
              <w:rPr>
                <w:sz w:val="20"/>
                <w:szCs w:val="20"/>
                <w:color w:val="auto"/>
              </w:rPr>
            </w:pPr>
            <w:r>
              <w:rPr>
                <w:rFonts w:ascii="Arial" w:cs="Arial" w:eastAsia="Arial" w:hAnsi="Arial"/>
                <w:sz w:val="17"/>
                <w:szCs w:val="17"/>
                <w:color w:val="auto"/>
              </w:rPr>
              <w:t>Net Retention Rate is an important indicator of our ability to retain and expand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7"/>
                <w:szCs w:val="17"/>
                <w:color w:val="auto"/>
              </w:rPr>
              <w:t>customers and our business health and is used as a modifier to determine the final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7"/>
                <w:szCs w:val="17"/>
                <w:color w:val="auto"/>
              </w:rPr>
              <w:t>payout under the CIP.</w:t>
            </w:r>
          </w:p>
        </w:tc>
        <w:tc>
          <w:tcPr>
            <w:tcW w:w="4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140" w:right="319"/>
        <w:spacing w:after="0" w:line="277" w:lineRule="auto"/>
        <w:rPr>
          <w:sz w:val="20"/>
          <w:szCs w:val="20"/>
          <w:color w:val="auto"/>
        </w:rPr>
      </w:pPr>
      <w:r>
        <w:rPr>
          <w:rFonts w:ascii="Arial" w:cs="Arial" w:eastAsia="Arial" w:hAnsi="Arial"/>
          <w:sz w:val="17"/>
          <w:szCs w:val="17"/>
          <w:color w:val="auto"/>
        </w:rPr>
        <w:t>Under the CIP, the Compensation Committee may apply an upward or downward modifier of up to 10% based on whether our Net Retention Rate exceeds or is less than the target for any quarter.</w:t>
      </w:r>
    </w:p>
    <w:p>
      <w:pPr>
        <w:spacing w:after="0" w:line="55" w:lineRule="exact"/>
        <w:rPr>
          <w:sz w:val="20"/>
          <w:szCs w:val="20"/>
          <w:color w:val="auto"/>
        </w:rPr>
      </w:pPr>
    </w:p>
    <w:p>
      <w:pPr>
        <w:ind w:left="3140" w:right="379"/>
        <w:spacing w:after="0" w:line="270" w:lineRule="auto"/>
        <w:rPr>
          <w:sz w:val="20"/>
          <w:szCs w:val="20"/>
          <w:color w:val="auto"/>
        </w:rPr>
      </w:pPr>
      <w:r>
        <w:rPr>
          <w:rFonts w:ascii="Arial" w:cs="Arial" w:eastAsia="Arial" w:hAnsi="Arial"/>
          <w:sz w:val="17"/>
          <w:szCs w:val="17"/>
          <w:color w:val="auto"/>
        </w:rPr>
        <w:t>For fiscal 2026, our quarterly Net Retention Rate target range was 110% – 115%. Our Net Retention Rate was 112%, 111%, 114%, and 115% for the first, second, third, and fourth quarter of fiscal 2026, respectively, falling within our target range, and therefore no modifier was applied to the final payout under the CIP.</w:t>
      </w:r>
    </w:p>
    <w:p>
      <w:pPr>
        <w:spacing w:after="0" w:line="205" w:lineRule="exact"/>
        <w:rPr>
          <w:sz w:val="20"/>
          <w:szCs w:val="20"/>
          <w:color w:val="auto"/>
        </w:rPr>
      </w:pPr>
    </w:p>
    <w:p>
      <w:pPr>
        <w:ind w:left="800" w:right="299"/>
        <w:spacing w:after="0" w:line="298" w:lineRule="auto"/>
        <w:rPr>
          <w:sz w:val="20"/>
          <w:szCs w:val="20"/>
          <w:color w:val="auto"/>
        </w:rPr>
      </w:pPr>
      <w:r>
        <w:rPr>
          <w:rFonts w:ascii="Arial" w:cs="Arial" w:eastAsia="Arial" w:hAnsi="Arial"/>
          <w:sz w:val="17"/>
          <w:szCs w:val="17"/>
          <w:color w:val="auto"/>
        </w:rPr>
        <w:t>For fiscal 2026, we made two refinements to our CIP design to enhance metric alignment and reflect our business evolution:</w:t>
      </w:r>
    </w:p>
    <w:p>
      <w:pPr>
        <w:spacing w:after="0" w:line="37" w:lineRule="exact"/>
        <w:rPr>
          <w:sz w:val="20"/>
          <w:szCs w:val="20"/>
          <w:color w:val="auto"/>
        </w:rPr>
      </w:pPr>
    </w:p>
    <w:p>
      <w:pPr>
        <w:ind w:left="1320" w:right="359" w:hanging="179"/>
        <w:spacing w:after="0" w:line="277" w:lineRule="auto"/>
        <w:tabs>
          <w:tab w:leader="none" w:pos="13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Non-GAAP Operating Income Threshold: We lowered the funding threshold from 85% to 80% to align with the net new ARR payout structure, creating consistency in how we measure achievement across our key growth and profitability metrics.</w:t>
      </w:r>
    </w:p>
    <w:p>
      <w:pPr>
        <w:spacing w:after="0" w:line="55" w:lineRule="exact"/>
        <w:rPr>
          <w:rFonts w:ascii="Arial" w:cs="Arial" w:eastAsia="Arial" w:hAnsi="Arial"/>
          <w:sz w:val="17"/>
          <w:szCs w:val="17"/>
          <w:color w:val="auto"/>
        </w:rPr>
      </w:pPr>
    </w:p>
    <w:p>
      <w:pPr>
        <w:ind w:left="1320" w:right="159" w:hanging="179"/>
        <w:spacing w:after="0" w:line="270" w:lineRule="auto"/>
        <w:tabs>
          <w:tab w:leader="none" w:pos="13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Net Retention Rate Range: We adjusted the target range to 110% – 115% to reflect the expected performance dynamics of our expanding customer base. As companies scale, net retention rates typically moderate from early-stage levels, and this range reflects challenging but achievable targets that maintain our focus on best-in-class customer retention and expansion.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1140" w:right="139" w:hanging="347"/>
        <w:spacing w:after="0" w:line="259" w:lineRule="auto"/>
        <w:tabs>
          <w:tab w:leader="none" w:pos="11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-1963420</wp:posOffset>
            </wp:positionV>
            <wp:extent cx="11950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ectPr>
          <w:pgSz w:w="11900" w:h="16838" w:orient="portrait"/>
          <w:cols w:equalWidth="0" w:num="1">
            <w:col w:w="9699"/>
          </w:cols>
          <w:pgMar w:left="760" w:top="94" w:right="1440" w:bottom="1043" w:gutter="0" w:footer="0" w:header="0"/>
        </w:sectPr>
      </w:pPr>
    </w:p>
    <w:p>
      <w:pPr>
        <w:spacing w:after="0" w:line="400"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43"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19"/>
        <w:spacing w:after="0" w:line="255" w:lineRule="auto"/>
        <w:rPr>
          <w:sz w:val="20"/>
          <w:szCs w:val="20"/>
          <w:color w:val="auto"/>
        </w:rPr>
      </w:pPr>
      <w:r>
        <w:rPr>
          <w:rFonts w:ascii="Arial" w:cs="Arial" w:eastAsia="Arial" w:hAnsi="Arial"/>
          <w:sz w:val="17"/>
          <w:szCs w:val="17"/>
          <w:color w:val="auto"/>
        </w:rPr>
        <w:t>All three financial targets were measured and the awards under the CIP were paid out on a quarterly basis. Quarterly targets were set by the Compensation Committee in accordance with the process described in “Performance-Based Pay and Goal Setting” section. The Compensation Committee believes that these particular metrics and cadence of measurement are most in line with our business cycle, drive performance and more rapidly foster the growth of our business.</w:t>
      </w:r>
    </w:p>
    <w:p>
      <w:pPr>
        <w:spacing w:after="0" w:line="138" w:lineRule="exact"/>
        <w:rPr>
          <w:sz w:val="20"/>
          <w:szCs w:val="20"/>
          <w:color w:val="auto"/>
        </w:rPr>
      </w:pPr>
    </w:p>
    <w:p>
      <w:pPr>
        <w:ind w:left="800" w:right="199"/>
        <w:spacing w:after="0" w:line="298" w:lineRule="auto"/>
        <w:rPr>
          <w:sz w:val="20"/>
          <w:szCs w:val="20"/>
          <w:color w:val="auto"/>
        </w:rPr>
      </w:pPr>
      <w:r>
        <w:rPr>
          <w:rFonts w:ascii="Arial" w:cs="Arial" w:eastAsia="Arial" w:hAnsi="Arial"/>
          <w:sz w:val="17"/>
          <w:szCs w:val="17"/>
          <w:color w:val="auto"/>
        </w:rPr>
        <w:t>The following table shows our NEOs’ target bonus opportunity and actual bonus earned for fiscal 2026 with respect to the CIP.</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22"/>
        </w:trPr>
        <w:tc>
          <w:tcPr>
            <w:tcW w:w="2580" w:type="dxa"/>
            <w:vAlign w:val="bottom"/>
          </w:tcPr>
          <w:p>
            <w:pPr>
              <w:spacing w:after="0" w:line="20" w:lineRule="exact"/>
              <w:rPr>
                <w:sz w:val="1"/>
                <w:szCs w:val="1"/>
                <w:color w:val="auto"/>
              </w:rPr>
            </w:pPr>
          </w:p>
        </w:tc>
        <w:tc>
          <w:tcPr>
            <w:tcW w:w="172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 ​</w:t>
            </w: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Fiscal 2026 Targets</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Fiscal 2026 Actuals</w:t>
            </w:r>
          </w:p>
        </w:tc>
        <w:tc>
          <w:tcPr>
            <w:tcW w:w="0" w:type="dxa"/>
            <w:vAlign w:val="bottom"/>
          </w:tcPr>
          <w:p>
            <w:pPr>
              <w:spacing w:after="0" w:line="20" w:lineRule="exact"/>
              <w:rPr>
                <w:sz w:val="1"/>
                <w:szCs w:val="1"/>
                <w:color w:val="auto"/>
              </w:rPr>
            </w:pPr>
          </w:p>
        </w:tc>
      </w:tr>
      <w:tr>
        <w:trPr>
          <w:trHeight w:val="188"/>
        </w:trPr>
        <w:tc>
          <w:tcPr>
            <w:tcW w:w="25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960" w:type="dxa"/>
            <w:vAlign w:val="bottom"/>
            <w:tcBorders>
              <w:bottom w:val="single" w:sz="8" w:color="D6515D"/>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2340" w:type="dxa"/>
            <w:vAlign w:val="bottom"/>
            <w:tcBorders>
              <w:bottom w:val="single" w:sz="8" w:color="D6515D"/>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Target Bonus   Target Bonus</w:t>
            </w:r>
          </w:p>
        </w:tc>
        <w:tc>
          <w:tcPr>
            <w:tcW w:w="100" w:type="dxa"/>
            <w:vAlign w:val="bottom"/>
            <w:tcBorders>
              <w:left w:val="single" w:sz="8" w:color="auto"/>
            </w:tcBorders>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 Bonus Achieved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Actual Bonus</w:t>
            </w:r>
          </w:p>
        </w:tc>
        <w:tc>
          <w:tcPr>
            <w:tcW w:w="0" w:type="dxa"/>
            <w:vAlign w:val="bottom"/>
          </w:tcPr>
          <w:p>
            <w:pPr>
              <w:spacing w:after="0"/>
              <w:rPr>
                <w:sz w:val="1"/>
                <w:szCs w:val="1"/>
                <w:color w:val="auto"/>
              </w:rPr>
            </w:pPr>
          </w:p>
        </w:tc>
      </w:tr>
      <w:tr>
        <w:trPr>
          <w:trHeight w:val="218"/>
        </w:trPr>
        <w:tc>
          <w:tcPr>
            <w:tcW w:w="258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Borders>
              <w:bottom w:val="single" w:sz="8" w:color="D6515D"/>
            </w:tcBorders>
          </w:tcPr>
          <w:p>
            <w:pPr>
              <w:ind w:left="1580"/>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D6515D"/>
            </w:tcBorders>
          </w:tcPr>
          <w:p>
            <w:pPr>
              <w:ind w:left="100"/>
              <w:spacing w:after="0"/>
              <w:rPr>
                <w:sz w:val="20"/>
                <w:szCs w:val="20"/>
                <w:color w:val="auto"/>
              </w:rPr>
            </w:pPr>
            <w:r>
              <w:rPr>
                <w:rFonts w:ascii="Arial" w:cs="Arial" w:eastAsia="Arial" w:hAnsi="Arial"/>
                <w:sz w:val="14"/>
                <w:szCs w:val="14"/>
                <w:b w:val="1"/>
                <w:bCs w:val="1"/>
                <w:color w:val="auto"/>
              </w:rPr>
              <w:t>% of Base</w:t>
            </w:r>
          </w:p>
        </w:tc>
        <w:tc>
          <w:tcPr>
            <w:tcW w:w="440" w:type="dxa"/>
            <w:vAlign w:val="bottom"/>
            <w:tcBorders>
              <w:bottom w:val="single" w:sz="8" w:color="D6515D"/>
            </w:tcBorders>
          </w:tcPr>
          <w:p>
            <w:pPr>
              <w:jc w:val="center"/>
              <w:ind w:right="17"/>
              <w:spacing w:after="0"/>
              <w:rPr>
                <w:sz w:val="20"/>
                <w:szCs w:val="20"/>
                <w:color w:val="auto"/>
              </w:rPr>
            </w:pPr>
            <w:r>
              <w:rPr>
                <w:rFonts w:ascii="Arial" w:cs="Arial" w:eastAsia="Arial" w:hAnsi="Arial"/>
                <w:sz w:val="14"/>
                <w:szCs w:val="14"/>
                <w:b w:val="1"/>
                <w:bCs w:val="1"/>
                <w:color w:val="auto"/>
              </w:rPr>
              <w:t>​ ​</w:t>
            </w:r>
          </w:p>
        </w:tc>
        <w:tc>
          <w:tcPr>
            <w:tcW w:w="700" w:type="dxa"/>
            <w:vAlign w:val="bottom"/>
            <w:tcBorders>
              <w:bottom w:val="single" w:sz="8" w:color="D6515D"/>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9"/>
                <w:szCs w:val="19"/>
                <w:color w:val="auto"/>
              </w:rPr>
            </w:pPr>
          </w:p>
        </w:tc>
        <w:tc>
          <w:tcPr>
            <w:tcW w:w="100" w:type="dxa"/>
            <w:vAlign w:val="bottom"/>
            <w:tcBorders>
              <w:left w:val="single" w:sz="8" w:color="auto"/>
              <w:bottom w:val="single" w:sz="8" w:color="D6515D"/>
            </w:tcBorders>
          </w:tcPr>
          <w:p>
            <w:pPr>
              <w:spacing w:after="0"/>
              <w:rPr>
                <w:sz w:val="19"/>
                <w:szCs w:val="19"/>
                <w:color w:val="auto"/>
              </w:rPr>
            </w:pPr>
          </w:p>
        </w:tc>
        <w:tc>
          <w:tcPr>
            <w:tcW w:w="1120" w:type="dxa"/>
            <w:vAlign w:val="bottom"/>
            <w:tcBorders>
              <w:bottom w:val="single" w:sz="8" w:color="D6515D"/>
            </w:tcBorders>
          </w:tcPr>
          <w:p>
            <w:pPr>
              <w:ind w:left="340"/>
              <w:spacing w:after="0"/>
              <w:rPr>
                <w:sz w:val="20"/>
                <w:szCs w:val="20"/>
                <w:color w:val="auto"/>
              </w:rPr>
            </w:pPr>
            <w:r>
              <w:rPr>
                <w:rFonts w:ascii="Arial" w:cs="Arial" w:eastAsia="Arial" w:hAnsi="Arial"/>
                <w:sz w:val="14"/>
                <w:szCs w:val="14"/>
                <w:b w:val="1"/>
                <w:bCs w:val="1"/>
                <w:color w:val="auto"/>
              </w:rPr>
              <w:t>of Target</w:t>
            </w:r>
          </w:p>
        </w:tc>
        <w:tc>
          <w:tcPr>
            <w:tcW w:w="320" w:type="dxa"/>
            <w:vAlign w:val="bottom"/>
            <w:tcBorders>
              <w:bottom w:val="single" w:sz="8" w:color="D6515D"/>
            </w:tcBorders>
          </w:tcPr>
          <w:p>
            <w:pPr>
              <w:ind w:left="180"/>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6515D"/>
            </w:tcBorders>
            <w:gridSpan w:val="2"/>
          </w:tcPr>
          <w:p>
            <w:pPr>
              <w:jc w:val="right"/>
              <w:ind w:right="33"/>
              <w:spacing w:after="0"/>
              <w:rPr>
                <w:sz w:val="20"/>
                <w:szCs w:val="20"/>
                <w:color w:val="auto"/>
              </w:rPr>
            </w:pPr>
            <w:r>
              <w:rPr>
                <w:rFonts w:ascii="Arial" w:cs="Arial" w:eastAsia="Arial" w:hAnsi="Arial"/>
                <w:sz w:val="14"/>
                <w:szCs w:val="14"/>
                <w:b w:val="1"/>
                <w:bCs w:val="1"/>
                <w:color w:val="auto"/>
              </w:rPr>
              <w:t>Earned ($)</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r>
              <w:rPr>
                <w:rFonts w:ascii="Arial" w:cs="Arial" w:eastAsia="Arial" w:hAnsi="Arial"/>
                <w:sz w:val="17"/>
                <w:szCs w:val="17"/>
                <w:color w:val="auto"/>
              </w:rPr>
              <w:t>Mr. Kurtz</w:t>
            </w:r>
          </w:p>
        </w:tc>
        <w:tc>
          <w:tcPr>
            <w:tcW w:w="1720" w:type="dxa"/>
            <w:vAlign w:val="bottom"/>
          </w:tcPr>
          <w:p>
            <w:pPr>
              <w:ind w:left="1580"/>
              <w:spacing w:after="0"/>
              <w:rPr>
                <w:sz w:val="20"/>
                <w:szCs w:val="20"/>
                <w:color w:val="auto"/>
              </w:rPr>
            </w:pPr>
            <w:r>
              <w:rPr>
                <w:rFonts w:ascii="Arial" w:cs="Arial" w:eastAsia="Arial" w:hAnsi="Arial"/>
                <w:sz w:val="17"/>
                <w:szCs w:val="17"/>
                <w:color w:val="auto"/>
              </w:rPr>
              <w:t>​ ​</w:t>
            </w:r>
          </w:p>
        </w:tc>
        <w:tc>
          <w:tcPr>
            <w:tcW w:w="820" w:type="dxa"/>
            <w:vAlign w:val="bottom"/>
          </w:tcPr>
          <w:p>
            <w:pPr>
              <w:ind w:left="240"/>
              <w:spacing w:after="0"/>
              <w:rPr>
                <w:sz w:val="20"/>
                <w:szCs w:val="20"/>
                <w:color w:val="auto"/>
              </w:rPr>
            </w:pPr>
            <w:r>
              <w:rPr>
                <w:rFonts w:ascii="Arial" w:cs="Arial" w:eastAsia="Arial" w:hAnsi="Arial"/>
                <w:sz w:val="17"/>
                <w:szCs w:val="17"/>
                <w:color w:val="auto"/>
              </w:rPr>
              <w:t>​135%</w:t>
            </w:r>
          </w:p>
        </w:tc>
        <w:tc>
          <w:tcPr>
            <w:tcW w:w="1220" w:type="dxa"/>
            <w:vAlign w:val="bottom"/>
            <w:gridSpan w:val="3"/>
          </w:tcPr>
          <w:p>
            <w:pPr>
              <w:jc w:val="right"/>
              <w:ind w:right="80"/>
              <w:spacing w:after="0"/>
              <w:rPr>
                <w:sz w:val="20"/>
                <w:szCs w:val="20"/>
                <w:color w:val="auto"/>
              </w:rPr>
            </w:pPr>
            <w:r>
              <w:rPr>
                <w:rFonts w:ascii="Arial" w:cs="Arial" w:eastAsia="Arial" w:hAnsi="Arial"/>
                <w:sz w:val="17"/>
                <w:szCs w:val="17"/>
                <w:color w:val="auto"/>
              </w:rPr>
              <w:t>​​ ​​$1,485,000</w:t>
            </w:r>
          </w:p>
        </w:tc>
        <w:tc>
          <w:tcPr>
            <w:tcW w:w="100" w:type="dxa"/>
            <w:vAlign w:val="bottom"/>
            <w:tcBorders>
              <w:left w:val="single" w:sz="8" w:color="auto"/>
            </w:tcBorders>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7"/>
                <w:szCs w:val="17"/>
                <w:color w:val="auto"/>
              </w:rPr>
              <w:t>​ 108.8%</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 ​ ​​$1,614,938</w:t>
            </w:r>
          </w:p>
        </w:tc>
        <w:tc>
          <w:tcPr>
            <w:tcW w:w="0" w:type="dxa"/>
            <w:vAlign w:val="bottom"/>
          </w:tcPr>
          <w:p>
            <w:pPr>
              <w:spacing w:after="0"/>
              <w:rPr>
                <w:sz w:val="1"/>
                <w:szCs w:val="1"/>
                <w:color w:val="auto"/>
              </w:rPr>
            </w:pPr>
          </w:p>
        </w:tc>
      </w:tr>
      <w:tr>
        <w:trPr>
          <w:trHeight w:val="248"/>
        </w:trPr>
        <w:tc>
          <w:tcPr>
            <w:tcW w:w="2580" w:type="dxa"/>
            <w:vAlign w:val="bottom"/>
            <w:shd w:val="clear" w:color="auto" w:fill="E5E5E5"/>
          </w:tcPr>
          <w:p>
            <w:pPr>
              <w:spacing w:after="0"/>
              <w:rPr>
                <w:sz w:val="20"/>
                <w:szCs w:val="20"/>
                <w:color w:val="auto"/>
              </w:rPr>
            </w:pPr>
            <w:r>
              <w:rPr>
                <w:rFonts w:ascii="Arial" w:cs="Arial" w:eastAsia="Arial" w:hAnsi="Arial"/>
                <w:sz w:val="17"/>
                <w:szCs w:val="17"/>
                <w:color w:val="auto"/>
              </w:rPr>
              <w:t>Mr. Sentonas</w:t>
            </w:r>
          </w:p>
        </w:tc>
        <w:tc>
          <w:tcPr>
            <w:tcW w:w="1720" w:type="dxa"/>
            <w:vAlign w:val="bottom"/>
            <w:shd w:val="clear" w:color="auto" w:fill="E5E5E5"/>
          </w:tcPr>
          <w:p>
            <w:pPr>
              <w:ind w:left="1580"/>
              <w:spacing w:after="0"/>
              <w:rPr>
                <w:sz w:val="20"/>
                <w:szCs w:val="20"/>
                <w:color w:val="auto"/>
              </w:rPr>
            </w:pPr>
            <w:r>
              <w:rPr>
                <w:rFonts w:ascii="Arial" w:cs="Arial" w:eastAsia="Arial" w:hAnsi="Arial"/>
                <w:sz w:val="17"/>
                <w:szCs w:val="17"/>
                <w:color w:val="auto"/>
              </w:rPr>
              <w:t>​ ​</w:t>
            </w:r>
          </w:p>
        </w:tc>
        <w:tc>
          <w:tcPr>
            <w:tcW w:w="820" w:type="dxa"/>
            <w:vAlign w:val="bottom"/>
            <w:shd w:val="clear" w:color="auto" w:fill="E5E5E5"/>
          </w:tcPr>
          <w:p>
            <w:pPr>
              <w:ind w:left="240"/>
              <w:spacing w:after="0"/>
              <w:rPr>
                <w:sz w:val="20"/>
                <w:szCs w:val="20"/>
                <w:color w:val="auto"/>
              </w:rPr>
            </w:pPr>
            <w:r>
              <w:rPr>
                <w:rFonts w:ascii="Arial" w:cs="Arial" w:eastAsia="Arial" w:hAnsi="Arial"/>
                <w:sz w:val="17"/>
                <w:szCs w:val="17"/>
                <w:color w:val="auto"/>
              </w:rPr>
              <w:t>​100%</w:t>
            </w:r>
          </w:p>
        </w:tc>
        <w:tc>
          <w:tcPr>
            <w:tcW w:w="44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7"/>
                <w:szCs w:val="17"/>
                <w:color w:val="auto"/>
              </w:rPr>
              <w:t>875,000</w:t>
            </w:r>
          </w:p>
        </w:tc>
        <w:tc>
          <w:tcPr>
            <w:tcW w:w="100" w:type="dxa"/>
            <w:vAlign w:val="bottom"/>
            <w:tcBorders>
              <w:left w:val="single" w:sz="8" w:color="auto"/>
            </w:tcBorders>
            <w:shd w:val="clear" w:color="auto" w:fill="E5E5E5"/>
          </w:tcPr>
          <w:p>
            <w:pPr>
              <w:spacing w:after="0"/>
              <w:rPr>
                <w:sz w:val="21"/>
                <w:szCs w:val="21"/>
                <w:color w:val="auto"/>
              </w:rPr>
            </w:pPr>
          </w:p>
        </w:tc>
        <w:tc>
          <w:tcPr>
            <w:tcW w:w="1120" w:type="dxa"/>
            <w:vAlign w:val="bottom"/>
            <w:shd w:val="clear" w:color="auto" w:fill="E5E5E5"/>
          </w:tcPr>
          <w:p>
            <w:pPr>
              <w:ind w:left="340"/>
              <w:spacing w:after="0"/>
              <w:rPr>
                <w:sz w:val="20"/>
                <w:szCs w:val="20"/>
                <w:color w:val="auto"/>
              </w:rPr>
            </w:pPr>
            <w:r>
              <w:rPr>
                <w:rFonts w:ascii="Arial" w:cs="Arial" w:eastAsia="Arial" w:hAnsi="Arial"/>
                <w:sz w:val="17"/>
                <w:szCs w:val="17"/>
                <w:color w:val="auto"/>
              </w:rPr>
              <w:t>​ 108.8%</w:t>
            </w:r>
          </w:p>
        </w:tc>
        <w:tc>
          <w:tcPr>
            <w:tcW w:w="50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 ​ ​​$</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951,563</w:t>
            </w:r>
          </w:p>
        </w:tc>
        <w:tc>
          <w:tcPr>
            <w:tcW w:w="0" w:type="dxa"/>
            <w:vAlign w:val="bottom"/>
          </w:tcPr>
          <w:p>
            <w:pPr>
              <w:spacing w:after="0"/>
              <w:rPr>
                <w:sz w:val="1"/>
                <w:szCs w:val="1"/>
                <w:color w:val="auto"/>
              </w:rPr>
            </w:pPr>
          </w:p>
        </w:tc>
      </w:tr>
      <w:tr>
        <w:trPr>
          <w:trHeight w:val="261"/>
        </w:trPr>
        <w:tc>
          <w:tcPr>
            <w:tcW w:w="2580" w:type="dxa"/>
            <w:vAlign w:val="bottom"/>
          </w:tcPr>
          <w:p>
            <w:pPr>
              <w:spacing w:after="0"/>
              <w:rPr>
                <w:sz w:val="20"/>
                <w:szCs w:val="20"/>
                <w:color w:val="auto"/>
              </w:rPr>
            </w:pPr>
            <w:r>
              <w:rPr>
                <w:rFonts w:ascii="Arial" w:cs="Arial" w:eastAsia="Arial" w:hAnsi="Arial"/>
                <w:sz w:val="17"/>
                <w:szCs w:val="17"/>
                <w:color w:val="auto"/>
              </w:rPr>
              <w:t>Mr. Podbere</w:t>
            </w:r>
          </w:p>
        </w:tc>
        <w:tc>
          <w:tcPr>
            <w:tcW w:w="1720" w:type="dxa"/>
            <w:vAlign w:val="bottom"/>
          </w:tcPr>
          <w:p>
            <w:pPr>
              <w:ind w:left="1580"/>
              <w:spacing w:after="0"/>
              <w:rPr>
                <w:sz w:val="20"/>
                <w:szCs w:val="20"/>
                <w:color w:val="auto"/>
              </w:rPr>
            </w:pPr>
            <w:r>
              <w:rPr>
                <w:rFonts w:ascii="Arial" w:cs="Arial" w:eastAsia="Arial" w:hAnsi="Arial"/>
                <w:sz w:val="17"/>
                <w:szCs w:val="17"/>
                <w:color w:val="auto"/>
              </w:rPr>
              <w:t>​ ​</w:t>
            </w:r>
          </w:p>
        </w:tc>
        <w:tc>
          <w:tcPr>
            <w:tcW w:w="820" w:type="dxa"/>
            <w:vAlign w:val="bottom"/>
          </w:tcPr>
          <w:p>
            <w:pPr>
              <w:ind w:left="240"/>
              <w:spacing w:after="0"/>
              <w:rPr>
                <w:sz w:val="20"/>
                <w:szCs w:val="20"/>
                <w:color w:val="auto"/>
              </w:rPr>
            </w:pPr>
            <w:r>
              <w:rPr>
                <w:rFonts w:ascii="Arial" w:cs="Arial" w:eastAsia="Arial" w:hAnsi="Arial"/>
                <w:sz w:val="17"/>
                <w:szCs w:val="17"/>
                <w:color w:val="auto"/>
              </w:rPr>
              <w:t>​100%</w:t>
            </w:r>
          </w:p>
        </w:tc>
        <w:tc>
          <w:tcPr>
            <w:tcW w:w="440" w:type="dxa"/>
            <w:vAlign w:val="bottom"/>
          </w:tcPr>
          <w:p>
            <w:pPr>
              <w:ind w:left="40"/>
              <w:spacing w:after="0"/>
              <w:rPr>
                <w:sz w:val="20"/>
                <w:szCs w:val="20"/>
                <w:color w:val="auto"/>
              </w:rPr>
            </w:pPr>
            <w:r>
              <w:rPr>
                <w:rFonts w:ascii="Arial" w:cs="Arial" w:eastAsia="Arial" w:hAnsi="Arial"/>
                <w:sz w:val="17"/>
                <w:szCs w:val="17"/>
                <w:color w:val="auto"/>
              </w:rPr>
              <w:t>​​ ​​$</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700,000</w:t>
            </w:r>
          </w:p>
        </w:tc>
        <w:tc>
          <w:tcPr>
            <w:tcW w:w="100" w:type="dxa"/>
            <w:vAlign w:val="bottom"/>
            <w:tcBorders>
              <w:left w:val="single" w:sz="8" w:color="auto"/>
            </w:tcBorders>
          </w:tcPr>
          <w:p>
            <w:pPr>
              <w:spacing w:after="0"/>
              <w:rPr>
                <w:sz w:val="22"/>
                <w:szCs w:val="22"/>
                <w:color w:val="auto"/>
              </w:rPr>
            </w:pPr>
          </w:p>
        </w:tc>
        <w:tc>
          <w:tcPr>
            <w:tcW w:w="1120" w:type="dxa"/>
            <w:vAlign w:val="bottom"/>
          </w:tcPr>
          <w:p>
            <w:pPr>
              <w:ind w:left="340"/>
              <w:spacing w:after="0"/>
              <w:rPr>
                <w:sz w:val="20"/>
                <w:szCs w:val="20"/>
                <w:color w:val="auto"/>
              </w:rPr>
            </w:pPr>
            <w:r>
              <w:rPr>
                <w:rFonts w:ascii="Arial" w:cs="Arial" w:eastAsia="Arial" w:hAnsi="Arial"/>
                <w:sz w:val="17"/>
                <w:szCs w:val="17"/>
                <w:color w:val="auto"/>
              </w:rPr>
              <w:t>​ 108.8%</w:t>
            </w:r>
          </w:p>
        </w:tc>
        <w:tc>
          <w:tcPr>
            <w:tcW w:w="500" w:type="dxa"/>
            <w:vAlign w:val="bottom"/>
            <w:gridSpan w:val="2"/>
          </w:tcPr>
          <w:p>
            <w:pPr>
              <w:ind w:left="100"/>
              <w:spacing w:after="0"/>
              <w:rPr>
                <w:sz w:val="20"/>
                <w:szCs w:val="20"/>
                <w:color w:val="auto"/>
              </w:rPr>
            </w:pPr>
            <w:r>
              <w:rPr>
                <w:rFonts w:ascii="Arial" w:cs="Arial" w:eastAsia="Arial" w:hAnsi="Arial"/>
                <w:sz w:val="17"/>
                <w:szCs w:val="17"/>
                <w:color w:val="auto"/>
              </w:rPr>
              <w:t>​ ​ ​​$</w:t>
            </w:r>
          </w:p>
        </w:tc>
        <w:tc>
          <w:tcPr>
            <w:tcW w:w="720" w:type="dxa"/>
            <w:vAlign w:val="bottom"/>
          </w:tcPr>
          <w:p>
            <w:pPr>
              <w:jc w:val="right"/>
              <w:spacing w:after="0"/>
              <w:rPr>
                <w:sz w:val="20"/>
                <w:szCs w:val="20"/>
                <w:color w:val="auto"/>
              </w:rPr>
            </w:pPr>
            <w:r>
              <w:rPr>
                <w:rFonts w:ascii="Arial" w:cs="Arial" w:eastAsia="Arial" w:hAnsi="Arial"/>
                <w:sz w:val="17"/>
                <w:szCs w:val="17"/>
                <w:color w:val="auto"/>
              </w:rPr>
              <w:t>761,250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Long-Term Equity Incentive Compensation</w:t>
      </w:r>
    </w:p>
    <w:p>
      <w:pPr>
        <w:spacing w:after="0" w:line="109" w:lineRule="exact"/>
        <w:rPr>
          <w:sz w:val="20"/>
          <w:szCs w:val="20"/>
          <w:color w:val="auto"/>
        </w:rPr>
      </w:pPr>
    </w:p>
    <w:p>
      <w:pPr>
        <w:ind w:left="800" w:right="199"/>
        <w:spacing w:after="0" w:line="260" w:lineRule="auto"/>
        <w:rPr>
          <w:sz w:val="20"/>
          <w:szCs w:val="20"/>
          <w:color w:val="auto"/>
        </w:rPr>
      </w:pPr>
      <w:r>
        <w:rPr>
          <w:rFonts w:ascii="Arial" w:cs="Arial" w:eastAsia="Arial" w:hAnsi="Arial"/>
          <w:sz w:val="17"/>
          <w:szCs w:val="17"/>
          <w:color w:val="auto"/>
        </w:rPr>
        <w:t>Consistent with our philosophy of pay-for-performance, the majority of our NEOs’ annual compensation is provided in the form of long-term equity incentives that emphasizes long-term stockholder value creation and the retention of a strong executive leadership team through a balanced mix of PSUs and service-based RSUs. Mr. Kurtz also received TSR-based PSUs, as described below.</w:t>
      </w:r>
    </w:p>
    <w:p>
      <w:pPr>
        <w:spacing w:after="0" w:line="133" w:lineRule="exact"/>
        <w:rPr>
          <w:sz w:val="20"/>
          <w:szCs w:val="20"/>
          <w:color w:val="auto"/>
        </w:rPr>
      </w:pPr>
    </w:p>
    <w:p>
      <w:pPr>
        <w:ind w:left="800" w:right="119"/>
        <w:spacing w:after="0" w:line="255" w:lineRule="auto"/>
        <w:rPr>
          <w:sz w:val="20"/>
          <w:szCs w:val="20"/>
          <w:color w:val="auto"/>
        </w:rPr>
      </w:pPr>
      <w:r>
        <w:rPr>
          <w:rFonts w:ascii="Arial" w:cs="Arial" w:eastAsia="Arial" w:hAnsi="Arial"/>
          <w:sz w:val="17"/>
          <w:szCs w:val="17"/>
          <w:color w:val="auto"/>
        </w:rPr>
        <w:t>For fiscal 2026, the PSU performance metrics and weighting between PSUs and RSUs under our long-term equity incentive program remained the same (excluding Mr. Kurtz’s TSR PSUs) as we believe the current design aligns the interests of our NEOs with the interests of our stockholders in creating long-term value. The table below summarizes our fiscal 2026 long-term equity incentive compensation program design.</w:t>
      </w:r>
    </w:p>
    <w:tbl>
      <w:tblPr>
        <w:tblLayout w:type="fixed"/>
        <w:tblInd w:w="1140" w:type="dxa"/>
        <w:tblCellMar>
          <w:top w:w="0" w:type="dxa"/>
          <w:left w:w="0" w:type="dxa"/>
          <w:bottom w:w="0" w:type="dxa"/>
          <w:right w:w="0" w:type="dxa"/>
        </w:tblCellMar>
      </w:tblPr>
      <w:tr>
        <w:trPr>
          <w:trHeight w:val="329"/>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4940" w:type="dxa"/>
            <w:vAlign w:val="bottom"/>
            <w:gridSpan w:val="3"/>
          </w:tcPr>
          <w:p>
            <w:pPr>
              <w:ind w:left="1180"/>
              <w:spacing w:after="0"/>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Fiscal 2026 Elements / Metrics / Weightings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1"/>
        </w:trPr>
        <w:tc>
          <w:tcPr>
            <w:tcW w:w="3140" w:type="dxa"/>
            <w:vAlign w:val="bottom"/>
          </w:tcPr>
          <w:p>
            <w:pPr>
              <w:spacing w:after="0"/>
              <w:rPr>
                <w:sz w:val="20"/>
                <w:szCs w:val="20"/>
                <w:color w:val="auto"/>
              </w:rPr>
            </w:pPr>
            <w:r>
              <w:rPr>
                <w:rFonts w:ascii="Arial" w:cs="Arial" w:eastAsia="Arial" w:hAnsi="Arial"/>
                <w:sz w:val="17"/>
                <w:szCs w:val="17"/>
                <w:b w:val="1"/>
                <w:bCs w:val="1"/>
                <w:color w:val="auto"/>
              </w:rPr>
              <w:t>Performance Stock Unit</w:t>
            </w:r>
          </w:p>
        </w:tc>
        <w:tc>
          <w:tcPr>
            <w:tcW w:w="1280" w:type="dxa"/>
            <w:vAlign w:val="bottom"/>
          </w:tcPr>
          <w:p>
            <w:pPr>
              <w:ind w:left="1180"/>
              <w:spacing w:after="0"/>
              <w:rPr>
                <w:sz w:val="20"/>
                <w:szCs w:val="20"/>
                <w:color w:val="auto"/>
              </w:rPr>
            </w:pPr>
            <w:r>
              <w:rPr>
                <w:rFonts w:ascii="Arial" w:cs="Arial" w:eastAsia="Arial" w:hAnsi="Arial"/>
                <w:sz w:val="17"/>
                <w:szCs w:val="17"/>
                <w:color w:val="auto"/>
              </w:rPr>
              <w:t>​</w:t>
            </w:r>
          </w:p>
        </w:tc>
        <w:tc>
          <w:tcPr>
            <w:tcW w:w="2700" w:type="dxa"/>
            <w:vAlign w:val="bottom"/>
            <w:tcBorders>
              <w:top w:val="single" w:sz="8" w:color="D6515D"/>
            </w:tcBorders>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Revenue and Non-GAAP EPS </w:t>
            </w:r>
            <w:r>
              <w:rPr>
                <w:rFonts w:ascii="Arial" w:cs="Arial" w:eastAsia="Arial" w:hAnsi="Arial"/>
                <w:sz w:val="18"/>
                <w:szCs w:val="18"/>
                <w:color w:val="auto"/>
                <w:vertAlign w:val="superscript"/>
              </w:rPr>
              <w:t>(4)</w:t>
            </w:r>
          </w:p>
        </w:tc>
        <w:tc>
          <w:tcPr>
            <w:tcW w:w="960" w:type="dxa"/>
            <w:vAlign w:val="bottom"/>
            <w:tcBorders>
              <w:top w:val="single" w:sz="8" w:color="D6515D"/>
            </w:tcBorders>
          </w:tcPr>
          <w:p>
            <w:pPr>
              <w:ind w:left="120"/>
              <w:spacing w:after="0" w:line="231"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50%</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429"/>
        </w:trPr>
        <w:tc>
          <w:tcPr>
            <w:tcW w:w="3140" w:type="dxa"/>
            <w:vAlign w:val="bottom"/>
          </w:tcPr>
          <w:p>
            <w:pPr>
              <w:spacing w:after="0"/>
              <w:rPr>
                <w:sz w:val="20"/>
                <w:szCs w:val="20"/>
                <w:color w:val="auto"/>
              </w:rPr>
            </w:pPr>
            <w:r>
              <w:rPr>
                <w:rFonts w:ascii="Arial" w:cs="Arial" w:eastAsia="Arial" w:hAnsi="Arial"/>
                <w:sz w:val="17"/>
                <w:szCs w:val="17"/>
                <w:b w:val="1"/>
                <w:bCs w:val="1"/>
                <w:color w:val="auto"/>
              </w:rPr>
              <w:t>Service-based RSU</w:t>
            </w:r>
          </w:p>
        </w:tc>
        <w:tc>
          <w:tcPr>
            <w:tcW w:w="3980" w:type="dxa"/>
            <w:vAlign w:val="bottom"/>
            <w:gridSpan w:val="2"/>
          </w:tcPr>
          <w:p>
            <w:pPr>
              <w:ind w:left="1180"/>
              <w:spacing w:after="0"/>
              <w:rPr>
                <w:sz w:val="20"/>
                <w:szCs w:val="20"/>
                <w:color w:val="auto"/>
              </w:rPr>
            </w:pPr>
            <w:r>
              <w:rPr>
                <w:rFonts w:ascii="Arial" w:cs="Arial" w:eastAsia="Arial" w:hAnsi="Arial"/>
                <w:sz w:val="34"/>
                <w:szCs w:val="34"/>
                <w:color w:val="auto"/>
                <w:vertAlign w:val="superscript"/>
              </w:rPr>
              <w:t>​ ​</w:t>
            </w:r>
            <w:r>
              <w:rPr>
                <w:rFonts w:ascii="Arial" w:cs="Arial" w:eastAsia="Arial" w:hAnsi="Arial"/>
                <w:sz w:val="17"/>
                <w:szCs w:val="17"/>
                <w:color w:val="auto"/>
              </w:rPr>
              <w:t xml:space="preserve"> Four-year graded vesting</w:t>
            </w:r>
          </w:p>
        </w:tc>
        <w:tc>
          <w:tcPr>
            <w:tcW w:w="960" w:type="dxa"/>
            <w:vAlign w:val="bottom"/>
          </w:tcPr>
          <w:p>
            <w:pPr>
              <w:ind w:left="120"/>
              <w:spacing w:after="0"/>
              <w:rPr>
                <w:sz w:val="20"/>
                <w:szCs w:val="20"/>
                <w:color w:val="auto"/>
              </w:rPr>
            </w:pPr>
            <w:r>
              <w:rPr>
                <w:rFonts w:ascii="Arial" w:cs="Arial" w:eastAsia="Arial" w:hAnsi="Arial"/>
                <w:sz w:val="34"/>
                <w:szCs w:val="34"/>
                <w:color w:val="auto"/>
                <w:vertAlign w:val="superscript"/>
              </w:rPr>
              <w:t>​ ​</w:t>
            </w:r>
            <w:r>
              <w:rPr>
                <w:rFonts w:ascii="Arial" w:cs="Arial" w:eastAsia="Arial" w:hAnsi="Arial"/>
                <w:sz w:val="17"/>
                <w:szCs w:val="17"/>
                <w:color w:val="auto"/>
              </w:rPr>
              <w:t xml:space="preserve"> 50%</w:t>
            </w:r>
          </w:p>
        </w:tc>
        <w:tc>
          <w:tcPr>
            <w:tcW w:w="40" w:type="dxa"/>
            <w:vAlign w:val="bottom"/>
          </w:tcPr>
          <w:p>
            <w:pPr>
              <w:spacing w:after="0"/>
              <w:rPr>
                <w:sz w:val="20"/>
                <w:szCs w:val="20"/>
                <w:color w:val="auto"/>
              </w:rPr>
            </w:pPr>
            <w:r>
              <w:rPr>
                <w:rFonts w:ascii="Arial" w:cs="Arial" w:eastAsia="Arial" w:hAnsi="Arial"/>
                <w:sz w:val="17"/>
                <w:szCs w:val="17"/>
                <w:color w:val="auto"/>
              </w:rPr>
              <w:t>​</w:t>
            </w:r>
          </w:p>
        </w:tc>
      </w:tr>
    </w:tbl>
    <w:p>
      <w:pPr>
        <w:ind w:left="800"/>
        <w:spacing w:after="0"/>
        <w:rPr>
          <w:sz w:val="20"/>
          <w:szCs w:val="20"/>
          <w:color w:val="auto"/>
        </w:rPr>
      </w:pPr>
      <w:r>
        <w:rPr>
          <w:rFonts w:ascii="Arial" w:cs="Arial" w:eastAsia="Arial" w:hAnsi="Arial"/>
          <w:sz w:val="21"/>
          <w:szCs w:val="21"/>
          <w:i w:val="1"/>
          <w:iCs w:val="1"/>
          <w:color w:val="auto"/>
        </w:rPr>
        <w:t>Performance-Based Stock Units</w:t>
      </w:r>
    </w:p>
    <w:p>
      <w:pPr>
        <w:spacing w:after="0" w:line="88" w:lineRule="exact"/>
        <w:rPr>
          <w:sz w:val="20"/>
          <w:szCs w:val="20"/>
          <w:color w:val="auto"/>
        </w:rPr>
      </w:pPr>
    </w:p>
    <w:p>
      <w:pPr>
        <w:jc w:val="both"/>
        <w:ind w:left="800" w:right="439"/>
        <w:spacing w:after="0" w:line="298" w:lineRule="auto"/>
        <w:rPr>
          <w:sz w:val="20"/>
          <w:szCs w:val="20"/>
          <w:color w:val="auto"/>
        </w:rPr>
      </w:pPr>
      <w:r>
        <w:rPr>
          <w:rFonts w:ascii="Arial" w:cs="Arial" w:eastAsia="Arial" w:hAnsi="Arial"/>
          <w:sz w:val="17"/>
          <w:szCs w:val="17"/>
          <w:color w:val="auto"/>
        </w:rPr>
        <w:t>Equity awards with performance-based vesting are a substantial, at-risk component of our NEOs’ compensation that is tied to CrowdStrike’s business performance.</w:t>
      </w:r>
    </w:p>
    <w:p>
      <w:pPr>
        <w:spacing w:after="0" w:line="90" w:lineRule="exact"/>
        <w:rPr>
          <w:sz w:val="20"/>
          <w:szCs w:val="20"/>
          <w:color w:val="auto"/>
        </w:rPr>
      </w:pPr>
    </w:p>
    <w:p>
      <w:pPr>
        <w:ind w:left="800" w:right="119"/>
        <w:spacing w:after="0" w:line="210" w:lineRule="auto"/>
        <w:rPr>
          <w:sz w:val="20"/>
          <w:szCs w:val="20"/>
          <w:color w:val="auto"/>
        </w:rPr>
      </w:pPr>
      <w:r>
        <w:rPr>
          <w:rFonts w:ascii="Arial" w:cs="Arial" w:eastAsia="Arial" w:hAnsi="Arial"/>
          <w:sz w:val="17"/>
          <w:szCs w:val="17"/>
          <w:color w:val="auto"/>
        </w:rPr>
        <w:t xml:space="preserve">Under the fiscal 2026 PSU plan, the number of PSUs earned depends entirely on CrowdStrike’s actual achievement against two equally weighted metrics — Revenue and non-GAAP EPS </w:t>
      </w:r>
      <w:r>
        <w:rPr>
          <w:rFonts w:ascii="Arial" w:cs="Arial" w:eastAsia="Arial" w:hAnsi="Arial"/>
          <w:sz w:val="26"/>
          <w:szCs w:val="26"/>
          <w:color w:val="auto"/>
          <w:vertAlign w:val="superscript"/>
        </w:rPr>
        <w:t>(5)</w:t>
      </w:r>
      <w:r>
        <w:rPr>
          <w:rFonts w:ascii="Arial" w:cs="Arial" w:eastAsia="Arial" w:hAnsi="Arial"/>
          <w:sz w:val="17"/>
          <w:szCs w:val="17"/>
          <w:color w:val="auto"/>
        </w:rPr>
        <w:t xml:space="preserve"> measured over a one-year performance</w:t>
      </w:r>
    </w:p>
    <w:p>
      <w:pPr>
        <w:spacing w:after="0" w:line="2" w:lineRule="exact"/>
        <w:rPr>
          <w:sz w:val="20"/>
          <w:szCs w:val="20"/>
          <w:color w:val="auto"/>
        </w:rPr>
      </w:pPr>
    </w:p>
    <w:p>
      <w:pPr>
        <w:ind w:left="800" w:right="259"/>
        <w:spacing w:after="0" w:line="248" w:lineRule="auto"/>
        <w:rPr>
          <w:sz w:val="20"/>
          <w:szCs w:val="20"/>
          <w:color w:val="auto"/>
        </w:rPr>
      </w:pPr>
      <w:r>
        <w:rPr>
          <w:rFonts w:ascii="Arial" w:cs="Arial" w:eastAsia="Arial" w:hAnsi="Arial"/>
          <w:sz w:val="17"/>
          <w:szCs w:val="17"/>
          <w:color w:val="auto"/>
        </w:rPr>
        <w:t>period in accordance with the following table. For fiscal 2026, we increased the PSU threshold payout from 25% to 50% of target for both metrics to align with competitive market practices observed in our peer group analysis. This change creates more meaningful incentive value at threshold performance while our underlying revenue and non-GAAP EPS performance requirements remain equally rigorous. Each metric is assessed independently, with the payout for that portion of the award based on the satisfaction of the respective metric. Performance below the threshold level will result in zero payout for that portion of the award. The maximum payout is capped at 200% of target. The payout is determined using linear interpolation for performance levels between established attainment levels.</w:t>
      </w:r>
    </w:p>
    <w:p>
      <w:pPr>
        <w:spacing w:after="0" w:line="218"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188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ind w:left="144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6515D"/>
            </w:tcBorders>
          </w:tcPr>
          <w:p>
            <w:pPr>
              <w:ind w:left="16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6515D"/>
            </w:tcBorders>
          </w:tcPr>
          <w:p>
            <w:pPr>
              <w:ind w:left="80"/>
              <w:spacing w:after="0"/>
              <w:rPr>
                <w:sz w:val="20"/>
                <w:szCs w:val="20"/>
                <w:color w:val="auto"/>
              </w:rPr>
            </w:pPr>
            <w:r>
              <w:rPr>
                <w:rFonts w:ascii="Arial" w:cs="Arial" w:eastAsia="Arial" w:hAnsi="Arial"/>
                <w:sz w:val="14"/>
                <w:szCs w:val="14"/>
                <w:b w:val="1"/>
                <w:bCs w:val="1"/>
                <w:color w:val="auto"/>
              </w:rPr>
              <w:t>Revenue ($M)</w:t>
            </w:r>
          </w:p>
        </w:tc>
        <w:tc>
          <w:tcPr>
            <w:tcW w:w="300" w:type="dxa"/>
            <w:vAlign w:val="bottom"/>
            <w:tcBorders>
              <w:bottom w:val="single" w:sz="8" w:color="D6515D"/>
            </w:tcBorders>
          </w:tcPr>
          <w:p>
            <w:pPr>
              <w:ind w:left="1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ind w:left="1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6515D"/>
            </w:tcBorders>
          </w:tcPr>
          <w:p>
            <w:pPr>
              <w:ind w:left="40"/>
              <w:spacing w:after="0"/>
              <w:rPr>
                <w:sz w:val="20"/>
                <w:szCs w:val="20"/>
                <w:color w:val="auto"/>
              </w:rPr>
            </w:pPr>
            <w:r>
              <w:rPr>
                <w:rFonts w:ascii="Arial" w:cs="Arial" w:eastAsia="Arial" w:hAnsi="Arial"/>
                <w:sz w:val="14"/>
                <w:szCs w:val="14"/>
                <w:b w:val="1"/>
                <w:bCs w:val="1"/>
                <w:color w:val="auto"/>
              </w:rPr>
              <w:t>Non-GAAP EPS</w:t>
            </w:r>
          </w:p>
        </w:tc>
        <w:tc>
          <w:tcPr>
            <w:tcW w:w="260" w:type="dxa"/>
            <w:vAlign w:val="bottom"/>
            <w:tcBorders>
              <w:bottom w:val="single" w:sz="8" w:color="D6515D"/>
            </w:tcBorders>
          </w:tcPr>
          <w:p>
            <w:pPr>
              <w:ind w:left="8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ind w:left="14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6515D"/>
            </w:tcBorders>
          </w:tcPr>
          <w:p>
            <w:pPr>
              <w:ind w:left="460"/>
              <w:spacing w:after="0"/>
              <w:rPr>
                <w:sz w:val="20"/>
                <w:szCs w:val="20"/>
                <w:color w:val="auto"/>
              </w:rPr>
            </w:pPr>
            <w:r>
              <w:rPr>
                <w:rFonts w:ascii="Arial" w:cs="Arial" w:eastAsia="Arial" w:hAnsi="Arial"/>
                <w:sz w:val="14"/>
                <w:szCs w:val="14"/>
                <w:b w:val="1"/>
                <w:bCs w:val="1"/>
                <w:color w:val="auto"/>
              </w:rPr>
              <w:t>Payout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8"/>
        </w:trPr>
        <w:tc>
          <w:tcPr>
            <w:tcW w:w="1880" w:type="dxa"/>
            <w:vAlign w:val="bottom"/>
            <w:gridSpan w:val="2"/>
          </w:tcPr>
          <w:p>
            <w:pPr>
              <w:ind w:left="340"/>
              <w:spacing w:after="0"/>
              <w:rPr>
                <w:sz w:val="20"/>
                <w:szCs w:val="20"/>
                <w:color w:val="auto"/>
              </w:rPr>
            </w:pPr>
            <w:r>
              <w:rPr>
                <w:rFonts w:ascii="Arial" w:cs="Arial" w:eastAsia="Arial" w:hAnsi="Arial"/>
                <w:sz w:val="17"/>
                <w:szCs w:val="17"/>
                <w:color w:val="auto"/>
              </w:rPr>
              <w:t>Below Threshold</w:t>
            </w:r>
          </w:p>
        </w:tc>
        <w:tc>
          <w:tcPr>
            <w:tcW w:w="1600" w:type="dxa"/>
            <w:vAlign w:val="bottom"/>
          </w:tcPr>
          <w:p>
            <w:pPr>
              <w:ind w:left="1440"/>
              <w:spacing w:after="0"/>
              <w:rPr>
                <w:sz w:val="20"/>
                <w:szCs w:val="20"/>
                <w:color w:val="auto"/>
              </w:rPr>
            </w:pPr>
            <w:r>
              <w:rPr>
                <w:rFonts w:ascii="Arial" w:cs="Arial" w:eastAsia="Arial" w:hAnsi="Arial"/>
                <w:sz w:val="17"/>
                <w:szCs w:val="17"/>
                <w:color w:val="auto"/>
              </w:rPr>
              <w:t>​</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&lt; $4,743.5</w:t>
            </w:r>
          </w:p>
        </w:tc>
        <w:tc>
          <w:tcPr>
            <w:tcW w:w="300" w:type="dxa"/>
            <w:vAlign w:val="bottom"/>
          </w:tcPr>
          <w:p>
            <w:pPr>
              <w:ind w:left="120"/>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rPr>
              <w:t>&lt; $3.33</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13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340" w:type="dxa"/>
            <w:vAlign w:val="bottom"/>
          </w:tcPr>
          <w:p>
            <w:pPr>
              <w:spacing w:after="0"/>
              <w:rPr>
                <w:sz w:val="22"/>
                <w:szCs w:val="22"/>
                <w:color w:val="auto"/>
              </w:rPr>
            </w:pPr>
          </w:p>
        </w:tc>
        <w:tc>
          <w:tcPr>
            <w:tcW w:w="1540" w:type="dxa"/>
            <w:vAlign w:val="bottom"/>
            <w:shd w:val="clear" w:color="auto" w:fill="E5E5E5"/>
          </w:tcPr>
          <w:p>
            <w:pPr>
              <w:spacing w:after="0"/>
              <w:rPr>
                <w:sz w:val="20"/>
                <w:szCs w:val="20"/>
                <w:color w:val="auto"/>
              </w:rPr>
            </w:pPr>
            <w:r>
              <w:rPr>
                <w:rFonts w:ascii="Arial" w:cs="Arial" w:eastAsia="Arial" w:hAnsi="Arial"/>
                <w:sz w:val="17"/>
                <w:szCs w:val="17"/>
                <w:color w:val="auto"/>
              </w:rPr>
              <w:t>Threshold</w:t>
            </w:r>
          </w:p>
        </w:tc>
        <w:tc>
          <w:tcPr>
            <w:tcW w:w="1600" w:type="dxa"/>
            <w:vAlign w:val="bottom"/>
            <w:shd w:val="clear" w:color="auto" w:fill="E5E5E5"/>
          </w:tcPr>
          <w:p>
            <w:pPr>
              <w:ind w:left="1440"/>
              <w:spacing w:after="0"/>
              <w:rPr>
                <w:sz w:val="20"/>
                <w:szCs w:val="20"/>
                <w:color w:val="auto"/>
              </w:rPr>
            </w:pPr>
            <w:r>
              <w:rPr>
                <w:rFonts w:ascii="Arial" w:cs="Arial" w:eastAsia="Arial" w:hAnsi="Arial"/>
                <w:sz w:val="17"/>
                <w:szCs w:val="17"/>
                <w:color w:val="auto"/>
              </w:rPr>
              <w:t>​</w:t>
            </w:r>
          </w:p>
        </w:tc>
        <w:tc>
          <w:tcPr>
            <w:tcW w:w="300" w:type="dxa"/>
            <w:vAlign w:val="bottom"/>
            <w:shd w:val="clear" w:color="auto" w:fill="E5E5E5"/>
          </w:tcPr>
          <w:p>
            <w:pPr>
              <w:ind w:lef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92"/>
              </w:rPr>
              <w:t>   $4,743.5</w:t>
            </w:r>
          </w:p>
        </w:tc>
        <w:tc>
          <w:tcPr>
            <w:tcW w:w="30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89"/>
              </w:rPr>
              <w:t>   $3.33</w:t>
            </w:r>
          </w:p>
        </w:tc>
        <w:tc>
          <w:tcPr>
            <w:tcW w:w="26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50%</w:t>
            </w:r>
          </w:p>
        </w:tc>
        <w:tc>
          <w:tcPr>
            <w:tcW w:w="40" w:type="dxa"/>
            <w:vAlign w:val="bottom"/>
            <w:tcBorders>
              <w:left w:val="single" w:sz="8" w:color="E5E5E5"/>
            </w:tcBorders>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1880" w:type="dxa"/>
            <w:vAlign w:val="bottom"/>
            <w:gridSpan w:val="2"/>
          </w:tcPr>
          <w:p>
            <w:pPr>
              <w:ind w:left="340"/>
              <w:spacing w:after="0"/>
              <w:rPr>
                <w:sz w:val="20"/>
                <w:szCs w:val="20"/>
                <w:color w:val="auto"/>
              </w:rPr>
            </w:pPr>
            <w:r>
              <w:rPr>
                <w:rFonts w:ascii="Arial" w:cs="Arial" w:eastAsia="Arial" w:hAnsi="Arial"/>
                <w:sz w:val="17"/>
                <w:szCs w:val="17"/>
                <w:color w:val="auto"/>
              </w:rPr>
              <w:t>Target</w:t>
            </w:r>
          </w:p>
        </w:tc>
        <w:tc>
          <w:tcPr>
            <w:tcW w:w="1600" w:type="dxa"/>
            <w:vAlign w:val="bottom"/>
          </w:tcPr>
          <w:p>
            <w:pPr>
              <w:ind w:left="1440"/>
              <w:spacing w:after="0"/>
              <w:rPr>
                <w:sz w:val="20"/>
                <w:szCs w:val="20"/>
                <w:color w:val="auto"/>
              </w:rPr>
            </w:pPr>
            <w:r>
              <w:rPr>
                <w:rFonts w:ascii="Arial" w:cs="Arial" w:eastAsia="Arial" w:hAnsi="Arial"/>
                <w:sz w:val="17"/>
                <w:szCs w:val="17"/>
                <w:color w:val="auto"/>
              </w:rPr>
              <w:t>​</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   $4,774.5</w:t>
            </w:r>
          </w:p>
        </w:tc>
        <w:tc>
          <w:tcPr>
            <w:tcW w:w="300" w:type="dxa"/>
            <w:vAlign w:val="bottom"/>
          </w:tcPr>
          <w:p>
            <w:pPr>
              <w:ind w:left="120"/>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w w:val="89"/>
              </w:rPr>
              <w:t>   $3.39</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1340" w:type="dxa"/>
            <w:vAlign w:val="bottom"/>
          </w:tcPr>
          <w:p>
            <w:pPr>
              <w:jc w:val="center"/>
              <w:spacing w:after="0"/>
              <w:rPr>
                <w:sz w:val="20"/>
                <w:szCs w:val="20"/>
                <w:color w:val="auto"/>
              </w:rPr>
            </w:pPr>
            <w:r>
              <w:rPr>
                <w:rFonts w:ascii="Arial" w:cs="Arial" w:eastAsia="Arial" w:hAnsi="Arial"/>
                <w:sz w:val="17"/>
                <w:szCs w:val="17"/>
                <w:color w:val="auto"/>
              </w:rPr>
              <w:t>100%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340" w:type="dxa"/>
            <w:vAlign w:val="bottom"/>
          </w:tcPr>
          <w:p>
            <w:pPr>
              <w:spacing w:after="0"/>
              <w:rPr>
                <w:sz w:val="23"/>
                <w:szCs w:val="23"/>
                <w:color w:val="auto"/>
              </w:rPr>
            </w:pPr>
          </w:p>
        </w:tc>
        <w:tc>
          <w:tcPr>
            <w:tcW w:w="1540" w:type="dxa"/>
            <w:vAlign w:val="bottom"/>
            <w:shd w:val="clear" w:color="auto" w:fill="E5E5E5"/>
          </w:tcPr>
          <w:p>
            <w:pPr>
              <w:spacing w:after="0"/>
              <w:rPr>
                <w:sz w:val="20"/>
                <w:szCs w:val="20"/>
                <w:color w:val="auto"/>
              </w:rPr>
            </w:pPr>
            <w:r>
              <w:rPr>
                <w:rFonts w:ascii="Arial" w:cs="Arial" w:eastAsia="Arial" w:hAnsi="Arial"/>
                <w:sz w:val="17"/>
                <w:szCs w:val="17"/>
                <w:color w:val="auto"/>
              </w:rPr>
              <w:t>Max</w:t>
            </w:r>
          </w:p>
        </w:tc>
        <w:tc>
          <w:tcPr>
            <w:tcW w:w="1600" w:type="dxa"/>
            <w:vAlign w:val="bottom"/>
            <w:shd w:val="clear" w:color="auto" w:fill="E5E5E5"/>
          </w:tcPr>
          <w:p>
            <w:pPr>
              <w:ind w:left="1440"/>
              <w:spacing w:after="0"/>
              <w:rPr>
                <w:sz w:val="20"/>
                <w:szCs w:val="20"/>
                <w:color w:val="auto"/>
              </w:rPr>
            </w:pPr>
            <w:r>
              <w:rPr>
                <w:rFonts w:ascii="Arial" w:cs="Arial" w:eastAsia="Arial" w:hAnsi="Arial"/>
                <w:sz w:val="17"/>
                <w:szCs w:val="17"/>
                <w:color w:val="auto"/>
              </w:rPr>
              <w:t>​</w:t>
            </w:r>
          </w:p>
        </w:tc>
        <w:tc>
          <w:tcPr>
            <w:tcW w:w="300" w:type="dxa"/>
            <w:vAlign w:val="bottom"/>
            <w:shd w:val="clear" w:color="auto" w:fill="E5E5E5"/>
          </w:tcPr>
          <w:p>
            <w:pPr>
              <w:ind w:lef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92"/>
              </w:rPr>
              <w:t>   $4,805.5</w:t>
            </w:r>
          </w:p>
        </w:tc>
        <w:tc>
          <w:tcPr>
            <w:tcW w:w="30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E5E5E5"/>
          </w:tcPr>
          <w:p>
            <w:pPr>
              <w:jc w:val="center"/>
              <w:spacing w:after="0"/>
              <w:rPr>
                <w:sz w:val="20"/>
                <w:szCs w:val="20"/>
                <w:color w:val="auto"/>
              </w:rPr>
            </w:pPr>
            <w:r>
              <w:rPr>
                <w:rFonts w:ascii="Arial" w:cs="Arial" w:eastAsia="Arial" w:hAnsi="Arial"/>
                <w:sz w:val="17"/>
                <w:szCs w:val="17"/>
                <w:color w:val="auto"/>
                <w:w w:val="89"/>
              </w:rPr>
              <w:t>   $3.45</w:t>
            </w:r>
          </w:p>
        </w:tc>
        <w:tc>
          <w:tcPr>
            <w:tcW w:w="26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200%</w:t>
            </w:r>
          </w:p>
        </w:tc>
        <w:tc>
          <w:tcPr>
            <w:tcW w:w="40" w:type="dxa"/>
            <w:vAlign w:val="bottom"/>
            <w:tcBorders>
              <w:left w:val="single" w:sz="8" w:color="E5E5E5"/>
            </w:tcBorders>
          </w:tcPr>
          <w:p>
            <w:pPr>
              <w:jc w:val="right"/>
              <w:spacing w:after="0"/>
              <w:rPr>
                <w:sz w:val="20"/>
                <w:szCs w:val="20"/>
                <w:color w:val="auto"/>
              </w:rPr>
            </w:pPr>
            <w:r>
              <w:rPr>
                <w:rFonts w:ascii="Arial" w:cs="Arial" w:eastAsia="Arial" w:hAnsi="Arial"/>
                <w:sz w:val="17"/>
                <w:szCs w:val="17"/>
                <w:color w:val="auto"/>
              </w:rPr>
              <w:t>​</w:t>
            </w:r>
          </w:p>
        </w:tc>
      </w:tr>
      <w:tr>
        <w:trPr>
          <w:trHeight w:val="278"/>
        </w:trPr>
        <w:tc>
          <w:tcPr>
            <w:tcW w:w="1880" w:type="dxa"/>
            <w:vAlign w:val="bottom"/>
            <w:gridSpan w:val="2"/>
          </w:tcPr>
          <w:p>
            <w:pPr>
              <w:ind w:left="340"/>
              <w:spacing w:after="0"/>
              <w:rPr>
                <w:sz w:val="20"/>
                <w:szCs w:val="20"/>
                <w:color w:val="auto"/>
              </w:rPr>
            </w:pPr>
            <w:r>
              <w:rPr>
                <w:rFonts w:ascii="Arial" w:cs="Arial" w:eastAsia="Arial" w:hAnsi="Arial"/>
                <w:sz w:val="17"/>
                <w:szCs w:val="17"/>
                <w:color w:val="auto"/>
              </w:rPr>
              <w:t>Above Max</w:t>
            </w:r>
          </w:p>
        </w:tc>
        <w:tc>
          <w:tcPr>
            <w:tcW w:w="1600" w:type="dxa"/>
            <w:vAlign w:val="bottom"/>
          </w:tcPr>
          <w:p>
            <w:pPr>
              <w:ind w:left="1440"/>
              <w:spacing w:after="0"/>
              <w:rPr>
                <w:sz w:val="20"/>
                <w:szCs w:val="20"/>
                <w:color w:val="auto"/>
              </w:rPr>
            </w:pPr>
            <w:r>
              <w:rPr>
                <w:rFonts w:ascii="Arial" w:cs="Arial" w:eastAsia="Arial" w:hAnsi="Arial"/>
                <w:sz w:val="17"/>
                <w:szCs w:val="17"/>
                <w:color w:val="auto"/>
              </w:rPr>
              <w:t>​</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tcPr>
          <w:p>
            <w:pPr>
              <w:jc w:val="center"/>
              <w:spacing w:after="0"/>
              <w:rPr>
                <w:sz w:val="20"/>
                <w:szCs w:val="20"/>
                <w:color w:val="auto"/>
              </w:rPr>
            </w:pPr>
            <w:r>
              <w:rPr>
                <w:rFonts w:ascii="Arial" w:cs="Arial" w:eastAsia="Arial" w:hAnsi="Arial"/>
                <w:sz w:val="17"/>
                <w:szCs w:val="17"/>
                <w:color w:val="auto"/>
              </w:rPr>
              <w:t>&gt; $4,805.5</w:t>
            </w:r>
          </w:p>
        </w:tc>
        <w:tc>
          <w:tcPr>
            <w:tcW w:w="300" w:type="dxa"/>
            <w:vAlign w:val="bottom"/>
          </w:tcPr>
          <w:p>
            <w:pPr>
              <w:ind w:left="120"/>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jc w:val="center"/>
              <w:spacing w:after="0"/>
              <w:rPr>
                <w:sz w:val="20"/>
                <w:szCs w:val="20"/>
                <w:color w:val="auto"/>
              </w:rPr>
            </w:pPr>
            <w:r>
              <w:rPr>
                <w:rFonts w:ascii="Arial" w:cs="Arial" w:eastAsia="Arial" w:hAnsi="Arial"/>
                <w:sz w:val="17"/>
                <w:szCs w:val="17"/>
                <w:color w:val="auto"/>
              </w:rPr>
              <w:t>&gt; $3.45</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Capped at 200%​</w:t>
            </w:r>
          </w:p>
        </w:tc>
      </w:tr>
      <w:tr>
        <w:trPr>
          <w:trHeight w:val="75"/>
        </w:trPr>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127" w:lineRule="exact"/>
        <w:rPr>
          <w:sz w:val="20"/>
          <w:szCs w:val="20"/>
          <w:color w:val="auto"/>
        </w:rPr>
      </w:pPr>
    </w:p>
    <w:p>
      <w:pPr>
        <w:ind w:left="1140" w:right="259" w:hanging="347"/>
        <w:spacing w:after="0" w:line="277" w:lineRule="auto"/>
        <w:tabs>
          <w:tab w:leader="none" w:pos="11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Non-GAAP EPS is defined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159" w:lineRule="exact"/>
        <w:rPr>
          <w:rFonts w:ascii="Arial" w:cs="Arial" w:eastAsia="Arial" w:hAnsi="Arial"/>
          <w:sz w:val="17"/>
          <w:szCs w:val="17"/>
          <w:color w:val="auto"/>
        </w:rPr>
      </w:pPr>
    </w:p>
    <w:p>
      <w:pPr>
        <w:ind w:left="1140" w:right="259" w:hanging="347"/>
        <w:spacing w:after="0" w:line="277" w:lineRule="auto"/>
        <w:tabs>
          <w:tab w:leader="none" w:pos="11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Non-GAAP EPS is defined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259"/>
        <w:spacing w:after="0" w:line="250" w:lineRule="auto"/>
        <w:rPr>
          <w:sz w:val="20"/>
          <w:szCs w:val="20"/>
          <w:color w:val="auto"/>
        </w:rPr>
      </w:pPr>
      <w:r>
        <w:rPr>
          <w:rFonts w:ascii="Arial" w:cs="Arial" w:eastAsia="Arial" w:hAnsi="Arial"/>
          <w:sz w:val="17"/>
          <w:szCs w:val="17"/>
          <w:color w:val="auto"/>
        </w:rPr>
        <w:t>In addition to performance requirements, the PSUs are subject to service-based vesting. Earned PSUs will vest as follows subject to the NEO’s continued employment with the Company through each applicable vesting date:</w:t>
      </w:r>
    </w:p>
    <w:p>
      <w:pPr>
        <w:spacing w:after="0" w:line="1" w:lineRule="exact"/>
        <w:rPr>
          <w:sz w:val="20"/>
          <w:szCs w:val="20"/>
          <w:color w:val="auto"/>
        </w:rPr>
      </w:pPr>
    </w:p>
    <w:p>
      <w:pPr>
        <w:ind w:left="800" w:right="239" w:hanging="7"/>
        <w:spacing w:after="0" w:line="279" w:lineRule="auto"/>
        <w:tabs>
          <w:tab w:leader="none" w:pos="998" w:val="left"/>
        </w:tabs>
        <w:numPr>
          <w:ilvl w:val="0"/>
          <w:numId w:val="64"/>
        </w:numPr>
        <w:rPr>
          <w:rFonts w:ascii="Arial" w:cs="Arial" w:eastAsia="Arial" w:hAnsi="Arial"/>
          <w:sz w:val="17"/>
          <w:szCs w:val="17"/>
          <w:color w:val="auto"/>
        </w:rPr>
      </w:pPr>
      <w:r>
        <w:rPr>
          <w:rFonts w:ascii="Arial" w:cs="Arial" w:eastAsia="Arial" w:hAnsi="Arial"/>
          <w:sz w:val="17"/>
          <w:szCs w:val="17"/>
          <w:color w:val="auto"/>
        </w:rPr>
        <w:t>25% of the Earned PSUs will vest upon the one-year anniversary of the applicable vesting commencement date and (ii) the remaining 75% of the Earned PSUs will vest in equal installments quarterly over the next three years.</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Service-Based RSUs</w:t>
      </w:r>
    </w:p>
    <w:p>
      <w:pPr>
        <w:spacing w:after="0" w:line="119" w:lineRule="exact"/>
        <w:rPr>
          <w:sz w:val="20"/>
          <w:szCs w:val="20"/>
          <w:color w:val="auto"/>
        </w:rPr>
      </w:pPr>
    </w:p>
    <w:p>
      <w:pPr>
        <w:ind w:left="800" w:right="179"/>
        <w:spacing w:after="0" w:line="255" w:lineRule="auto"/>
        <w:rPr>
          <w:sz w:val="20"/>
          <w:szCs w:val="20"/>
          <w:color w:val="auto"/>
        </w:rPr>
      </w:pPr>
      <w:r>
        <w:rPr>
          <w:rFonts w:ascii="Arial" w:cs="Arial" w:eastAsia="Arial" w:hAnsi="Arial"/>
          <w:sz w:val="17"/>
          <w:szCs w:val="17"/>
          <w:color w:val="auto"/>
        </w:rPr>
        <w:t>RSU awards with service-based vesting align the interests of our NEOs with the interests of our stockholders by promoting the stability and retention of high-performing executive team members over the longer term while directly linking NEO compensation to CrowdStrike’s stock performance. The RSUs generally vest over a four-year period in 16 equal quarterly installments, provided the NEO remains employed with the Company through each applicable vesting date.</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Fiscal 2026 Annual Equity Incentive Awards</w:t>
      </w:r>
    </w:p>
    <w:p>
      <w:pPr>
        <w:spacing w:after="0" w:line="119" w:lineRule="exact"/>
        <w:rPr>
          <w:sz w:val="20"/>
          <w:szCs w:val="20"/>
          <w:color w:val="auto"/>
        </w:rPr>
      </w:pPr>
    </w:p>
    <w:p>
      <w:pPr>
        <w:ind w:left="800" w:right="299"/>
        <w:spacing w:after="0" w:line="255" w:lineRule="auto"/>
        <w:rPr>
          <w:sz w:val="20"/>
          <w:szCs w:val="20"/>
          <w:color w:val="auto"/>
        </w:rPr>
      </w:pPr>
      <w:r>
        <w:rPr>
          <w:rFonts w:ascii="Arial" w:cs="Arial" w:eastAsia="Arial" w:hAnsi="Arial"/>
          <w:sz w:val="17"/>
          <w:szCs w:val="17"/>
          <w:color w:val="auto"/>
        </w:rPr>
        <w:t>Taking into consideration the factors described in the “Compensation Setting Process” section, the Compensation Committee recommended that the Board approve the following RSU and target PSU awards to our NEOs in fiscal 2026. The Board approved the awards with respect to the dollar amounts below, and the actual number of RSUs and target PSUs granted to each NEO was determined by reference to the average closing price of our common stock as reported on Nasdaq for each of the trading days in the month of March 2025.</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Fiscal 2026 Equity Incentive Awards — Annual Awards </w:t>
      </w:r>
      <w:r>
        <w:rPr>
          <w:rFonts w:ascii="Arial" w:cs="Arial" w:eastAsia="Arial" w:hAnsi="Arial"/>
          <w:sz w:val="29"/>
          <w:szCs w:val="29"/>
          <w:b w:val="1"/>
          <w:bCs w:val="1"/>
          <w:color w:val="auto"/>
          <w:vertAlign w:val="superscript"/>
        </w:rPr>
        <w:t>(1)</w:t>
      </w:r>
    </w:p>
    <w:p>
      <w:pPr>
        <w:spacing w:after="0" w:line="7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jc w:val="center"/>
              <w:ind w:right="105"/>
              <w:spacing w:after="0"/>
              <w:rPr>
                <w:sz w:val="20"/>
                <w:szCs w:val="20"/>
                <w:color w:val="auto"/>
              </w:rPr>
            </w:pPr>
            <w:r>
              <w:rPr>
                <w:rFonts w:ascii="Arial" w:cs="Arial" w:eastAsia="Arial" w:hAnsi="Arial"/>
                <w:sz w:val="14"/>
                <w:szCs w:val="14"/>
                <w:b w:val="1"/>
                <w:bCs w:val="1"/>
                <w:color w:val="auto"/>
              </w:rPr>
              <w:t>RSUs</w:t>
            </w:r>
          </w:p>
        </w:tc>
        <w:tc>
          <w:tcPr>
            <w:tcW w:w="118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8"/>
              </w:rPr>
              <w:t>Target PSUs</w:t>
            </w:r>
          </w:p>
        </w:tc>
        <w:tc>
          <w:tcPr>
            <w:tcW w:w="320" w:type="dxa"/>
            <w:vAlign w:val="bottom"/>
          </w:tcPr>
          <w:p>
            <w:pPr>
              <w:spacing w:after="0"/>
              <w:rPr>
                <w:sz w:val="14"/>
                <w:szCs w:val="14"/>
                <w:color w:val="auto"/>
              </w:rPr>
            </w:pPr>
          </w:p>
        </w:tc>
        <w:tc>
          <w:tcPr>
            <w:tcW w:w="84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Total</w:t>
            </w:r>
          </w:p>
        </w:tc>
      </w:tr>
      <w:tr>
        <w:trPr>
          <w:trHeight w:val="218"/>
        </w:trPr>
        <w:tc>
          <w:tcPr>
            <w:tcW w:w="314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tcBorders>
              <w:bottom w:val="single" w:sz="8" w:color="D6515D"/>
            </w:tcBorders>
          </w:tcPr>
          <w:p>
            <w:pPr>
              <w:ind w:left="216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6515D"/>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6515D"/>
            </w:tcBorders>
          </w:tcPr>
          <w:p>
            <w:pPr>
              <w:ind w:left="2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6515D"/>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6515D"/>
            </w:tcBorders>
          </w:tcPr>
          <w:p>
            <w:pPr>
              <w:ind w:left="2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6515D"/>
            </w:tcBorders>
          </w:tcPr>
          <w:p>
            <w:pPr>
              <w:jc w:val="right"/>
              <w:ind w:right="350"/>
              <w:spacing w:after="0"/>
              <w:rPr>
                <w:sz w:val="20"/>
                <w:szCs w:val="20"/>
                <w:color w:val="auto"/>
              </w:rPr>
            </w:pPr>
            <w:r>
              <w:rPr>
                <w:rFonts w:ascii="Arial" w:cs="Arial" w:eastAsia="Arial" w:hAnsi="Arial"/>
                <w:sz w:val="14"/>
                <w:szCs w:val="14"/>
                <w:b w:val="1"/>
                <w:bCs w:val="1"/>
                <w:color w:val="auto"/>
              </w:rPr>
              <w:t>($)</w:t>
            </w:r>
          </w:p>
        </w:tc>
      </w:tr>
      <w:tr>
        <w:trPr>
          <w:trHeight w:val="241"/>
        </w:trPr>
        <w:tc>
          <w:tcPr>
            <w:tcW w:w="3140" w:type="dxa"/>
            <w:vAlign w:val="bottom"/>
          </w:tcPr>
          <w:p>
            <w:pPr>
              <w:spacing w:after="0"/>
              <w:rPr>
                <w:sz w:val="20"/>
                <w:szCs w:val="20"/>
                <w:color w:val="auto"/>
              </w:rPr>
            </w:pPr>
            <w:r>
              <w:rPr>
                <w:rFonts w:ascii="Arial" w:cs="Arial" w:eastAsia="Arial" w:hAnsi="Arial"/>
                <w:sz w:val="17"/>
                <w:szCs w:val="17"/>
                <w:color w:val="auto"/>
              </w:rPr>
              <w:t>Mr. Kurtz</w:t>
            </w:r>
          </w:p>
        </w:tc>
        <w:tc>
          <w:tcPr>
            <w:tcW w:w="3300" w:type="dxa"/>
            <w:vAlign w:val="bottom"/>
            <w:gridSpan w:val="2"/>
          </w:tcPr>
          <w:p>
            <w:pPr>
              <w:ind w:left="2160"/>
              <w:spacing w:after="0"/>
              <w:rPr>
                <w:sz w:val="20"/>
                <w:szCs w:val="20"/>
                <w:color w:val="auto"/>
              </w:rPr>
            </w:pPr>
            <w:r>
              <w:rPr>
                <w:rFonts w:ascii="Arial" w:cs="Arial" w:eastAsia="Arial" w:hAnsi="Arial"/>
                <w:sz w:val="17"/>
                <w:szCs w:val="17"/>
                <w:color w:val="auto"/>
              </w:rPr>
              <w:t>​ ​​$25,000,000</w:t>
            </w:r>
          </w:p>
        </w:tc>
        <w:tc>
          <w:tcPr>
            <w:tcW w:w="1180" w:type="dxa"/>
            <w:vAlign w:val="bottom"/>
            <w:gridSpan w:val="2"/>
          </w:tcPr>
          <w:p>
            <w:pPr>
              <w:ind w:left="20"/>
              <w:spacing w:after="0"/>
              <w:rPr>
                <w:sz w:val="20"/>
                <w:szCs w:val="20"/>
                <w:color w:val="auto"/>
              </w:rPr>
            </w:pPr>
            <w:r>
              <w:rPr>
                <w:rFonts w:ascii="Arial" w:cs="Arial" w:eastAsia="Arial" w:hAnsi="Arial"/>
                <w:sz w:val="17"/>
                <w:szCs w:val="17"/>
                <w:color w:val="auto"/>
              </w:rPr>
              <w:t>​ ​​$25,000,000</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​​$50,000,000</w:t>
            </w:r>
          </w:p>
        </w:tc>
      </w:tr>
      <w:tr>
        <w:trPr>
          <w:trHeight w:val="248"/>
        </w:trPr>
        <w:tc>
          <w:tcPr>
            <w:tcW w:w="3140" w:type="dxa"/>
            <w:vAlign w:val="bottom"/>
            <w:shd w:val="clear" w:color="auto" w:fill="E5E5E5"/>
          </w:tcPr>
          <w:p>
            <w:pPr>
              <w:spacing w:after="0"/>
              <w:rPr>
                <w:sz w:val="20"/>
                <w:szCs w:val="20"/>
                <w:color w:val="auto"/>
              </w:rPr>
            </w:pPr>
            <w:r>
              <w:rPr>
                <w:rFonts w:ascii="Arial" w:cs="Arial" w:eastAsia="Arial" w:hAnsi="Arial"/>
                <w:sz w:val="17"/>
                <w:szCs w:val="17"/>
                <w:color w:val="auto"/>
              </w:rPr>
              <w:t>Mr. Sentonas</w:t>
            </w:r>
          </w:p>
        </w:tc>
        <w:tc>
          <w:tcPr>
            <w:tcW w:w="3300" w:type="dxa"/>
            <w:vAlign w:val="bottom"/>
            <w:gridSpan w:val="2"/>
            <w:shd w:val="clear" w:color="auto" w:fill="E5E5E5"/>
          </w:tcPr>
          <w:p>
            <w:pPr>
              <w:ind w:left="2160"/>
              <w:spacing w:after="0"/>
              <w:rPr>
                <w:sz w:val="20"/>
                <w:szCs w:val="20"/>
                <w:color w:val="auto"/>
              </w:rPr>
            </w:pPr>
            <w:r>
              <w:rPr>
                <w:rFonts w:ascii="Arial" w:cs="Arial" w:eastAsia="Arial" w:hAnsi="Arial"/>
                <w:sz w:val="17"/>
                <w:szCs w:val="17"/>
                <w:color w:val="auto"/>
              </w:rPr>
              <w:t>​ ​​$15,000,000</w:t>
            </w:r>
          </w:p>
        </w:tc>
        <w:tc>
          <w:tcPr>
            <w:tcW w:w="1180" w:type="dxa"/>
            <w:vAlign w:val="bottom"/>
            <w:gridSpan w:val="2"/>
            <w:shd w:val="clear" w:color="auto" w:fill="E5E5E5"/>
          </w:tcPr>
          <w:p>
            <w:pPr>
              <w:ind w:left="20"/>
              <w:spacing w:after="0"/>
              <w:rPr>
                <w:sz w:val="20"/>
                <w:szCs w:val="20"/>
                <w:color w:val="auto"/>
              </w:rPr>
            </w:pPr>
            <w:r>
              <w:rPr>
                <w:rFonts w:ascii="Arial" w:cs="Arial" w:eastAsia="Arial" w:hAnsi="Arial"/>
                <w:sz w:val="17"/>
                <w:szCs w:val="17"/>
                <w:color w:val="auto"/>
              </w:rPr>
              <w:t>​ ​​$15,000,000</w:t>
            </w:r>
          </w:p>
        </w:tc>
        <w:tc>
          <w:tcPr>
            <w:tcW w:w="1160" w:type="dxa"/>
            <w:vAlign w:val="bottom"/>
            <w:gridSpan w:val="2"/>
            <w:shd w:val="clear" w:color="auto" w:fill="E5E5E5"/>
          </w:tcPr>
          <w:p>
            <w:pPr>
              <w:ind w:left="20"/>
              <w:spacing w:after="0"/>
              <w:rPr>
                <w:sz w:val="20"/>
                <w:szCs w:val="20"/>
                <w:color w:val="auto"/>
              </w:rPr>
            </w:pPr>
            <w:r>
              <w:rPr>
                <w:rFonts w:ascii="Arial" w:cs="Arial" w:eastAsia="Arial" w:hAnsi="Arial"/>
                <w:sz w:val="17"/>
                <w:szCs w:val="17"/>
                <w:color w:val="auto"/>
              </w:rPr>
              <w:t>​ ​​$30,000,000</w:t>
            </w:r>
          </w:p>
        </w:tc>
      </w:tr>
      <w:tr>
        <w:trPr>
          <w:trHeight w:val="278"/>
        </w:trPr>
        <w:tc>
          <w:tcPr>
            <w:tcW w:w="3140" w:type="dxa"/>
            <w:vAlign w:val="bottom"/>
          </w:tcPr>
          <w:p>
            <w:pPr>
              <w:spacing w:after="0"/>
              <w:rPr>
                <w:sz w:val="20"/>
                <w:szCs w:val="20"/>
                <w:color w:val="auto"/>
              </w:rPr>
            </w:pPr>
            <w:r>
              <w:rPr>
                <w:rFonts w:ascii="Arial" w:cs="Arial" w:eastAsia="Arial" w:hAnsi="Arial"/>
                <w:sz w:val="17"/>
                <w:szCs w:val="17"/>
                <w:color w:val="auto"/>
              </w:rPr>
              <w:t>Mr. Podbere</w:t>
            </w:r>
          </w:p>
        </w:tc>
        <w:tc>
          <w:tcPr>
            <w:tcW w:w="2460" w:type="dxa"/>
            <w:vAlign w:val="bottom"/>
          </w:tcPr>
          <w:p>
            <w:pPr>
              <w:ind w:left="2160"/>
              <w:spacing w:after="0"/>
              <w:rPr>
                <w:sz w:val="20"/>
                <w:szCs w:val="20"/>
                <w:color w:val="auto"/>
              </w:rPr>
            </w:pPr>
            <w:r>
              <w:rPr>
                <w:rFonts w:ascii="Arial" w:cs="Arial" w:eastAsia="Arial" w:hAnsi="Arial"/>
                <w:sz w:val="17"/>
                <w:szCs w:val="17"/>
                <w:color w:val="auto"/>
              </w:rPr>
              <w:t>​ ​​$</w:t>
            </w:r>
          </w:p>
        </w:tc>
        <w:tc>
          <w:tcPr>
            <w:tcW w:w="840" w:type="dxa"/>
            <w:vAlign w:val="bottom"/>
          </w:tcPr>
          <w:p>
            <w:pPr>
              <w:jc w:val="right"/>
              <w:spacing w:after="0"/>
              <w:rPr>
                <w:sz w:val="20"/>
                <w:szCs w:val="20"/>
                <w:color w:val="auto"/>
              </w:rPr>
            </w:pPr>
            <w:r>
              <w:rPr>
                <w:rFonts w:ascii="Arial" w:cs="Arial" w:eastAsia="Arial" w:hAnsi="Arial"/>
                <w:sz w:val="17"/>
                <w:szCs w:val="17"/>
                <w:color w:val="auto"/>
              </w:rPr>
              <w:t>7,500,000</w:t>
            </w:r>
          </w:p>
        </w:tc>
        <w:tc>
          <w:tcPr>
            <w:tcW w:w="340" w:type="dxa"/>
            <w:vAlign w:val="bottom"/>
          </w:tcPr>
          <w:p>
            <w:pPr>
              <w:ind w:left="20"/>
              <w:spacing w:after="0"/>
              <w:rPr>
                <w:sz w:val="20"/>
                <w:szCs w:val="20"/>
                <w:color w:val="auto"/>
              </w:rPr>
            </w:pPr>
            <w:r>
              <w:rPr>
                <w:rFonts w:ascii="Arial" w:cs="Arial" w:eastAsia="Arial" w:hAnsi="Arial"/>
                <w:sz w:val="17"/>
                <w:szCs w:val="17"/>
                <w:color w:val="auto"/>
              </w:rPr>
              <w:t>​ ​​$</w:t>
            </w:r>
          </w:p>
        </w:tc>
        <w:tc>
          <w:tcPr>
            <w:tcW w:w="840" w:type="dxa"/>
            <w:vAlign w:val="bottom"/>
          </w:tcPr>
          <w:p>
            <w:pPr>
              <w:jc w:val="right"/>
              <w:spacing w:after="0"/>
              <w:rPr>
                <w:sz w:val="20"/>
                <w:szCs w:val="20"/>
                <w:color w:val="auto"/>
              </w:rPr>
            </w:pPr>
            <w:r>
              <w:rPr>
                <w:rFonts w:ascii="Arial" w:cs="Arial" w:eastAsia="Arial" w:hAnsi="Arial"/>
                <w:sz w:val="17"/>
                <w:szCs w:val="17"/>
                <w:color w:val="auto"/>
              </w:rPr>
              <w:t>7,500,000</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​​$15,000,000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121920</wp:posOffset>
            </wp:positionV>
            <wp:extent cx="11950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99" w:lineRule="exact"/>
        <w:rPr>
          <w:sz w:val="20"/>
          <w:szCs w:val="20"/>
          <w:color w:val="auto"/>
        </w:rPr>
      </w:pPr>
    </w:p>
    <w:p>
      <w:pPr>
        <w:ind w:left="1140" w:right="239" w:hanging="347"/>
        <w:spacing w:after="0" w:line="277" w:lineRule="auto"/>
        <w:tabs>
          <w:tab w:leader="none" w:pos="11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above amounts do not represent the actual economic value that may be realized by the NEOs. For more information on the equity incentive awards granted to the NEOs in fiscal 2026, please see the “Grants of Plan-Based Awards Table for Fiscal 2026” below.</w:t>
      </w:r>
    </w:p>
    <w:p>
      <w:pPr>
        <w:spacing w:after="0" w:line="146" w:lineRule="exact"/>
        <w:rPr>
          <w:rFonts w:ascii="Arial" w:cs="Arial" w:eastAsia="Arial" w:hAnsi="Arial"/>
          <w:sz w:val="17"/>
          <w:szCs w:val="17"/>
          <w:color w:val="auto"/>
        </w:rPr>
      </w:pPr>
    </w:p>
    <w:p>
      <w:pPr>
        <w:ind w:left="1140" w:right="579"/>
        <w:spacing w:after="0" w:line="298" w:lineRule="auto"/>
        <w:rPr>
          <w:rFonts w:ascii="Arial" w:cs="Arial" w:eastAsia="Arial" w:hAnsi="Arial"/>
          <w:sz w:val="17"/>
          <w:szCs w:val="17"/>
          <w:color w:val="auto"/>
        </w:rPr>
      </w:pPr>
      <w:r>
        <w:rPr>
          <w:rFonts w:ascii="Arial" w:cs="Arial" w:eastAsia="Arial" w:hAnsi="Arial"/>
          <w:sz w:val="17"/>
          <w:szCs w:val="17"/>
          <w:color w:val="auto"/>
        </w:rPr>
        <w:t>The table below shows the applicable fiscal 2026 PSU performance metrics and our achievement against them:</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300" w:type="dxa"/>
            <w:vAlign w:val="bottom"/>
            <w:tcBorders>
              <w:bottom w:val="single" w:sz="8" w:color="D6515D"/>
            </w:tcBorders>
          </w:tcPr>
          <w:p>
            <w:pPr>
              <w:spacing w:after="0"/>
              <w:rPr>
                <w:sz w:val="17"/>
                <w:szCs w:val="17"/>
                <w:color w:val="auto"/>
              </w:rPr>
            </w:pPr>
          </w:p>
        </w:tc>
        <w:tc>
          <w:tcPr>
            <w:tcW w:w="940" w:type="dxa"/>
            <w:vAlign w:val="bottom"/>
            <w:tcBorders>
              <w:bottom w:val="single" w:sz="8" w:color="D6515D"/>
            </w:tcBorders>
          </w:tcPr>
          <w:p>
            <w:pPr>
              <w:spacing w:after="0"/>
              <w:rPr>
                <w:sz w:val="17"/>
                <w:szCs w:val="17"/>
                <w:color w:val="auto"/>
              </w:rPr>
            </w:pPr>
          </w:p>
        </w:tc>
        <w:tc>
          <w:tcPr>
            <w:tcW w:w="3520" w:type="dxa"/>
            <w:vAlign w:val="bottom"/>
            <w:tcBorders>
              <w:bottom w:val="single" w:sz="8" w:color="D6515D"/>
            </w:tcBorders>
            <w:gridSpan w:val="2"/>
          </w:tcPr>
          <w:p>
            <w:pPr>
              <w:ind w:left="740"/>
              <w:spacing w:after="0"/>
              <w:rPr>
                <w:sz w:val="20"/>
                <w:szCs w:val="20"/>
                <w:color w:val="auto"/>
              </w:rPr>
            </w:pPr>
            <w:r>
              <w:rPr>
                <w:rFonts w:ascii="Arial" w:cs="Arial" w:eastAsia="Arial" w:hAnsi="Arial"/>
                <w:sz w:val="14"/>
                <w:szCs w:val="14"/>
                <w:b w:val="1"/>
                <w:bCs w:val="1"/>
                <w:color w:val="auto"/>
              </w:rPr>
              <w:t>Fiscal 2026 PSU Targets and Results</w:t>
            </w:r>
          </w:p>
        </w:tc>
        <w:tc>
          <w:tcPr>
            <w:tcW w:w="300" w:type="dxa"/>
            <w:vAlign w:val="bottom"/>
            <w:tcBorders>
              <w:bottom w:val="single" w:sz="8" w:color="D6515D"/>
            </w:tcBorders>
          </w:tcPr>
          <w:p>
            <w:pPr>
              <w:spacing w:after="0"/>
              <w:rPr>
                <w:sz w:val="17"/>
                <w:szCs w:val="17"/>
                <w:color w:val="auto"/>
              </w:rPr>
            </w:pPr>
          </w:p>
        </w:tc>
        <w:tc>
          <w:tcPr>
            <w:tcW w:w="2360" w:type="dxa"/>
            <w:vAlign w:val="bottom"/>
            <w:tcBorders>
              <w:bottom w:val="single" w:sz="8" w:color="D6515D"/>
            </w:tcBorders>
          </w:tcPr>
          <w:p>
            <w:pPr>
              <w:spacing w:after="0"/>
              <w:rPr>
                <w:sz w:val="17"/>
                <w:szCs w:val="17"/>
                <w:color w:val="auto"/>
              </w:rPr>
            </w:pPr>
          </w:p>
        </w:tc>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Metric</w:t>
            </w:r>
          </w:p>
        </w:tc>
        <w:tc>
          <w:tcPr>
            <w:tcW w:w="940" w:type="dxa"/>
            <w:vAlign w:val="bottom"/>
          </w:tcPr>
          <w:p>
            <w:pPr>
              <w:spacing w:after="0"/>
              <w:rPr>
                <w:sz w:val="18"/>
                <w:szCs w:val="18"/>
                <w:color w:val="auto"/>
              </w:rPr>
            </w:pPr>
          </w:p>
        </w:tc>
        <w:tc>
          <w:tcPr>
            <w:tcW w:w="128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Min — Max Achievement Range</w:t>
            </w:r>
          </w:p>
        </w:tc>
        <w:tc>
          <w:tcPr>
            <w:tcW w:w="30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2360" w:type="dxa"/>
            <w:vAlign w:val="bottom"/>
          </w:tcPr>
          <w:p>
            <w:pPr>
              <w:ind w:left="80"/>
              <w:spacing w:after="0"/>
              <w:rPr>
                <w:sz w:val="20"/>
                <w:szCs w:val="20"/>
                <w:color w:val="auto"/>
              </w:rPr>
            </w:pPr>
            <w:r>
              <w:rPr>
                <w:rFonts w:ascii="Arial" w:cs="Arial" w:eastAsia="Arial" w:hAnsi="Arial"/>
                <w:sz w:val="14"/>
                <w:szCs w:val="14"/>
                <w:b w:val="1"/>
                <w:bCs w:val="1"/>
                <w:color w:val="auto"/>
              </w:rPr>
              <w:t>Fiscal 2026 Actual Achievement</w:t>
            </w:r>
          </w:p>
        </w:tc>
        <w:tc>
          <w:tcPr>
            <w:tcW w:w="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300" w:type="dxa"/>
            <w:vAlign w:val="bottom"/>
            <w:shd w:val="clear" w:color="auto" w:fill="D6515D"/>
          </w:tcPr>
          <w:p>
            <w:pPr>
              <w:spacing w:after="0"/>
              <w:rPr>
                <w:sz w:val="2"/>
                <w:szCs w:val="2"/>
                <w:color w:val="auto"/>
              </w:rPr>
            </w:pPr>
          </w:p>
        </w:tc>
        <w:tc>
          <w:tcPr>
            <w:tcW w:w="940" w:type="dxa"/>
            <w:vAlign w:val="bottom"/>
            <w:shd w:val="clear" w:color="auto" w:fill="D6515D"/>
          </w:tcPr>
          <w:p>
            <w:pPr>
              <w:spacing w:after="0"/>
              <w:rPr>
                <w:sz w:val="2"/>
                <w:szCs w:val="2"/>
                <w:color w:val="auto"/>
              </w:rPr>
            </w:pPr>
          </w:p>
        </w:tc>
        <w:tc>
          <w:tcPr>
            <w:tcW w:w="1280" w:type="dxa"/>
            <w:vAlign w:val="bottom"/>
            <w:shd w:val="clear" w:color="auto" w:fill="D6515D"/>
          </w:tcPr>
          <w:p>
            <w:pPr>
              <w:spacing w:after="0"/>
              <w:rPr>
                <w:sz w:val="2"/>
                <w:szCs w:val="2"/>
                <w:color w:val="auto"/>
              </w:rPr>
            </w:pPr>
          </w:p>
        </w:tc>
        <w:tc>
          <w:tcPr>
            <w:tcW w:w="2240" w:type="dxa"/>
            <w:vAlign w:val="bottom"/>
            <w:shd w:val="clear" w:color="auto" w:fill="D6515D"/>
          </w:tcPr>
          <w:p>
            <w:pPr>
              <w:spacing w:after="0"/>
              <w:rPr>
                <w:sz w:val="2"/>
                <w:szCs w:val="2"/>
                <w:color w:val="auto"/>
              </w:rPr>
            </w:pPr>
          </w:p>
        </w:tc>
        <w:tc>
          <w:tcPr>
            <w:tcW w:w="300" w:type="dxa"/>
            <w:vAlign w:val="bottom"/>
            <w:shd w:val="clear" w:color="auto" w:fill="D6515D"/>
          </w:tcPr>
          <w:p>
            <w:pPr>
              <w:spacing w:after="0"/>
              <w:rPr>
                <w:sz w:val="2"/>
                <w:szCs w:val="2"/>
                <w:color w:val="auto"/>
              </w:rPr>
            </w:pPr>
          </w:p>
        </w:tc>
        <w:tc>
          <w:tcPr>
            <w:tcW w:w="2360" w:type="dxa"/>
            <w:vAlign w:val="bottom"/>
            <w:shd w:val="clear" w:color="auto" w:fill="D6515D"/>
          </w:tcPr>
          <w:p>
            <w:pPr>
              <w:spacing w:after="0"/>
              <w:rPr>
                <w:sz w:val="2"/>
                <w:szCs w:val="2"/>
                <w:color w:val="auto"/>
              </w:rPr>
            </w:pPr>
          </w:p>
        </w:tc>
        <w:tc>
          <w:tcPr>
            <w:tcW w:w="40" w:type="dxa"/>
            <w:vAlign w:val="bottom"/>
            <w:gridSpan w:val="2"/>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209"/>
        </w:trPr>
        <w:tc>
          <w:tcPr>
            <w:tcW w:w="1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Non-GAAP EPS</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280" w:type="dxa"/>
            <w:vAlign w:val="bottom"/>
          </w:tcPr>
          <w:p>
            <w:pPr>
              <w:ind w:left="1100"/>
              <w:spacing w:after="0"/>
              <w:rPr>
                <w:sz w:val="20"/>
                <w:szCs w:val="20"/>
                <w:color w:val="auto"/>
              </w:rPr>
            </w:pPr>
            <w:r>
              <w:rPr>
                <w:rFonts w:ascii="Arial" w:cs="Arial" w:eastAsia="Arial" w:hAnsi="Arial"/>
                <w:sz w:val="17"/>
                <w:szCs w:val="17"/>
                <w:color w:val="auto"/>
              </w:rPr>
              <w:t>​​</w:t>
            </w:r>
          </w:p>
        </w:tc>
        <w:tc>
          <w:tcPr>
            <w:tcW w:w="2240" w:type="dxa"/>
            <w:vAlign w:val="bottom"/>
            <w:vMerge w:val="restart"/>
          </w:tcPr>
          <w:p>
            <w:pPr>
              <w:jc w:val="center"/>
              <w:spacing w:after="0"/>
              <w:rPr>
                <w:sz w:val="20"/>
                <w:szCs w:val="20"/>
                <w:color w:val="auto"/>
              </w:rPr>
            </w:pPr>
            <w:r>
              <w:rPr>
                <w:rFonts w:ascii="Arial" w:cs="Arial" w:eastAsia="Arial" w:hAnsi="Arial"/>
                <w:sz w:val="17"/>
                <w:szCs w:val="17"/>
                <w:color w:val="auto"/>
              </w:rPr>
              <w:t>$3.33 – $3.45</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360" w:type="dxa"/>
            <w:vAlign w:val="bottom"/>
            <w:vMerge w:val="restart"/>
          </w:tcPr>
          <w:p>
            <w:pPr>
              <w:jc w:val="center"/>
              <w:ind w:right="17"/>
              <w:spacing w:after="0"/>
              <w:rPr>
                <w:sz w:val="20"/>
                <w:szCs w:val="20"/>
                <w:color w:val="auto"/>
              </w:rPr>
            </w:pPr>
            <w:r>
              <w:rPr>
                <w:rFonts w:ascii="Arial" w:cs="Arial" w:eastAsia="Arial" w:hAnsi="Arial"/>
                <w:sz w:val="17"/>
                <w:szCs w:val="17"/>
                <w:color w:val="auto"/>
                <w:w w:val="98"/>
              </w:rPr>
              <w:t>$3.75</w:t>
            </w:r>
          </w:p>
        </w:tc>
        <w:tc>
          <w:tcPr>
            <w:tcW w:w="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3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7"/>
                <w:szCs w:val="17"/>
                <w:b w:val="1"/>
                <w:bCs w:val="1"/>
                <w:color w:val="auto"/>
              </w:rPr>
              <w:t>Revenue ($M)</w:t>
            </w:r>
          </w:p>
        </w:tc>
        <w:tc>
          <w:tcPr>
            <w:tcW w:w="940" w:type="dxa"/>
            <w:vAlign w:val="bottom"/>
            <w:tcBorders>
              <w:bottom w:val="single" w:sz="8" w:color="E5E5E5"/>
            </w:tcBorders>
            <w:shd w:val="clear" w:color="auto" w:fill="E5E5E5"/>
          </w:tcPr>
          <w:p>
            <w:pPr>
              <w:spacing w:after="0"/>
              <w:rPr>
                <w:sz w:val="19"/>
                <w:szCs w:val="19"/>
                <w:color w:val="auto"/>
              </w:rPr>
            </w:pPr>
          </w:p>
        </w:tc>
        <w:tc>
          <w:tcPr>
            <w:tcW w:w="1280" w:type="dxa"/>
            <w:vAlign w:val="bottom"/>
            <w:tcBorders>
              <w:bottom w:val="single" w:sz="8" w:color="E5E5E5"/>
            </w:tcBorders>
            <w:shd w:val="clear" w:color="auto" w:fill="E5E5E5"/>
          </w:tcPr>
          <w:p>
            <w:pPr>
              <w:ind w:left="1100"/>
              <w:spacing w:after="0"/>
              <w:rPr>
                <w:sz w:val="20"/>
                <w:szCs w:val="20"/>
                <w:color w:val="auto"/>
              </w:rPr>
            </w:pPr>
            <w:r>
              <w:rPr>
                <w:rFonts w:ascii="Arial" w:cs="Arial" w:eastAsia="Arial" w:hAnsi="Arial"/>
                <w:sz w:val="17"/>
                <w:szCs w:val="17"/>
                <w:color w:val="auto"/>
              </w:rPr>
              <w:t>​​</w:t>
            </w:r>
          </w:p>
        </w:tc>
        <w:tc>
          <w:tcPr>
            <w:tcW w:w="22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7"/>
                <w:szCs w:val="17"/>
                <w:color w:val="auto"/>
              </w:rPr>
              <w:t>$4,743.5 – $4,805.5</w:t>
            </w:r>
          </w:p>
        </w:tc>
        <w:tc>
          <w:tcPr>
            <w:tcW w:w="30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7"/>
                <w:szCs w:val="17"/>
                <w:color w:val="auto"/>
              </w:rPr>
              <w:t>​​</w:t>
            </w:r>
          </w:p>
        </w:tc>
        <w:tc>
          <w:tcPr>
            <w:tcW w:w="2360" w:type="dxa"/>
            <w:vAlign w:val="bottom"/>
            <w:tcBorders>
              <w:bottom w:val="single" w:sz="8" w:color="E5E5E5"/>
            </w:tcBorders>
            <w:shd w:val="clear" w:color="auto" w:fill="E5E5E5"/>
          </w:tcPr>
          <w:p>
            <w:pPr>
              <w:jc w:val="center"/>
              <w:ind w:right="17"/>
              <w:spacing w:after="0"/>
              <w:rPr>
                <w:sz w:val="20"/>
                <w:szCs w:val="20"/>
                <w:color w:val="auto"/>
              </w:rPr>
            </w:pPr>
            <w:r>
              <w:rPr>
                <w:rFonts w:ascii="Arial" w:cs="Arial" w:eastAsia="Arial" w:hAnsi="Arial"/>
                <w:sz w:val="17"/>
                <w:szCs w:val="17"/>
                <w:color w:val="auto"/>
                <w:w w:val="99"/>
              </w:rPr>
              <w:t>$4,812.1</w:t>
            </w:r>
          </w:p>
        </w:tc>
        <w:tc>
          <w:tcPr>
            <w:tcW w:w="20" w:type="dxa"/>
            <w:vAlign w:val="bottom"/>
            <w:tcBorders>
              <w:bottom w:val="single" w:sz="8" w:color="E5E5E5"/>
            </w:tcBorders>
            <w:shd w:val="clear" w:color="auto" w:fill="E5E5E5"/>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Overall payout as a percentage of target </w:t>
            </w:r>
            <w:r>
              <w:rPr>
                <w:rFonts w:ascii="Arial" w:cs="Arial" w:eastAsia="Arial" w:hAnsi="Arial"/>
                <w:sz w:val="34"/>
                <w:szCs w:val="34"/>
                <w:color w:val="auto"/>
                <w:vertAlign w:val="superscript"/>
              </w:rPr>
              <w:t>​​</w:t>
            </w:r>
          </w:p>
        </w:tc>
        <w:tc>
          <w:tcPr>
            <w:tcW w:w="224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2360" w:type="dxa"/>
            <w:vAlign w:val="bottom"/>
          </w:tcPr>
          <w:p>
            <w:pPr>
              <w:jc w:val="center"/>
              <w:ind w:right="17"/>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24"/>
                <w:szCs w:val="24"/>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2540</wp:posOffset>
            </wp:positionV>
            <wp:extent cx="11950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98" w:lineRule="exact"/>
        <w:rPr>
          <w:sz w:val="20"/>
          <w:szCs w:val="20"/>
          <w:color w:val="auto"/>
        </w:rPr>
      </w:pPr>
    </w:p>
    <w:p>
      <w:pPr>
        <w:jc w:val="both"/>
        <w:ind w:left="1500" w:right="359" w:hanging="359"/>
        <w:spacing w:after="0" w:line="277" w:lineRule="auto"/>
        <w:tabs>
          <w:tab w:leader="none" w:pos="1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Non-GAAP EPS is defined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TSR PSUs</w:t>
      </w:r>
    </w:p>
    <w:p>
      <w:pPr>
        <w:spacing w:after="0" w:line="128" w:lineRule="exact"/>
        <w:rPr>
          <w:sz w:val="20"/>
          <w:szCs w:val="20"/>
          <w:color w:val="auto"/>
        </w:rPr>
      </w:pPr>
    </w:p>
    <w:p>
      <w:pPr>
        <w:ind w:left="800" w:right="339"/>
        <w:spacing w:after="0" w:line="260" w:lineRule="auto"/>
        <w:rPr>
          <w:sz w:val="20"/>
          <w:szCs w:val="20"/>
          <w:color w:val="auto"/>
        </w:rPr>
      </w:pPr>
      <w:r>
        <w:rPr>
          <w:rFonts w:ascii="Arial" w:cs="Arial" w:eastAsia="Arial" w:hAnsi="Arial"/>
          <w:sz w:val="17"/>
          <w:szCs w:val="17"/>
          <w:color w:val="auto"/>
        </w:rPr>
        <w:t>In December 2025, the independent members of the Board, upon the recommendation of the Compensation Committee, approved a special performance-based equity award to Mr. Kurtz consisting of 300,000 target PSUs (the “TSR PSUs”) that vest based solely on the Company’s TSR relative to the constituents of the S&amp;P 500 Index over a three-year performance period.</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Board approved the TSR PSUs to achieve two key objectives:</w:t>
      </w:r>
    </w:p>
    <w:p>
      <w:pPr>
        <w:spacing w:after="0" w:line="221" w:lineRule="exact"/>
        <w:rPr>
          <w:sz w:val="20"/>
          <w:szCs w:val="20"/>
          <w:color w:val="auto"/>
        </w:rPr>
      </w:pPr>
    </w:p>
    <w:p>
      <w:pPr>
        <w:ind w:left="1500" w:right="239" w:hanging="359"/>
        <w:spacing w:after="0" w:line="267" w:lineRule="auto"/>
        <w:tabs>
          <w:tab w:leader="none" w:pos="15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Align Mr. Kurtz’s interests directly with long-term stockholder returns. </w:t>
      </w:r>
      <w:r>
        <w:rPr>
          <w:rFonts w:ascii="Arial" w:cs="Arial" w:eastAsia="Arial" w:hAnsi="Arial"/>
          <w:sz w:val="17"/>
          <w:szCs w:val="17"/>
          <w:color w:val="auto"/>
        </w:rPr>
        <w:t>The award is 100% at-risk</w:t>
      </w:r>
      <w:r>
        <w:rPr>
          <w:rFonts w:ascii="Arial" w:cs="Arial" w:eastAsia="Arial" w:hAnsi="Arial"/>
          <w:sz w:val="17"/>
          <w:szCs w:val="17"/>
          <w:b w:val="1"/>
          <w:bCs w:val="1"/>
          <w:color w:val="auto"/>
        </w:rPr>
        <w:t xml:space="preserve"> </w:t>
      </w:r>
      <w:r>
        <w:rPr>
          <w:rFonts w:ascii="Arial" w:cs="Arial" w:eastAsia="Arial" w:hAnsi="Arial"/>
          <w:sz w:val="17"/>
          <w:szCs w:val="17"/>
          <w:color w:val="auto"/>
        </w:rPr>
        <w:t>and performance based, with payout tied exclusively to CrowdStrike’s three-year stock price performance relative to that of the constituents of the S&amp;P 500. This ensures that Mr. Kurtz earns above target compensation only if CrowdStrike delivers superior returns to stockholders compared to the broader market.</w:t>
      </w:r>
    </w:p>
    <w:p>
      <w:pPr>
        <w:spacing w:after="0" w:line="154" w:lineRule="exact"/>
        <w:rPr>
          <w:rFonts w:ascii="Arial" w:cs="Arial" w:eastAsia="Arial" w:hAnsi="Arial"/>
          <w:sz w:val="17"/>
          <w:szCs w:val="17"/>
          <w:color w:val="auto"/>
        </w:rPr>
      </w:pPr>
    </w:p>
    <w:p>
      <w:pPr>
        <w:ind w:left="1500" w:right="419" w:hanging="359"/>
        <w:spacing w:after="0" w:line="271" w:lineRule="auto"/>
        <w:tabs>
          <w:tab w:leader="none" w:pos="15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Provide a compelling retention incentive </w:t>
      </w:r>
      <w:r>
        <w:rPr>
          <w:rFonts w:ascii="Arial" w:cs="Arial" w:eastAsia="Arial" w:hAnsi="Arial"/>
          <w:sz w:val="17"/>
          <w:szCs w:val="17"/>
          <w:color w:val="auto"/>
        </w:rPr>
        <w:t>as CrowdStrike executes its multi-year strategy to achieve</w:t>
      </w:r>
      <w:r>
        <w:rPr>
          <w:rFonts w:ascii="Arial" w:cs="Arial" w:eastAsia="Arial" w:hAnsi="Arial"/>
          <w:sz w:val="17"/>
          <w:szCs w:val="17"/>
          <w:b w:val="1"/>
          <w:bCs w:val="1"/>
          <w:color w:val="auto"/>
        </w:rPr>
        <w:t xml:space="preserve"> </w:t>
      </w:r>
      <w:r>
        <w:rPr>
          <w:rFonts w:ascii="Arial" w:cs="Arial" w:eastAsia="Arial" w:hAnsi="Arial"/>
          <w:sz w:val="17"/>
          <w:szCs w:val="17"/>
          <w:color w:val="auto"/>
        </w:rPr>
        <w:t>$20 billion in ending ARR. Given the competitive market for proven cybersecurity executives and the external opportunities available to Mr. Kurtz, this award provides strong incentive for his continued leadership while maintaining strict performance requirements.</w:t>
      </w:r>
    </w:p>
    <w:p>
      <w:pPr>
        <w:sectPr>
          <w:pgSz w:w="11900" w:h="16838" w:orient="portrait"/>
          <w:cols w:equalWidth="0" w:num="1">
            <w:col w:w="9699"/>
          </w:cols>
          <w:pgMar w:left="760" w:top="94" w:right="1440" w:bottom="1440" w:gutter="0" w:footer="0" w:header="0"/>
        </w:sectPr>
      </w:pPr>
    </w:p>
    <w:p>
      <w:pPr>
        <w:spacing w:after="0" w:line="381"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2"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Mr. Kurtz’s Performance and Leadership</w:t>
      </w:r>
    </w:p>
    <w:p>
      <w:pPr>
        <w:spacing w:after="0" w:line="106" w:lineRule="exact"/>
        <w:rPr>
          <w:sz w:val="20"/>
          <w:szCs w:val="20"/>
          <w:color w:val="auto"/>
        </w:rPr>
      </w:pPr>
    </w:p>
    <w:p>
      <w:pPr>
        <w:ind w:left="800" w:right="319"/>
        <w:spacing w:after="0" w:line="260" w:lineRule="auto"/>
        <w:rPr>
          <w:sz w:val="20"/>
          <w:szCs w:val="20"/>
          <w:color w:val="auto"/>
        </w:rPr>
      </w:pPr>
      <w:r>
        <w:rPr>
          <w:rFonts w:ascii="Arial" w:cs="Arial" w:eastAsia="Arial" w:hAnsi="Arial"/>
          <w:sz w:val="17"/>
          <w:szCs w:val="17"/>
          <w:color w:val="auto"/>
        </w:rPr>
        <w:t>Since founding CrowdStrike and leading its June 2019 IPO, Mr. Kurtz has played a critical role in driving the Company’s strong financial and operational performance, including as described in the “Business Performance Highlights” section of this Proxy Statement. Under his leadership, the Company has achieved substantial revenue and ARR growth while improving profitability and delivering significant stockholder value creation.</w:t>
      </w:r>
    </w:p>
    <w:p>
      <w:pPr>
        <w:spacing w:after="0" w:line="172" w:lineRule="exact"/>
        <w:rPr>
          <w:sz w:val="20"/>
          <w:szCs w:val="20"/>
          <w:color w:val="auto"/>
        </w:rPr>
      </w:pPr>
    </w:p>
    <w:p>
      <w:pPr>
        <w:ind w:left="800" w:right="119"/>
        <w:spacing w:after="0" w:line="255" w:lineRule="auto"/>
        <w:rPr>
          <w:sz w:val="20"/>
          <w:szCs w:val="20"/>
          <w:color w:val="auto"/>
        </w:rPr>
      </w:pPr>
      <w:r>
        <w:rPr>
          <w:rFonts w:ascii="Arial" w:cs="Arial" w:eastAsia="Arial" w:hAnsi="Arial"/>
          <w:sz w:val="17"/>
          <w:szCs w:val="17"/>
          <w:color w:val="auto"/>
        </w:rPr>
        <w:t>The success of Mr. Kurtz’s August 2021 multi-year PSU award further demonstrates his execution capability. All four stock price hurdles from that award have been achieved, progressing from $282 at grant through the final hurdle at $490, representing over 73% stock price appreciation in just over four years. As the performance targets from this 2021 award have been achieved, the Board determined a new long-term retention mechanism was essential to ensure Mr. Kurtz remains focused on executing the Company’s multi-year strategic vision.</w:t>
      </w:r>
    </w:p>
    <w:p>
      <w:pPr>
        <w:spacing w:after="0" w:line="164" w:lineRule="exact"/>
        <w:rPr>
          <w:sz w:val="20"/>
          <w:szCs w:val="20"/>
          <w:color w:val="auto"/>
        </w:rPr>
      </w:pPr>
    </w:p>
    <w:p>
      <w:pPr>
        <w:ind w:left="800" w:right="619"/>
        <w:spacing w:after="0" w:line="298" w:lineRule="auto"/>
        <w:rPr>
          <w:sz w:val="20"/>
          <w:szCs w:val="20"/>
          <w:color w:val="auto"/>
        </w:rPr>
      </w:pPr>
      <w:r>
        <w:rPr>
          <w:rFonts w:ascii="Arial" w:cs="Arial" w:eastAsia="Arial" w:hAnsi="Arial"/>
          <w:sz w:val="17"/>
          <w:szCs w:val="17"/>
          <w:color w:val="auto"/>
        </w:rPr>
        <w:t>The Board believes Mr. Kurtz’s combination of technical expertise, strategic vision and proven execution track record positions him to drive the Company towards its $20 billion ending ARR objective.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CEO TSR PSU Award Overview</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TSR PSUs are structured to promote complete alignment with stockholder return.</w:t>
      </w:r>
    </w:p>
    <w:p>
      <w:pPr>
        <w:spacing w:after="0" w:line="223" w:lineRule="exact"/>
        <w:rPr>
          <w:sz w:val="20"/>
          <w:szCs w:val="20"/>
          <w:color w:val="auto"/>
        </w:rPr>
      </w:pPr>
    </w:p>
    <w:p>
      <w:pPr>
        <w:ind w:left="800" w:right="259"/>
        <w:spacing w:after="0" w:line="259" w:lineRule="auto"/>
        <w:rPr>
          <w:sz w:val="20"/>
          <w:szCs w:val="20"/>
          <w:color w:val="auto"/>
        </w:rPr>
      </w:pPr>
      <w:r>
        <w:rPr>
          <w:rFonts w:ascii="Arial" w:cs="Arial" w:eastAsia="Arial" w:hAnsi="Arial"/>
          <w:sz w:val="17"/>
          <w:szCs w:val="17"/>
          <w:color w:val="auto"/>
        </w:rPr>
        <w:t>The award uses relative TSR rather than absolute stock price targets. This relative performance structure rewards the Company’s distinctive value creation and competitive execution rather than stock price appreciation that may stem from general market conditions. This approach rewards superior returns to stockholders regardless of overall market direction and aligns executive compensation with stockholder return. The three-year performance period reinforces a focus on sustained outperformance rather than short-term stock price fluctuations.</w:t>
      </w:r>
    </w:p>
    <w:p>
      <w:pPr>
        <w:spacing w:after="0" w:line="161" w:lineRule="exact"/>
        <w:rPr>
          <w:sz w:val="20"/>
          <w:szCs w:val="20"/>
          <w:color w:val="auto"/>
        </w:rPr>
      </w:pPr>
    </w:p>
    <w:p>
      <w:pPr>
        <w:ind w:left="800" w:right="139"/>
        <w:spacing w:after="0" w:line="253" w:lineRule="auto"/>
        <w:rPr>
          <w:sz w:val="20"/>
          <w:szCs w:val="20"/>
          <w:color w:val="auto"/>
        </w:rPr>
      </w:pPr>
      <w:r>
        <w:rPr>
          <w:rFonts w:ascii="Arial" w:cs="Arial" w:eastAsia="Arial" w:hAnsi="Arial"/>
          <w:sz w:val="17"/>
          <w:szCs w:val="17"/>
          <w:color w:val="auto"/>
        </w:rPr>
        <w:t>The TSR PSUs may be earned based on the Company’s TSR relative to the TSR of the companies comprising the S&amp;P 500 Index over a three-year performance period beginning on December 22, 2025 and ending on December 22, 2028 (the “Performance Period”). The award is structured with a target of 300,000 PSUs, with the actual number of PSUs which may be earned ranging from 50% (assuming threshold achievement) to 200% (based on maximum achievement) of the target number of PSUs subject to the award, based on the Company’s TSR percentile ranking during the Performance Period, with linear interpolation between performance levels, as set forth in the award agreement.</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Mr. Kurtz will receive no payout if CrowdStrike’s relative TSR performance falls below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of the S&amp;P</w:t>
      </w:r>
    </w:p>
    <w:p>
      <w:pPr>
        <w:ind w:left="800" w:right="179" w:hanging="7"/>
        <w:spacing w:after="0" w:line="263" w:lineRule="auto"/>
        <w:tabs>
          <w:tab w:leader="none" w:pos="118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200% maximum cap limits upside while appropriately rewarding exceptional performance that significantly exceeds stockholder expectations.</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220"/>
        </w:trPr>
        <w:tc>
          <w:tcPr>
            <w:tcW w:w="2180" w:type="dxa"/>
            <w:vAlign w:val="bottom"/>
            <w:tcBorders>
              <w:bottom w:val="single" w:sz="8" w:color="D6515D"/>
            </w:tcBorders>
          </w:tcPr>
          <w:p>
            <w:pPr>
              <w:spacing w:after="0"/>
              <w:rPr>
                <w:sz w:val="20"/>
                <w:szCs w:val="20"/>
                <w:color w:val="auto"/>
              </w:rPr>
            </w:pPr>
            <w:r>
              <w:rPr>
                <w:rFonts w:ascii="Arial" w:cs="Arial" w:eastAsia="Arial" w:hAnsi="Arial"/>
                <w:sz w:val="16"/>
                <w:szCs w:val="16"/>
                <w:b w:val="1"/>
                <w:bCs w:val="1"/>
                <w:color w:val="auto"/>
              </w:rPr>
              <w:t>Element</w:t>
            </w:r>
          </w:p>
        </w:tc>
        <w:tc>
          <w:tcPr>
            <w:tcW w:w="6600" w:type="dxa"/>
            <w:vAlign w:val="bottom"/>
            <w:tcBorders>
              <w:bottom w:val="single" w:sz="8" w:color="D6515D"/>
            </w:tcBorders>
          </w:tcPr>
          <w:p>
            <w:pPr>
              <w:ind w:left="540"/>
              <w:spacing w:after="0"/>
              <w:rPr>
                <w:sz w:val="20"/>
                <w:szCs w:val="20"/>
                <w:color w:val="auto"/>
              </w:rPr>
            </w:pPr>
            <w:r>
              <w:rPr>
                <w:rFonts w:ascii="Arial" w:cs="Arial" w:eastAsia="Arial" w:hAnsi="Arial"/>
                <w:sz w:val="16"/>
                <w:szCs w:val="16"/>
                <w:b w:val="1"/>
                <w:bCs w:val="1"/>
                <w:color w:val="auto"/>
              </w:rPr>
              <w:t>Details</w:t>
            </w:r>
          </w:p>
        </w:tc>
      </w:tr>
      <w:tr>
        <w:trPr>
          <w:trHeight w:val="257"/>
        </w:trPr>
        <w:tc>
          <w:tcPr>
            <w:tcW w:w="2180" w:type="dxa"/>
            <w:vAlign w:val="bottom"/>
          </w:tcPr>
          <w:p>
            <w:pPr>
              <w:spacing w:after="0"/>
              <w:rPr>
                <w:sz w:val="20"/>
                <w:szCs w:val="20"/>
                <w:color w:val="auto"/>
              </w:rPr>
            </w:pPr>
            <w:r>
              <w:rPr>
                <w:rFonts w:ascii="Arial" w:cs="Arial" w:eastAsia="Arial" w:hAnsi="Arial"/>
                <w:sz w:val="17"/>
                <w:szCs w:val="17"/>
                <w:b w:val="1"/>
                <w:bCs w:val="1"/>
                <w:color w:val="auto"/>
              </w:rPr>
              <w:t>Award Type</w:t>
            </w:r>
          </w:p>
        </w:tc>
        <w:tc>
          <w:tcPr>
            <w:tcW w:w="6600" w:type="dxa"/>
            <w:vAlign w:val="bottom"/>
          </w:tcPr>
          <w:p>
            <w:pPr>
              <w:ind w:left="540"/>
              <w:spacing w:after="0"/>
              <w:rPr>
                <w:sz w:val="20"/>
                <w:szCs w:val="20"/>
                <w:color w:val="auto"/>
              </w:rPr>
            </w:pPr>
            <w:r>
              <w:rPr>
                <w:rFonts w:ascii="Arial" w:cs="Arial" w:eastAsia="Arial" w:hAnsi="Arial"/>
                <w:sz w:val="17"/>
                <w:szCs w:val="17"/>
                <w:color w:val="auto"/>
              </w:rPr>
              <w:t>Performance Stock Units tied to relative Total Stockholder Return</w:t>
            </w:r>
          </w:p>
        </w:tc>
      </w:tr>
      <w:tr>
        <w:trPr>
          <w:trHeight w:val="262"/>
        </w:trPr>
        <w:tc>
          <w:tcPr>
            <w:tcW w:w="218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Grant Date</w:t>
            </w:r>
          </w:p>
        </w:tc>
        <w:tc>
          <w:tcPr>
            <w:tcW w:w="6600" w:type="dxa"/>
            <w:vAlign w:val="bottom"/>
            <w:shd w:val="clear" w:color="auto" w:fill="E5E5E5"/>
          </w:tcPr>
          <w:p>
            <w:pPr>
              <w:ind w:left="540"/>
              <w:spacing w:after="0"/>
              <w:rPr>
                <w:sz w:val="20"/>
                <w:szCs w:val="20"/>
                <w:color w:val="auto"/>
              </w:rPr>
            </w:pPr>
            <w:r>
              <w:rPr>
                <w:rFonts w:ascii="Arial" w:cs="Arial" w:eastAsia="Arial" w:hAnsi="Arial"/>
                <w:sz w:val="17"/>
                <w:szCs w:val="17"/>
                <w:color w:val="auto"/>
              </w:rPr>
              <w:t>December 22, 2025</w:t>
            </w:r>
          </w:p>
        </w:tc>
      </w:tr>
      <w:tr>
        <w:trPr>
          <w:trHeight w:val="261"/>
        </w:trPr>
        <w:tc>
          <w:tcPr>
            <w:tcW w:w="2180" w:type="dxa"/>
            <w:vAlign w:val="bottom"/>
          </w:tcPr>
          <w:p>
            <w:pPr>
              <w:spacing w:after="0"/>
              <w:rPr>
                <w:sz w:val="20"/>
                <w:szCs w:val="20"/>
                <w:color w:val="auto"/>
              </w:rPr>
            </w:pPr>
            <w:r>
              <w:rPr>
                <w:rFonts w:ascii="Arial" w:cs="Arial" w:eastAsia="Arial" w:hAnsi="Arial"/>
                <w:sz w:val="17"/>
                <w:szCs w:val="17"/>
                <w:b w:val="1"/>
                <w:bCs w:val="1"/>
                <w:color w:val="auto"/>
              </w:rPr>
              <w:t>Target Shares</w:t>
            </w:r>
          </w:p>
        </w:tc>
        <w:tc>
          <w:tcPr>
            <w:tcW w:w="6600" w:type="dxa"/>
            <w:vAlign w:val="bottom"/>
          </w:tcPr>
          <w:p>
            <w:pPr>
              <w:ind w:left="540"/>
              <w:spacing w:after="0"/>
              <w:rPr>
                <w:sz w:val="20"/>
                <w:szCs w:val="20"/>
                <w:color w:val="auto"/>
              </w:rPr>
            </w:pPr>
            <w:r>
              <w:rPr>
                <w:rFonts w:ascii="Arial" w:cs="Arial" w:eastAsia="Arial" w:hAnsi="Arial"/>
                <w:sz w:val="17"/>
                <w:szCs w:val="17"/>
                <w:color w:val="auto"/>
              </w:rPr>
              <w:t>300,000 PSUs</w:t>
            </w:r>
          </w:p>
        </w:tc>
      </w:tr>
      <w:tr>
        <w:trPr>
          <w:trHeight w:val="262"/>
        </w:trPr>
        <w:tc>
          <w:tcPr>
            <w:tcW w:w="218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Payout Range</w:t>
            </w:r>
          </w:p>
        </w:tc>
        <w:tc>
          <w:tcPr>
            <w:tcW w:w="6600" w:type="dxa"/>
            <w:vAlign w:val="bottom"/>
            <w:shd w:val="clear" w:color="auto" w:fill="E5E5E5"/>
          </w:tcPr>
          <w:p>
            <w:pPr>
              <w:ind w:left="540"/>
              <w:spacing w:after="0"/>
              <w:rPr>
                <w:sz w:val="20"/>
                <w:szCs w:val="20"/>
                <w:color w:val="auto"/>
              </w:rPr>
            </w:pPr>
            <w:r>
              <w:rPr>
                <w:rFonts w:ascii="Arial" w:cs="Arial" w:eastAsia="Arial" w:hAnsi="Arial"/>
                <w:sz w:val="17"/>
                <w:szCs w:val="17"/>
                <w:color w:val="auto"/>
              </w:rPr>
              <w:t>0% – 200% of target (0 – 600,000 shares)</w:t>
            </w:r>
          </w:p>
        </w:tc>
      </w:tr>
      <w:tr>
        <w:trPr>
          <w:trHeight w:val="261"/>
        </w:trPr>
        <w:tc>
          <w:tcPr>
            <w:tcW w:w="2180" w:type="dxa"/>
            <w:vAlign w:val="bottom"/>
          </w:tcPr>
          <w:p>
            <w:pPr>
              <w:spacing w:after="0"/>
              <w:rPr>
                <w:sz w:val="20"/>
                <w:szCs w:val="20"/>
                <w:color w:val="auto"/>
              </w:rPr>
            </w:pPr>
            <w:r>
              <w:rPr>
                <w:rFonts w:ascii="Arial" w:cs="Arial" w:eastAsia="Arial" w:hAnsi="Arial"/>
                <w:sz w:val="17"/>
                <w:szCs w:val="17"/>
                <w:b w:val="1"/>
                <w:bCs w:val="1"/>
                <w:color w:val="auto"/>
              </w:rPr>
              <w:t>Performance Period</w:t>
            </w:r>
          </w:p>
        </w:tc>
        <w:tc>
          <w:tcPr>
            <w:tcW w:w="6600" w:type="dxa"/>
            <w:vAlign w:val="bottom"/>
          </w:tcPr>
          <w:p>
            <w:pPr>
              <w:ind w:left="540"/>
              <w:spacing w:after="0"/>
              <w:rPr>
                <w:sz w:val="20"/>
                <w:szCs w:val="20"/>
                <w:color w:val="auto"/>
              </w:rPr>
            </w:pPr>
            <w:r>
              <w:rPr>
                <w:rFonts w:ascii="Arial" w:cs="Arial" w:eastAsia="Arial" w:hAnsi="Arial"/>
                <w:sz w:val="17"/>
                <w:szCs w:val="17"/>
                <w:color w:val="auto"/>
              </w:rPr>
              <w:t>3 years (December 22, 2025 – December 22, 2028)</w:t>
            </w:r>
          </w:p>
        </w:tc>
      </w:tr>
      <w:tr>
        <w:trPr>
          <w:trHeight w:val="261"/>
        </w:trPr>
        <w:tc>
          <w:tcPr>
            <w:tcW w:w="218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Performance Metric</w:t>
            </w:r>
          </w:p>
        </w:tc>
        <w:tc>
          <w:tcPr>
            <w:tcW w:w="6600" w:type="dxa"/>
            <w:vAlign w:val="bottom"/>
            <w:shd w:val="clear" w:color="auto" w:fill="E5E5E5"/>
          </w:tcPr>
          <w:p>
            <w:pPr>
              <w:ind w:left="540"/>
              <w:spacing w:after="0"/>
              <w:rPr>
                <w:sz w:val="20"/>
                <w:szCs w:val="20"/>
                <w:color w:val="auto"/>
              </w:rPr>
            </w:pPr>
            <w:r>
              <w:rPr>
                <w:rFonts w:ascii="Arial" w:cs="Arial" w:eastAsia="Arial" w:hAnsi="Arial"/>
                <w:sz w:val="17"/>
                <w:szCs w:val="17"/>
                <w:color w:val="auto"/>
              </w:rPr>
              <w:t>CrowdStrike TSR vs S&amp;P 500 Index constituents</w:t>
            </w:r>
          </w:p>
        </w:tc>
      </w:tr>
      <w:tr>
        <w:trPr>
          <w:trHeight w:val="54"/>
        </w:trPr>
        <w:tc>
          <w:tcPr>
            <w:tcW w:w="2180" w:type="dxa"/>
            <w:vAlign w:val="bottom"/>
            <w:shd w:val="clear" w:color="auto" w:fill="E5E5E5"/>
          </w:tcPr>
          <w:p>
            <w:pPr>
              <w:spacing w:after="0"/>
              <w:rPr>
                <w:sz w:val="4"/>
                <w:szCs w:val="4"/>
                <w:color w:val="auto"/>
              </w:rPr>
            </w:pPr>
          </w:p>
        </w:tc>
        <w:tc>
          <w:tcPr>
            <w:tcW w:w="6600" w:type="dxa"/>
            <w:vAlign w:val="bottom"/>
            <w:shd w:val="clear" w:color="auto" w:fill="E5E5E5"/>
          </w:tcPr>
          <w:p>
            <w:pPr>
              <w:spacing w:after="0"/>
              <w:rPr>
                <w:sz w:val="4"/>
                <w:szCs w:val="4"/>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Performance Goals and Payout Levels</w:t>
      </w:r>
    </w:p>
    <w:p>
      <w:pPr>
        <w:spacing w:after="0" w:line="14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22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Performance Level</w:t>
            </w:r>
          </w:p>
        </w:tc>
        <w:tc>
          <w:tcPr>
            <w:tcW w:w="3300" w:type="dxa"/>
            <w:vAlign w:val="bottom"/>
            <w:tcBorders>
              <w:bottom w:val="single" w:sz="8" w:color="D6515D"/>
            </w:tcBorders>
          </w:tcPr>
          <w:p>
            <w:pPr>
              <w:jc w:val="center"/>
              <w:ind w:left="356"/>
              <w:spacing w:after="0"/>
              <w:rPr>
                <w:sz w:val="20"/>
                <w:szCs w:val="20"/>
                <w:color w:val="auto"/>
              </w:rPr>
            </w:pPr>
            <w:r>
              <w:rPr>
                <w:rFonts w:ascii="Arial" w:cs="Arial" w:eastAsia="Arial" w:hAnsi="Arial"/>
                <w:sz w:val="14"/>
                <w:szCs w:val="14"/>
                <w:b w:val="1"/>
                <w:bCs w:val="1"/>
                <w:color w:val="auto"/>
                <w:w w:val="99"/>
              </w:rPr>
              <w:t>Relative TSR Percentile Ranking</w:t>
            </w:r>
          </w:p>
        </w:tc>
        <w:tc>
          <w:tcPr>
            <w:tcW w:w="184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8"/>
              </w:rPr>
              <w:t>(% of Target PSUs)</w:t>
            </w:r>
          </w:p>
        </w:tc>
        <w:tc>
          <w:tcPr>
            <w:tcW w:w="480" w:type="dxa"/>
            <w:vAlign w:val="bottom"/>
            <w:tcBorders>
              <w:bottom w:val="single" w:sz="8" w:color="D6515D"/>
            </w:tcBorders>
          </w:tcPr>
          <w:p>
            <w:pPr>
              <w:ind w:left="2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6515D"/>
            </w:tcBorders>
          </w:tcPr>
          <w:p>
            <w:pPr>
              <w:ind w:left="220"/>
              <w:spacing w:after="0"/>
              <w:rPr>
                <w:sz w:val="20"/>
                <w:szCs w:val="20"/>
                <w:color w:val="auto"/>
              </w:rPr>
            </w:pPr>
            <w:r>
              <w:rPr>
                <w:rFonts w:ascii="Arial" w:cs="Arial" w:eastAsia="Arial" w:hAnsi="Arial"/>
                <w:sz w:val="14"/>
                <w:szCs w:val="14"/>
                <w:b w:val="1"/>
                <w:bCs w:val="1"/>
                <w:color w:val="auto"/>
              </w:rPr>
              <w:t>Shares</w:t>
            </w:r>
          </w:p>
        </w:tc>
      </w:tr>
      <w:tr>
        <w:trPr>
          <w:trHeight w:val="268"/>
        </w:trPr>
        <w:tc>
          <w:tcPr>
            <w:tcW w:w="2200" w:type="dxa"/>
            <w:vAlign w:val="bottom"/>
          </w:tcPr>
          <w:p>
            <w:pPr>
              <w:spacing w:after="0"/>
              <w:rPr>
                <w:sz w:val="20"/>
                <w:szCs w:val="20"/>
                <w:color w:val="auto"/>
              </w:rPr>
            </w:pPr>
            <w:r>
              <w:rPr>
                <w:rFonts w:ascii="Arial" w:cs="Arial" w:eastAsia="Arial" w:hAnsi="Arial"/>
                <w:sz w:val="17"/>
                <w:szCs w:val="17"/>
                <w:b w:val="1"/>
                <w:bCs w:val="1"/>
                <w:color w:val="auto"/>
              </w:rPr>
              <w:t>Below Threshold</w:t>
            </w:r>
          </w:p>
        </w:tc>
        <w:tc>
          <w:tcPr>
            <w:tcW w:w="3300" w:type="dxa"/>
            <w:vAlign w:val="bottom"/>
          </w:tcPr>
          <w:p>
            <w:pPr>
              <w:jc w:val="center"/>
              <w:ind w:left="376"/>
              <w:spacing w:after="0"/>
              <w:rPr>
                <w:sz w:val="20"/>
                <w:szCs w:val="20"/>
                <w:color w:val="auto"/>
              </w:rPr>
            </w:pPr>
            <w:r>
              <w:rPr>
                <w:rFonts w:ascii="Arial" w:cs="Arial" w:eastAsia="Arial" w:hAnsi="Arial"/>
                <w:sz w:val="17"/>
                <w:szCs w:val="17"/>
                <w:color w:val="auto"/>
                <w:w w:val="99"/>
              </w:rPr>
              <w:t>Below 25</w:t>
            </w:r>
            <w:r>
              <w:rPr>
                <w:rFonts w:ascii="Arial" w:cs="Arial" w:eastAsia="Arial" w:hAnsi="Arial"/>
                <w:sz w:val="22"/>
                <w:szCs w:val="22"/>
                <w:color w:val="auto"/>
                <w:w w:val="99"/>
                <w:vertAlign w:val="superscript"/>
              </w:rPr>
              <w:t>th</w:t>
            </w:r>
            <w:r>
              <w:rPr>
                <w:rFonts w:ascii="Arial" w:cs="Arial" w:eastAsia="Arial" w:hAnsi="Arial"/>
                <w:sz w:val="17"/>
                <w:szCs w:val="17"/>
                <w:color w:val="auto"/>
                <w:w w:val="99"/>
              </w:rPr>
              <w:t xml:space="preserve"> percentile</w:t>
            </w:r>
          </w:p>
        </w:tc>
        <w:tc>
          <w:tcPr>
            <w:tcW w:w="18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r>
      <w:tr>
        <w:trPr>
          <w:trHeight w:val="274"/>
        </w:trPr>
        <w:tc>
          <w:tcPr>
            <w:tcW w:w="22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Threshold</w:t>
            </w:r>
          </w:p>
        </w:tc>
        <w:tc>
          <w:tcPr>
            <w:tcW w:w="3300" w:type="dxa"/>
            <w:vAlign w:val="bottom"/>
            <w:shd w:val="clear" w:color="auto" w:fill="E5E5E5"/>
          </w:tcPr>
          <w:p>
            <w:pPr>
              <w:jc w:val="center"/>
              <w:ind w:left="376"/>
              <w:spacing w:after="0"/>
              <w:rPr>
                <w:sz w:val="20"/>
                <w:szCs w:val="20"/>
                <w:color w:val="auto"/>
              </w:rPr>
            </w:pPr>
            <w:r>
              <w:rPr>
                <w:rFonts w:ascii="Arial" w:cs="Arial" w:eastAsia="Arial" w:hAnsi="Arial"/>
                <w:sz w:val="17"/>
                <w:szCs w:val="17"/>
                <w:color w:val="auto"/>
                <w:w w:val="98"/>
              </w:rPr>
              <w:t>25</w:t>
            </w:r>
            <w:r>
              <w:rPr>
                <w:rFonts w:ascii="Arial" w:cs="Arial" w:eastAsia="Arial" w:hAnsi="Arial"/>
                <w:sz w:val="22"/>
                <w:szCs w:val="22"/>
                <w:color w:val="auto"/>
                <w:w w:val="98"/>
                <w:vertAlign w:val="superscript"/>
              </w:rPr>
              <w:t>th</w:t>
            </w:r>
            <w:r>
              <w:rPr>
                <w:rFonts w:ascii="Arial" w:cs="Arial" w:eastAsia="Arial" w:hAnsi="Arial"/>
                <w:sz w:val="17"/>
                <w:szCs w:val="17"/>
                <w:color w:val="auto"/>
                <w:w w:val="98"/>
              </w:rPr>
              <w:t xml:space="preserve"> percentile</w:t>
            </w:r>
          </w:p>
        </w:tc>
        <w:tc>
          <w:tcPr>
            <w:tcW w:w="18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50%</w:t>
            </w:r>
          </w:p>
        </w:tc>
        <w:tc>
          <w:tcPr>
            <w:tcW w:w="480" w:type="dxa"/>
            <w:vAlign w:val="bottom"/>
            <w:shd w:val="clear" w:color="auto" w:fill="E5E5E5"/>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150,000</w:t>
            </w:r>
          </w:p>
        </w:tc>
      </w:tr>
      <w:tr>
        <w:trPr>
          <w:trHeight w:val="274"/>
        </w:trPr>
        <w:tc>
          <w:tcPr>
            <w:tcW w:w="2200" w:type="dxa"/>
            <w:vAlign w:val="bottom"/>
          </w:tcPr>
          <w:p>
            <w:pPr>
              <w:spacing w:after="0"/>
              <w:rPr>
                <w:sz w:val="20"/>
                <w:szCs w:val="20"/>
                <w:color w:val="auto"/>
              </w:rPr>
            </w:pPr>
            <w:r>
              <w:rPr>
                <w:rFonts w:ascii="Arial" w:cs="Arial" w:eastAsia="Arial" w:hAnsi="Arial"/>
                <w:sz w:val="17"/>
                <w:szCs w:val="17"/>
                <w:b w:val="1"/>
                <w:bCs w:val="1"/>
                <w:color w:val="auto"/>
              </w:rPr>
              <w:t>Target</w:t>
            </w:r>
          </w:p>
        </w:tc>
        <w:tc>
          <w:tcPr>
            <w:tcW w:w="3300" w:type="dxa"/>
            <w:vAlign w:val="bottom"/>
          </w:tcPr>
          <w:p>
            <w:pPr>
              <w:jc w:val="center"/>
              <w:ind w:left="376"/>
              <w:spacing w:after="0"/>
              <w:rPr>
                <w:sz w:val="20"/>
                <w:szCs w:val="20"/>
                <w:color w:val="auto"/>
              </w:rPr>
            </w:pPr>
            <w:r>
              <w:rPr>
                <w:rFonts w:ascii="Arial" w:cs="Arial" w:eastAsia="Arial" w:hAnsi="Arial"/>
                <w:sz w:val="17"/>
                <w:szCs w:val="17"/>
                <w:color w:val="auto"/>
                <w:w w:val="98"/>
              </w:rPr>
              <w:t>55</w:t>
            </w:r>
            <w:r>
              <w:rPr>
                <w:rFonts w:ascii="Arial" w:cs="Arial" w:eastAsia="Arial" w:hAnsi="Arial"/>
                <w:sz w:val="22"/>
                <w:szCs w:val="22"/>
                <w:color w:val="auto"/>
                <w:w w:val="98"/>
                <w:vertAlign w:val="superscript"/>
              </w:rPr>
              <w:t>th</w:t>
            </w:r>
            <w:r>
              <w:rPr>
                <w:rFonts w:ascii="Arial" w:cs="Arial" w:eastAsia="Arial" w:hAnsi="Arial"/>
                <w:sz w:val="17"/>
                <w:szCs w:val="17"/>
                <w:color w:val="auto"/>
                <w:w w:val="98"/>
              </w:rPr>
              <w:t xml:space="preserve"> percentile</w:t>
            </w:r>
          </w:p>
        </w:tc>
        <w:tc>
          <w:tcPr>
            <w:tcW w:w="1840" w:type="dxa"/>
            <w:vAlign w:val="bottom"/>
          </w:tcPr>
          <w:p>
            <w:pPr>
              <w:jc w:val="center"/>
              <w:spacing w:after="0"/>
              <w:rPr>
                <w:sz w:val="20"/>
                <w:szCs w:val="20"/>
                <w:color w:val="auto"/>
              </w:rPr>
            </w:pPr>
            <w:r>
              <w:rPr>
                <w:rFonts w:ascii="Arial" w:cs="Arial" w:eastAsia="Arial" w:hAnsi="Arial"/>
                <w:sz w:val="17"/>
                <w:szCs w:val="17"/>
                <w:color w:val="auto"/>
              </w:rPr>
              <w:t>100%</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center"/>
              <w:spacing w:after="0"/>
              <w:rPr>
                <w:sz w:val="20"/>
                <w:szCs w:val="20"/>
                <w:color w:val="auto"/>
              </w:rPr>
            </w:pPr>
            <w:r>
              <w:rPr>
                <w:rFonts w:ascii="Arial" w:cs="Arial" w:eastAsia="Arial" w:hAnsi="Arial"/>
                <w:sz w:val="17"/>
                <w:szCs w:val="17"/>
                <w:color w:val="auto"/>
              </w:rPr>
              <w:t>300,000</w:t>
            </w:r>
          </w:p>
        </w:tc>
      </w:tr>
      <w:tr>
        <w:trPr>
          <w:trHeight w:val="274"/>
        </w:trPr>
        <w:tc>
          <w:tcPr>
            <w:tcW w:w="22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Above Target</w:t>
            </w:r>
          </w:p>
        </w:tc>
        <w:tc>
          <w:tcPr>
            <w:tcW w:w="3300" w:type="dxa"/>
            <w:vAlign w:val="bottom"/>
            <w:shd w:val="clear" w:color="auto" w:fill="E5E5E5"/>
          </w:tcPr>
          <w:p>
            <w:pPr>
              <w:jc w:val="center"/>
              <w:ind w:left="376"/>
              <w:spacing w:after="0"/>
              <w:rPr>
                <w:sz w:val="20"/>
                <w:szCs w:val="20"/>
                <w:color w:val="auto"/>
              </w:rPr>
            </w:pPr>
            <w:r>
              <w:rPr>
                <w:rFonts w:ascii="Arial" w:cs="Arial" w:eastAsia="Arial" w:hAnsi="Arial"/>
                <w:sz w:val="17"/>
                <w:szCs w:val="17"/>
                <w:color w:val="auto"/>
                <w:w w:val="98"/>
              </w:rPr>
              <w:t>75</w:t>
            </w:r>
            <w:r>
              <w:rPr>
                <w:rFonts w:ascii="Arial" w:cs="Arial" w:eastAsia="Arial" w:hAnsi="Arial"/>
                <w:sz w:val="22"/>
                <w:szCs w:val="22"/>
                <w:color w:val="auto"/>
                <w:w w:val="98"/>
                <w:vertAlign w:val="superscript"/>
              </w:rPr>
              <w:t>th</w:t>
            </w:r>
            <w:r>
              <w:rPr>
                <w:rFonts w:ascii="Arial" w:cs="Arial" w:eastAsia="Arial" w:hAnsi="Arial"/>
                <w:sz w:val="17"/>
                <w:szCs w:val="17"/>
                <w:color w:val="auto"/>
                <w:w w:val="98"/>
              </w:rPr>
              <w:t xml:space="preserve"> percentile</w:t>
            </w:r>
          </w:p>
        </w:tc>
        <w:tc>
          <w:tcPr>
            <w:tcW w:w="184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150%</w:t>
            </w:r>
          </w:p>
        </w:tc>
        <w:tc>
          <w:tcPr>
            <w:tcW w:w="480" w:type="dxa"/>
            <w:vAlign w:val="bottom"/>
            <w:shd w:val="clear" w:color="auto" w:fill="E5E5E5"/>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450,000</w:t>
            </w:r>
          </w:p>
        </w:tc>
      </w:tr>
      <w:tr>
        <w:trPr>
          <w:trHeight w:val="307"/>
        </w:trPr>
        <w:tc>
          <w:tcPr>
            <w:tcW w:w="2200" w:type="dxa"/>
            <w:vAlign w:val="bottom"/>
          </w:tcPr>
          <w:p>
            <w:pPr>
              <w:spacing w:after="0"/>
              <w:rPr>
                <w:sz w:val="20"/>
                <w:szCs w:val="20"/>
                <w:color w:val="auto"/>
              </w:rPr>
            </w:pPr>
            <w:r>
              <w:rPr>
                <w:rFonts w:ascii="Arial" w:cs="Arial" w:eastAsia="Arial" w:hAnsi="Arial"/>
                <w:sz w:val="17"/>
                <w:szCs w:val="17"/>
                <w:b w:val="1"/>
                <w:bCs w:val="1"/>
                <w:color w:val="auto"/>
              </w:rPr>
              <w:t>Maximum</w:t>
            </w:r>
          </w:p>
        </w:tc>
        <w:tc>
          <w:tcPr>
            <w:tcW w:w="3300" w:type="dxa"/>
            <w:vAlign w:val="bottom"/>
          </w:tcPr>
          <w:p>
            <w:pPr>
              <w:jc w:val="center"/>
              <w:ind w:left="376"/>
              <w:spacing w:after="0"/>
              <w:rPr>
                <w:sz w:val="20"/>
                <w:szCs w:val="20"/>
                <w:color w:val="auto"/>
              </w:rPr>
            </w:pPr>
            <w:r>
              <w:rPr>
                <w:rFonts w:ascii="Arial" w:cs="Arial" w:eastAsia="Arial" w:hAnsi="Arial"/>
                <w:sz w:val="17"/>
                <w:szCs w:val="17"/>
                <w:color w:val="auto"/>
                <w:w w:val="99"/>
              </w:rPr>
              <w:t>90</w:t>
            </w:r>
            <w:r>
              <w:rPr>
                <w:rFonts w:ascii="Arial" w:cs="Arial" w:eastAsia="Arial" w:hAnsi="Arial"/>
                <w:sz w:val="22"/>
                <w:szCs w:val="22"/>
                <w:color w:val="auto"/>
                <w:w w:val="99"/>
                <w:vertAlign w:val="superscript"/>
              </w:rPr>
              <w:t>th</w:t>
            </w:r>
            <w:r>
              <w:rPr>
                <w:rFonts w:ascii="Arial" w:cs="Arial" w:eastAsia="Arial" w:hAnsi="Arial"/>
                <w:sz w:val="17"/>
                <w:szCs w:val="17"/>
                <w:color w:val="auto"/>
                <w:w w:val="99"/>
              </w:rPr>
              <w:t xml:space="preserve"> percentile or above</w:t>
            </w:r>
          </w:p>
        </w:tc>
        <w:tc>
          <w:tcPr>
            <w:tcW w:w="1840" w:type="dxa"/>
            <w:vAlign w:val="bottom"/>
          </w:tcPr>
          <w:p>
            <w:pPr>
              <w:jc w:val="center"/>
              <w:spacing w:after="0"/>
              <w:rPr>
                <w:sz w:val="20"/>
                <w:szCs w:val="20"/>
                <w:color w:val="auto"/>
              </w:rPr>
            </w:pPr>
            <w:r>
              <w:rPr>
                <w:rFonts w:ascii="Arial" w:cs="Arial" w:eastAsia="Arial" w:hAnsi="Arial"/>
                <w:sz w:val="17"/>
                <w:szCs w:val="17"/>
                <w:color w:val="auto"/>
              </w:rPr>
              <w:t>200%</w:t>
            </w:r>
          </w:p>
        </w:tc>
        <w:tc>
          <w:tcPr>
            <w:tcW w:w="480" w:type="dxa"/>
            <w:vAlign w:val="bottom"/>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center"/>
              <w:spacing w:after="0"/>
              <w:rPr>
                <w:sz w:val="20"/>
                <w:szCs w:val="20"/>
                <w:color w:val="auto"/>
              </w:rPr>
            </w:pPr>
            <w:r>
              <w:rPr>
                <w:rFonts w:ascii="Arial" w:cs="Arial" w:eastAsia="Arial" w:hAnsi="Arial"/>
                <w:sz w:val="17"/>
                <w:szCs w:val="17"/>
                <w:color w:val="auto"/>
              </w:rPr>
              <w:t>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120015</wp:posOffset>
            </wp:positionV>
            <wp:extent cx="11950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Linear interpolation applies between performance levels.</w:t>
      </w:r>
    </w:p>
    <w:p>
      <w:pPr>
        <w:spacing w:after="0" w:line="223" w:lineRule="exact"/>
        <w:rPr>
          <w:sz w:val="20"/>
          <w:szCs w:val="20"/>
          <w:color w:val="auto"/>
        </w:rPr>
      </w:pPr>
    </w:p>
    <w:p>
      <w:pPr>
        <w:ind w:left="800" w:right="299"/>
        <w:spacing w:after="0" w:line="260" w:lineRule="auto"/>
        <w:rPr>
          <w:sz w:val="20"/>
          <w:szCs w:val="20"/>
          <w:color w:val="auto"/>
        </w:rPr>
      </w:pPr>
      <w:r>
        <w:rPr>
          <w:rFonts w:ascii="Arial" w:cs="Arial" w:eastAsia="Arial" w:hAnsi="Arial"/>
          <w:sz w:val="17"/>
          <w:szCs w:val="17"/>
          <w:color w:val="auto"/>
        </w:rPr>
        <w:t>Following the end of the Performance Period, the Compensation Committee will determine the extent to which the applicable performance goals have been achieved and will determine the number of TSR PSUs, if any, that have been earned (the “Earned TSR PSUs”). Except as described below, any TSR PSUs that are not earned will be forfeited without consideration.</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2"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Change in Control and Termination Provisions</w:t>
      </w:r>
    </w:p>
    <w:p>
      <w:pPr>
        <w:spacing w:after="0" w:line="106"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In the event of a change in control that occurs prior to the end of the Performance Period, the Company’s TSR performance and applicable percentile ranking will be determined as of the date of such change in control. For this purpose, the Company’s TSR will be measured based on the price per share of the Company’s common stock (plus the value of any other consideration received by the Company’s stockholders) in the transaction, and the TSR of the applicable peer companies will be measured using the 45-trading-day period ending on and including the public announcement date of the change in control. The Compensation Committee will certify the resulting performance level and the number of PSUs earned, if any, in connection with the transaction.</w:t>
      </w:r>
    </w:p>
    <w:p>
      <w:pPr>
        <w:spacing w:after="0" w:line="173" w:lineRule="exact"/>
        <w:rPr>
          <w:sz w:val="20"/>
          <w:szCs w:val="20"/>
          <w:color w:val="auto"/>
        </w:rPr>
      </w:pPr>
    </w:p>
    <w:p>
      <w:pPr>
        <w:ind w:left="800" w:right="199"/>
        <w:spacing w:after="0" w:line="267" w:lineRule="auto"/>
        <w:rPr>
          <w:sz w:val="20"/>
          <w:szCs w:val="20"/>
          <w:color w:val="auto"/>
        </w:rPr>
      </w:pPr>
      <w:r>
        <w:rPr>
          <w:rFonts w:ascii="Arial" w:cs="Arial" w:eastAsia="Arial" w:hAnsi="Arial"/>
          <w:sz w:val="17"/>
          <w:szCs w:val="17"/>
          <w:color w:val="auto"/>
        </w:rPr>
        <w:t>Upon consummation of the change in control, any Earned TSR PSUs will be converted into the same form of consideration, and on the same economic terms, as are applicable to holders of the Company’s common stock in the transaction, including cash, stock, equity-based awards, or a combination thereof; provided that such converted award will be subject to vesting based on Mr. Kurtz’s continued service through the end of the original Performance Period (subject to the acceleration provisions described in the following paragraphs).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Mr. Kurtz’s employment is terminated by the Company without cause or by Mr. Kurtz for good reason within</w:t>
      </w:r>
    </w:p>
    <w:p>
      <w:pPr>
        <w:spacing w:after="0" w:line="30" w:lineRule="exact"/>
        <w:rPr>
          <w:sz w:val="20"/>
          <w:szCs w:val="20"/>
          <w:color w:val="auto"/>
        </w:rPr>
      </w:pPr>
    </w:p>
    <w:p>
      <w:pPr>
        <w:ind w:left="800" w:right="119"/>
        <w:spacing w:after="0" w:line="267" w:lineRule="auto"/>
        <w:rPr>
          <w:sz w:val="20"/>
          <w:szCs w:val="20"/>
          <w:color w:val="auto"/>
        </w:rPr>
      </w:pPr>
      <w:r>
        <w:rPr>
          <w:rFonts w:ascii="Arial" w:cs="Arial" w:eastAsia="Arial" w:hAnsi="Arial"/>
          <w:sz w:val="17"/>
          <w:szCs w:val="17"/>
          <w:color w:val="auto"/>
        </w:rPr>
        <w:t>three months prior to or 24 months following a change in control, any converted awards will vest in full as of the date of such termination. In addition, if the surviving company does not assume, continue or substitute the converted awards in connection with the change in control, such awards will vest in full upon consummation of the transaction.</w:t>
      </w:r>
    </w:p>
    <w:p>
      <w:pPr>
        <w:spacing w:after="0" w:line="168" w:lineRule="exact"/>
        <w:rPr>
          <w:sz w:val="20"/>
          <w:szCs w:val="20"/>
          <w:color w:val="auto"/>
        </w:rPr>
      </w:pPr>
    </w:p>
    <w:p>
      <w:pPr>
        <w:ind w:left="800" w:right="279"/>
        <w:spacing w:after="0" w:line="262" w:lineRule="auto"/>
        <w:rPr>
          <w:sz w:val="20"/>
          <w:szCs w:val="20"/>
          <w:color w:val="auto"/>
        </w:rPr>
      </w:pPr>
      <w:r>
        <w:rPr>
          <w:rFonts w:ascii="Arial" w:cs="Arial" w:eastAsia="Arial" w:hAnsi="Arial"/>
          <w:sz w:val="17"/>
          <w:szCs w:val="17"/>
          <w:color w:val="auto"/>
        </w:rPr>
        <w:t>If Mr. Kurtz’s employment is terminated by the Company without cause or by Mr. Kurtz for good reason prior to the end of the Performance Period and more than three months prior to or more than 24 months following a change in control, the Company’s TSR performance will be measured as of Mr. Kurtz’s termination date using the same methodology applicable at the end of the Performance Period. The number of PSUs earned will be determined based on actual performance through such date and will be prorated based on the portion of the Performance Period elapsed through the termination date. Any PSUs determined to be earned following such performance measurement and time-based proration will vest as of the termination date, and any remaining PSUs will be forfeited without consideration.</w:t>
      </w:r>
    </w:p>
    <w:p>
      <w:pPr>
        <w:spacing w:after="0" w:line="175" w:lineRule="exact"/>
        <w:rPr>
          <w:sz w:val="20"/>
          <w:szCs w:val="20"/>
          <w:color w:val="auto"/>
        </w:rPr>
      </w:pPr>
    </w:p>
    <w:p>
      <w:pPr>
        <w:ind w:left="800" w:right="179"/>
        <w:spacing w:after="0" w:line="298" w:lineRule="auto"/>
        <w:rPr>
          <w:sz w:val="20"/>
          <w:szCs w:val="20"/>
          <w:color w:val="auto"/>
        </w:rPr>
      </w:pPr>
      <w:r>
        <w:rPr>
          <w:rFonts w:ascii="Arial" w:cs="Arial" w:eastAsia="Arial" w:hAnsi="Arial"/>
          <w:sz w:val="17"/>
          <w:szCs w:val="17"/>
          <w:color w:val="auto"/>
        </w:rPr>
        <w:t>If Mr. Kurtz’s employment terminates for any other reason prior to the end of the Performance Period, all of the TSR PSUs will be forfeited without consideration.</w:t>
      </w:r>
    </w:p>
    <w:p>
      <w:pPr>
        <w:spacing w:after="0" w:line="142" w:lineRule="exact"/>
        <w:rPr>
          <w:sz w:val="20"/>
          <w:szCs w:val="20"/>
          <w:color w:val="auto"/>
        </w:rPr>
      </w:pPr>
    </w:p>
    <w:p>
      <w:pPr>
        <w:ind w:left="800" w:right="159"/>
        <w:spacing w:after="0" w:line="265" w:lineRule="auto"/>
        <w:rPr>
          <w:sz w:val="20"/>
          <w:szCs w:val="20"/>
          <w:color w:val="auto"/>
        </w:rPr>
      </w:pPr>
      <w:r>
        <w:rPr>
          <w:rFonts w:ascii="Arial" w:cs="Arial" w:eastAsia="Arial" w:hAnsi="Arial"/>
          <w:sz w:val="17"/>
          <w:szCs w:val="17"/>
          <w:color w:val="auto"/>
        </w:rPr>
        <w:t>If, during the Performance Period, Mr. Kurtz ceases to serve as Chief Executive Officer of the Company and continues to serve as Executive Chairman (or a similar executive board member role), the PSUs will remain outstanding and eligible to be earned based on actual performance over the Performance Period, with the number of earned PSUs prorated to reflect 100% weighting for the portion of the Performance Period during which Mr. Kurtz served as Chief Executive Officer and 50% weighting for the portion during which Mr. Kurtz served as Executive Chairman.</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Fiscal 2022 Multi-Year Awards</w:t>
      </w:r>
    </w:p>
    <w:p>
      <w:pPr>
        <w:spacing w:after="0" w:line="115" w:lineRule="exact"/>
        <w:rPr>
          <w:sz w:val="20"/>
          <w:szCs w:val="20"/>
          <w:color w:val="auto"/>
        </w:rPr>
      </w:pPr>
    </w:p>
    <w:p>
      <w:pPr>
        <w:ind w:left="800" w:right="179"/>
        <w:spacing w:after="0" w:line="277" w:lineRule="auto"/>
        <w:rPr>
          <w:sz w:val="20"/>
          <w:szCs w:val="20"/>
          <w:color w:val="auto"/>
        </w:rPr>
      </w:pPr>
      <w:r>
        <w:rPr>
          <w:rFonts w:ascii="Arial" w:cs="Arial" w:eastAsia="Arial" w:hAnsi="Arial"/>
          <w:sz w:val="17"/>
          <w:szCs w:val="17"/>
          <w:color w:val="auto"/>
        </w:rPr>
        <w:t>In fiscal 2022, Mr. Kurtz and Mr. Podbere were each issued a multi-year PSU award to recognize the instrumental roles they continue to play in driving the Company’s growth and performance in this critical period as an early-stage public company.</w:t>
      </w:r>
    </w:p>
    <w:p>
      <w:pPr>
        <w:spacing w:after="0" w:line="160" w:lineRule="exact"/>
        <w:rPr>
          <w:sz w:val="20"/>
          <w:szCs w:val="20"/>
          <w:color w:val="auto"/>
        </w:rPr>
      </w:pPr>
    </w:p>
    <w:p>
      <w:pPr>
        <w:ind w:left="800" w:right="139"/>
        <w:spacing w:after="0" w:line="260" w:lineRule="auto"/>
        <w:rPr>
          <w:sz w:val="20"/>
          <w:szCs w:val="20"/>
          <w:color w:val="auto"/>
        </w:rPr>
      </w:pPr>
      <w:r>
        <w:rPr>
          <w:rFonts w:ascii="Arial" w:cs="Arial" w:eastAsia="Arial" w:hAnsi="Arial"/>
          <w:sz w:val="17"/>
          <w:szCs w:val="17"/>
          <w:color w:val="auto"/>
        </w:rPr>
        <w:t>The multi-year PSU awards are comprised of four equal tranches of PSUs, each of which are subject to the satisfaction of both a performance-based vesting condition and a service-based vesting condition. The performance condition applicable to the multi-year PSU awards is based on the Company’s achievement of specified stock price hurdles (subject to anti-dilution adjustments), during the performance period beginning on the date of grant and ending on January 31, 2027. For more information on the multi-year PSU awards, please see “Executive Compensation Discussion and Analysis — Long-Term Equity Incentive Compensation — Multi-Year PSU Awards” included in our proxy statement filed with the SEC on May 6, 2022. The stock price hurdle for all four tranches of the multi-year PSU awards have been achieved and were certified by the Compensation Committee on May 2, 2024, May 2, 2025, August 4, 2025, and February 3, 2026, respectively. The service-based conditions for the first three tranches of the multi-year PSU awards were fully satisfied as of February 1, 2024 and February 1, 2025 and February 1, 2026, respectively. The service-based condition for the fourth tranche is anticipated to be fully satisfied on February 1, 2027.</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Mr. Henry’s Compensation</w:t>
      </w:r>
    </w:p>
    <w:p>
      <w:pPr>
        <w:spacing w:after="0" w:line="119" w:lineRule="exact"/>
        <w:rPr>
          <w:sz w:val="20"/>
          <w:szCs w:val="20"/>
          <w:color w:val="auto"/>
        </w:rPr>
      </w:pPr>
    </w:p>
    <w:p>
      <w:pPr>
        <w:ind w:left="800" w:right="259"/>
        <w:spacing w:after="0" w:line="267" w:lineRule="auto"/>
        <w:rPr>
          <w:sz w:val="20"/>
          <w:szCs w:val="20"/>
          <w:color w:val="auto"/>
        </w:rPr>
      </w:pPr>
      <w:r>
        <w:rPr>
          <w:rFonts w:ascii="Arial" w:cs="Arial" w:eastAsia="Arial" w:hAnsi="Arial"/>
          <w:sz w:val="17"/>
          <w:szCs w:val="17"/>
          <w:color w:val="auto"/>
        </w:rPr>
        <w:t>Shawn Henry retired from his role as Chief Security Officer effective as of March 31, 2025 and did not receive any equity compensation in fiscal 2026. Mr. Henry remains with the Company and has transitioned to the role of Executive Advisor to the CEO, focused on cybersecurity advocacy and resilience. In connection with his transition, Mr. Henry ceased participating in CrowdStrike’s Corporate Incentive Plan and Leadership Incentive Plan. The changes to Mr. Henry’s compensation were effective as of March 31, 2025.</w:t>
      </w:r>
    </w:p>
    <w:p>
      <w:pPr>
        <w:sectPr>
          <w:pgSz w:w="11900" w:h="16838" w:orient="portrait"/>
          <w:cols w:equalWidth="0" w:num="1">
            <w:col w:w="9699"/>
          </w:cols>
          <w:pgMar w:left="760" w:top="94" w:right="1440" w:bottom="1440" w:gutter="0" w:footer="0" w:header="0"/>
        </w:sectPr>
      </w:pPr>
    </w:p>
    <w:p>
      <w:pPr>
        <w:spacing w:after="0" w:line="38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401(k) Plan</w:t>
      </w:r>
    </w:p>
    <w:p>
      <w:pPr>
        <w:spacing w:after="0" w:line="109" w:lineRule="exact"/>
        <w:rPr>
          <w:sz w:val="20"/>
          <w:szCs w:val="20"/>
          <w:color w:val="auto"/>
        </w:rPr>
      </w:pPr>
    </w:p>
    <w:p>
      <w:pPr>
        <w:ind w:left="800" w:right="279"/>
        <w:spacing w:after="0" w:line="253" w:lineRule="auto"/>
        <w:rPr>
          <w:sz w:val="20"/>
          <w:szCs w:val="20"/>
          <w:color w:val="auto"/>
        </w:rPr>
      </w:pPr>
      <w:r>
        <w:rPr>
          <w:rFonts w:ascii="Arial" w:cs="Arial" w:eastAsia="Arial" w:hAnsi="Arial"/>
          <w:sz w:val="17"/>
          <w:szCs w:val="17"/>
          <w:color w:val="auto"/>
        </w:rPr>
        <w:t>We maintain a tax-qualified 401(k) retirement plan (“401(k) plan”) that provides eligible employees with an opportunity to save for retirement on a tax-advantaged basis. Eligible employees can participate in the 401(k) plan as of their start date, and participants are able to defer up to 100% of their eligible compensation subject to applicable annual IRC limits. All participants’ interests in their deferrals are 100% vested when contributed. The 401(k) plan permits us to make matching contributions and profit-sharing contributions to eligible participants, and we match 50% of the first 2% of compensation contributed by participants up to the maximum amount permitted under the IRC.</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Employee Stock Purchase Plan</w:t>
      </w:r>
    </w:p>
    <w:p>
      <w:pPr>
        <w:spacing w:after="0" w:line="109" w:lineRule="exact"/>
        <w:rPr>
          <w:sz w:val="20"/>
          <w:szCs w:val="20"/>
          <w:color w:val="auto"/>
        </w:rPr>
      </w:pPr>
    </w:p>
    <w:p>
      <w:pPr>
        <w:ind w:left="800" w:right="239"/>
        <w:spacing w:after="0" w:line="262" w:lineRule="auto"/>
        <w:rPr>
          <w:sz w:val="20"/>
          <w:szCs w:val="20"/>
          <w:color w:val="auto"/>
        </w:rPr>
      </w:pPr>
      <w:r>
        <w:rPr>
          <w:rFonts w:ascii="Arial" w:cs="Arial" w:eastAsia="Arial" w:hAnsi="Arial"/>
          <w:sz w:val="17"/>
          <w:szCs w:val="17"/>
          <w:color w:val="auto"/>
        </w:rPr>
        <w:t>We offer our eligible employees, including our eligible NEOs, the opportunity to purchase shares of our common stock at a discount under the CrowdStrike Holdings, Inc. 2019 Employee Stock Purchase Plan (“ESPP”). Pursuant to the ESPP, all eligible employees, including our eligible NEOs, may allocate up to 15% of their eligible compensation to purchase shares of our common stock, subject to specified limits. The ESPP provides for consecutive offering periods that will typically have a duration of approximately 24 months in length and is comprised of four purchase periods of approximately six months in length. The purchase price of the shares will be 85% of the lower of the fair market value of our common stock on (i) the first trading day of the applicable offering period and (ii) the last trading day of each purchase period in the related offering period.</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Health and Welfare Benefits</w:t>
      </w:r>
    </w:p>
    <w:p>
      <w:pPr>
        <w:spacing w:after="0" w:line="109" w:lineRule="exact"/>
        <w:rPr>
          <w:sz w:val="20"/>
          <w:szCs w:val="20"/>
          <w:color w:val="auto"/>
        </w:rPr>
      </w:pPr>
    </w:p>
    <w:p>
      <w:pPr>
        <w:ind w:left="800" w:right="179"/>
        <w:spacing w:after="0" w:line="265" w:lineRule="auto"/>
        <w:rPr>
          <w:sz w:val="20"/>
          <w:szCs w:val="20"/>
          <w:color w:val="auto"/>
        </w:rPr>
      </w:pPr>
      <w:r>
        <w:rPr>
          <w:rFonts w:ascii="Arial" w:cs="Arial" w:eastAsia="Arial" w:hAnsi="Arial"/>
          <w:sz w:val="17"/>
          <w:szCs w:val="17"/>
          <w:color w:val="auto"/>
        </w:rPr>
        <w:t>In addition, we provide certain health and welfare benefits to our NEOs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NEOs. In addition, we provide our executives and certain other senior management team members supplemental health benefits.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Perquisites and Other Personal Benefits</w:t>
      </w:r>
    </w:p>
    <w:p>
      <w:pPr>
        <w:spacing w:after="0" w:line="109" w:lineRule="exact"/>
        <w:rPr>
          <w:sz w:val="20"/>
          <w:szCs w:val="20"/>
          <w:color w:val="auto"/>
        </w:rPr>
      </w:pPr>
    </w:p>
    <w:p>
      <w:pPr>
        <w:ind w:left="800" w:right="199"/>
        <w:spacing w:after="0" w:line="265" w:lineRule="auto"/>
        <w:rPr>
          <w:sz w:val="20"/>
          <w:szCs w:val="20"/>
          <w:color w:val="auto"/>
        </w:rPr>
      </w:pPr>
      <w:r>
        <w:rPr>
          <w:rFonts w:ascii="Arial" w:cs="Arial" w:eastAsia="Arial" w:hAnsi="Arial"/>
          <w:sz w:val="17"/>
          <w:szCs w:val="17"/>
          <w:color w:val="auto"/>
        </w:rPr>
        <w:t>For fiscal 2026, we do not view perquisites or other personal benefits as a significant component of our executive compensation program. Accordingly, we provide perquisites or other personal benefits to our NEOs in limited circumstances, such as where we believe it is appropriate to assist an individual in the performance of his duties, to make our executive team more efficient and effective or for special recruitment or retention purposes. All future practices with respect to perquisites or other benefits for our NEOs are subject to review and approval by the Compensation Committee and/or the Board.</w:t>
      </w:r>
    </w:p>
    <w:p>
      <w:pPr>
        <w:spacing w:after="0" w:line="169" w:lineRule="exact"/>
        <w:rPr>
          <w:sz w:val="20"/>
          <w:szCs w:val="20"/>
          <w:color w:val="auto"/>
        </w:rPr>
      </w:pPr>
    </w:p>
    <w:p>
      <w:pPr>
        <w:ind w:left="800" w:right="179"/>
        <w:spacing w:after="0" w:line="262" w:lineRule="auto"/>
        <w:rPr>
          <w:sz w:val="20"/>
          <w:szCs w:val="20"/>
          <w:color w:val="auto"/>
        </w:rPr>
      </w:pPr>
      <w:r>
        <w:rPr>
          <w:rFonts w:ascii="Arial" w:cs="Arial" w:eastAsia="Arial" w:hAnsi="Arial"/>
          <w:sz w:val="17"/>
          <w:szCs w:val="17"/>
          <w:color w:val="auto"/>
        </w:rPr>
        <w:t>In early fiscal 2023, we approved a security program, pursuant to which we incurred certain costs related to Mr. Kurtz’s personal security, including Mr. Kurtz’s security personnel and the installation and maintenance of security measures in and around Mr. Kurtz’s residences. In addition, Mr. Kurtz uses private aircraft for personal travel in connection with his overall security program. The costs related to personal security for Mr. Kurtz at his residences and during personal travel pursuant to his overall security program, as well as the costs of private aircraft for personal travel, are reported as other compensation to Mr. Kurtz in the “All Other Compensation” column of the “— Fiscal 2026 Summary Compensation Table” below. The costs of Mr. Kurtz’s security program vary from year to year depending on requisite security measures, his travel schedule and other factors.</w:t>
      </w:r>
    </w:p>
    <w:p>
      <w:pPr>
        <w:spacing w:after="0" w:line="175" w:lineRule="exact"/>
        <w:rPr>
          <w:sz w:val="20"/>
          <w:szCs w:val="20"/>
          <w:color w:val="auto"/>
        </w:rPr>
      </w:pPr>
    </w:p>
    <w:p>
      <w:pPr>
        <w:ind w:left="800" w:right="239"/>
        <w:spacing w:after="0" w:line="262" w:lineRule="auto"/>
        <w:rPr>
          <w:sz w:val="20"/>
          <w:szCs w:val="20"/>
          <w:color w:val="auto"/>
        </w:rPr>
      </w:pPr>
      <w:r>
        <w:rPr>
          <w:rFonts w:ascii="Arial" w:cs="Arial" w:eastAsia="Arial" w:hAnsi="Arial"/>
          <w:sz w:val="17"/>
          <w:szCs w:val="17"/>
          <w:color w:val="auto"/>
        </w:rPr>
        <w:t>Effective January 1, 2023, our NEOs are also eligible to defer a portion of their base salary, cash incentive or commission pursuant to the CrowdStrike, Inc. Deferred Compensation Plan (the “DCP”). Under the DCP, participants may defer the receipt of up to 70% of base salary and 90% of commissions earned for the calendar year and up to 90% of annual incentive bonuses earned for the fiscal year to a future payment date. The Company does not provide any matching contributions. Participants may elect to receive the deferred amount in a lump sum or in annual installments over a period of two to five years after his or her termination of employment or over a period that will begin in two or more years following the year of the deferral election, or in a lump sum upon disability. None of our NEOs participated in the DCP during fiscal 2026.</w:t>
      </w:r>
    </w:p>
    <w:p>
      <w:pPr>
        <w:spacing w:after="0" w:line="208" w:lineRule="exact"/>
        <w:rPr>
          <w:sz w:val="20"/>
          <w:szCs w:val="20"/>
          <w:color w:val="auto"/>
        </w:rPr>
      </w:pPr>
    </w:p>
    <w:p>
      <w:pPr>
        <w:ind w:left="800" w:right="1679"/>
        <w:spacing w:after="0" w:line="289" w:lineRule="auto"/>
        <w:rPr>
          <w:sz w:val="20"/>
          <w:szCs w:val="20"/>
          <w:color w:val="auto"/>
        </w:rPr>
      </w:pPr>
      <w:r>
        <w:rPr>
          <w:rFonts w:ascii="Arial" w:cs="Arial" w:eastAsia="Arial" w:hAnsi="Arial"/>
          <w:sz w:val="24"/>
          <w:szCs w:val="24"/>
          <w:b w:val="1"/>
          <w:bCs w:val="1"/>
          <w:color w:val="auto"/>
        </w:rPr>
        <w:t>Offer Letters, Employment Agreements and Change in Control Arrangements</w:t>
      </w:r>
    </w:p>
    <w:p>
      <w:pPr>
        <w:ind w:left="800"/>
        <w:spacing w:after="0"/>
        <w:rPr>
          <w:sz w:val="20"/>
          <w:szCs w:val="20"/>
          <w:color w:val="auto"/>
        </w:rPr>
      </w:pPr>
      <w:r>
        <w:rPr>
          <w:rFonts w:ascii="Arial" w:cs="Arial" w:eastAsia="Arial" w:hAnsi="Arial"/>
          <w:sz w:val="21"/>
          <w:szCs w:val="21"/>
          <w:i w:val="1"/>
          <w:iCs w:val="1"/>
          <w:color w:val="auto"/>
        </w:rPr>
        <w:t>Offer Letters</w:t>
      </w:r>
    </w:p>
    <w:p>
      <w:pPr>
        <w:spacing w:after="0" w:line="106" w:lineRule="exact"/>
        <w:rPr>
          <w:sz w:val="20"/>
          <w:szCs w:val="20"/>
          <w:color w:val="auto"/>
        </w:rPr>
      </w:pPr>
    </w:p>
    <w:p>
      <w:pPr>
        <w:ind w:left="800" w:right="159"/>
        <w:spacing w:after="0" w:line="270" w:lineRule="auto"/>
        <w:rPr>
          <w:sz w:val="20"/>
          <w:szCs w:val="20"/>
          <w:color w:val="auto"/>
        </w:rPr>
      </w:pPr>
      <w:r>
        <w:rPr>
          <w:rFonts w:ascii="Arial" w:cs="Arial" w:eastAsia="Arial" w:hAnsi="Arial"/>
          <w:sz w:val="17"/>
          <w:szCs w:val="17"/>
          <w:color w:val="auto"/>
        </w:rPr>
        <w:t>We have entered into employment agreements or offer letters with each of our NEOs which generally provide for at-will employment with no specified employment terms, and for certain of our NEOs, severance protections in certain circumstances, as described in more detail in the “Potential Payments Upon Termination or Change in Control” section below.</w:t>
      </w:r>
    </w:p>
    <w:p>
      <w:pPr>
        <w:spacing w:after="0" w:line="382"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36"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99"/>
        <w:spacing w:after="0" w:line="260" w:lineRule="auto"/>
        <w:rPr>
          <w:sz w:val="20"/>
          <w:szCs w:val="20"/>
          <w:color w:val="auto"/>
        </w:rPr>
      </w:pPr>
      <w:r>
        <w:rPr>
          <w:rFonts w:ascii="Arial" w:cs="Arial" w:eastAsia="Arial" w:hAnsi="Arial"/>
          <w:sz w:val="17"/>
          <w:szCs w:val="17"/>
          <w:color w:val="auto"/>
        </w:rPr>
        <w:t>In addition, as a condition of their employment, we also require that our employees, including our NEOs, sign and comply with an At-Will Employment, Confidential Information, Invention Assignment and Arbitration Agreement which requires, among other provisions, the assignment of certain intellectual property rights to the Company, and non-disclosure of Company proprietary information.</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Kurtz Change in Control and Severance Agreement</w:t>
      </w:r>
    </w:p>
    <w:p>
      <w:pPr>
        <w:spacing w:after="0" w:line="106" w:lineRule="exact"/>
        <w:rPr>
          <w:sz w:val="20"/>
          <w:szCs w:val="20"/>
          <w:color w:val="auto"/>
        </w:rPr>
      </w:pPr>
    </w:p>
    <w:p>
      <w:pPr>
        <w:ind w:left="800" w:right="299"/>
        <w:spacing w:after="0" w:line="260" w:lineRule="auto"/>
        <w:rPr>
          <w:sz w:val="20"/>
          <w:szCs w:val="20"/>
          <w:color w:val="auto"/>
        </w:rPr>
      </w:pPr>
      <w:r>
        <w:rPr>
          <w:rFonts w:ascii="Arial" w:cs="Arial" w:eastAsia="Arial" w:hAnsi="Arial"/>
          <w:sz w:val="17"/>
          <w:szCs w:val="17"/>
          <w:color w:val="auto"/>
        </w:rPr>
        <w:t>On September 1, 2021, the Company entered into a change in control and severance agreement with George Kurtz, the Company’s President and Chief Executive Officer (the “Change in Control and Severance Agreement”). The terms of the Change in Control and Severance Agreement are described in detail below under “Potential Payments upon Termination or Change in Control.”</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Stock Ownership Guidelines</w:t>
      </w:r>
    </w:p>
    <w:p>
      <w:pPr>
        <w:spacing w:after="0" w:line="122" w:lineRule="exact"/>
        <w:rPr>
          <w:sz w:val="20"/>
          <w:szCs w:val="20"/>
          <w:color w:val="auto"/>
        </w:rPr>
      </w:pPr>
    </w:p>
    <w:p>
      <w:pPr>
        <w:ind w:left="800" w:right="139"/>
        <w:spacing w:after="0" w:line="252" w:lineRule="auto"/>
        <w:rPr>
          <w:sz w:val="20"/>
          <w:szCs w:val="20"/>
          <w:color w:val="auto"/>
        </w:rPr>
      </w:pPr>
      <w:r>
        <w:rPr>
          <w:rFonts w:ascii="Arial" w:cs="Arial" w:eastAsia="Arial" w:hAnsi="Arial"/>
          <w:sz w:val="17"/>
          <w:szCs w:val="17"/>
          <w:color w:val="auto"/>
        </w:rPr>
        <w:t>The Compensation Committee maintains stock ownership guidelines for our independent directors and executive officers, including our Chief Executive Officer. Under the guidelines (i) our Chief Executive Officer is required to acquire and own shares of common stock in an amount equal to 6x his annual base salary, (ii) our executive officers (other than our Chief Executive Officer) are required to acquire and own shares of common stock in an amount equal to 1x their base annual salary and (iii) our directors are required to acquire and own shares of common stock in an amount equal to 5x their annual cash retainer (not including committee chair or membership retainer).</w:t>
      </w:r>
    </w:p>
    <w:p>
      <w:pPr>
        <w:spacing w:after="0" w:line="180" w:lineRule="exact"/>
        <w:rPr>
          <w:sz w:val="20"/>
          <w:szCs w:val="20"/>
          <w:color w:val="auto"/>
        </w:rPr>
      </w:pPr>
    </w:p>
    <w:p>
      <w:pPr>
        <w:ind w:left="800" w:right="159"/>
        <w:spacing w:after="0" w:line="261" w:lineRule="auto"/>
        <w:rPr>
          <w:sz w:val="20"/>
          <w:szCs w:val="20"/>
          <w:color w:val="auto"/>
        </w:rPr>
      </w:pPr>
      <w:r>
        <w:rPr>
          <w:rFonts w:ascii="Arial" w:cs="Arial" w:eastAsia="Arial" w:hAnsi="Arial"/>
          <w:sz w:val="17"/>
          <w:szCs w:val="17"/>
          <w:color w:val="auto"/>
        </w:rPr>
        <w:t>For these purposes, owned stock includes shares of common stock owned directly or indirectly by the covered individual, but does not include (i) shares of common stock subject to outstanding and unexercised stock options or warrants, whether vested or unvested and whether exercisable or unexercisable, (ii) shares of restricted common stock subject to vesting requirements, (iii) shares of common stock subject to outstanding restricted stock unit awards, performance-based stock unit awards or other performance-based incentive awards and (iv) all other forms of derivative securities. Executive officers (including our Chief Executive Officer) and directors are required to meet the applicable ownership requirements by the later of (i) March 5, 2029 or (ii) the fifth anniversary of such individual’s date of appointment as an executive officer or a director. As of the end of fiscal 2026, all of our then-current named executive officers and directors have met or exceeded these guidelines based on their current rate of stock accumulations in the time frames set out in the stock ownership guidelines.</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Recoupment of Incentive Compensation, or Clawback, Policy</w:t>
      </w:r>
    </w:p>
    <w:p>
      <w:pPr>
        <w:spacing w:after="0" w:line="122" w:lineRule="exact"/>
        <w:rPr>
          <w:sz w:val="20"/>
          <w:szCs w:val="20"/>
          <w:color w:val="auto"/>
        </w:rPr>
      </w:pPr>
    </w:p>
    <w:p>
      <w:pPr>
        <w:ind w:left="800" w:right="199"/>
        <w:spacing w:after="0" w:line="263" w:lineRule="auto"/>
        <w:rPr>
          <w:sz w:val="20"/>
          <w:szCs w:val="20"/>
          <w:color w:val="auto"/>
        </w:rPr>
      </w:pPr>
      <w:r>
        <w:rPr>
          <w:rFonts w:ascii="Arial" w:cs="Arial" w:eastAsia="Arial" w:hAnsi="Arial"/>
          <w:sz w:val="17"/>
          <w:szCs w:val="17"/>
          <w:color w:val="auto"/>
        </w:rPr>
        <w:t>The Board has adopted a Compensation Recovery Policy (the “Clawback Policy”), effective as of October 2023, which provides that, in the event the Company is required to prepare an accounting restatement due to material non-compliance with a financial reporting requirement under the federal securities laws, the Company will recover any incentive-based compensation received by any current or former executive officer after the effective date of the policy and during the three-year period preceding the date on which the Company is required to prepare the restatement that is in excess of what would have been paid or earned by such executive officer had the financial results been properly reported.</w:t>
      </w:r>
    </w:p>
    <w:p>
      <w:pPr>
        <w:spacing w:after="0" w:line="173" w:lineRule="exact"/>
        <w:rPr>
          <w:sz w:val="20"/>
          <w:szCs w:val="20"/>
          <w:color w:val="auto"/>
        </w:rPr>
      </w:pPr>
    </w:p>
    <w:p>
      <w:pPr>
        <w:ind w:left="800" w:right="139"/>
        <w:spacing w:after="0" w:line="262" w:lineRule="auto"/>
        <w:rPr>
          <w:sz w:val="20"/>
          <w:szCs w:val="20"/>
          <w:color w:val="auto"/>
        </w:rPr>
      </w:pPr>
      <w:r>
        <w:rPr>
          <w:rFonts w:ascii="Arial" w:cs="Arial" w:eastAsia="Arial" w:hAnsi="Arial"/>
          <w:sz w:val="17"/>
          <w:szCs w:val="17"/>
          <w:color w:val="auto"/>
        </w:rPr>
        <w:t>Our Consolidated Financial Statements were revised for the fiscal years ended January 31, 2025 and January 31, 2024, and the unaudited interim periods within such years, to correct for an immaterial error related to the timing of recognition of stock-based compensation expense in prior periods associated with certain awards granted in the fiscal years ended January 31, 2023 and January 31, 2022. The revision required a recovery analysis of incentive-based executive compensation under our Clawback Policy. We determined that the revision had no recovery impact with respect to such incentive-based compensation because the immaterial error did not result in any current or former executive officer receiving excess compensation relative to what would have been earned by such executive officer had the financial results been properly reported.</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Anti-Hedging and Pledging Policy</w:t>
      </w:r>
    </w:p>
    <w:p>
      <w:pPr>
        <w:spacing w:after="0" w:line="122"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The Company’s insider trading policy prohibits all of our directors, officers and employees, including the Company’s NEOs, from trading derivative securities of CrowdStrike, short selling, pledging, or purchasing our securities on margin or holding our securities in a margin account, except in the case of pledging our securities or holding them in a margin account with the express advance permission of our Board and Chief Legal Officer.</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Tax and Accounting Considerations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Accounting for Stock-Based Compensation</w:t>
      </w:r>
    </w:p>
    <w:p>
      <w:pPr>
        <w:spacing w:after="0" w:line="106" w:lineRule="exact"/>
        <w:rPr>
          <w:sz w:val="20"/>
          <w:szCs w:val="20"/>
          <w:color w:val="auto"/>
        </w:rPr>
      </w:pPr>
    </w:p>
    <w:p>
      <w:pPr>
        <w:jc w:val="both"/>
        <w:ind w:left="800" w:right="159"/>
        <w:spacing w:after="0" w:line="270" w:lineRule="auto"/>
        <w:rPr>
          <w:sz w:val="20"/>
          <w:szCs w:val="20"/>
          <w:color w:val="auto"/>
        </w:rPr>
      </w:pPr>
      <w:r>
        <w:rPr>
          <w:rFonts w:ascii="Arial" w:cs="Arial" w:eastAsia="Arial" w:hAnsi="Arial"/>
          <w:sz w:val="17"/>
          <w:szCs w:val="17"/>
          <w:color w:val="auto"/>
        </w:rPr>
        <w:t>The Compensation Committee takes accounting considerations into account in designing compensation plans and arrangements for our NEOs and other employees. Chief among these is the Financial Accounting Standard Board’s Accounting Standards Codification Topic 718 (“FASB ASC Topic 718”), the standard which governs the accounting treatment of stock-based compensation awards.</w:t>
      </w:r>
    </w:p>
    <w:p>
      <w:pPr>
        <w:sectPr>
          <w:pgSz w:w="11900" w:h="16838" w:orient="portrait"/>
          <w:cols w:equalWidth="0" w:num="1">
            <w:col w:w="9699"/>
          </w:cols>
          <w:pgMar w:left="760" w:top="94" w:right="1440" w:bottom="1440" w:gutter="0" w:footer="0" w:header="0"/>
        </w:sectPr>
      </w:pPr>
    </w:p>
    <w:p>
      <w:pPr>
        <w:spacing w:after="0" w:line="382"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90" w:lineRule="exact"/>
        <w:rPr>
          <w:sz w:val="20"/>
          <w:szCs w:val="20"/>
          <w:color w:val="auto"/>
        </w:rPr>
      </w:pPr>
    </w:p>
    <w:p>
      <w:pPr>
        <w:ind w:left="800" w:right="259"/>
        <w:spacing w:after="0" w:line="263" w:lineRule="auto"/>
        <w:rPr>
          <w:sz w:val="20"/>
          <w:szCs w:val="20"/>
          <w:color w:val="auto"/>
        </w:rPr>
      </w:pPr>
      <w:r>
        <w:rPr>
          <w:rFonts w:ascii="Arial" w:cs="Arial" w:eastAsia="Arial" w:hAnsi="Arial"/>
          <w:sz w:val="17"/>
          <w:szCs w:val="17"/>
          <w:color w:val="auto"/>
        </w:rPr>
        <w:t>We follow FASB ASC Topic 718 for our stock-based compensation awards. FASB ASC Topic 718 requires us to measure the compensation expense for all share-based payment awards made to our employees and non-employee members of our Board, including RSUs and PSUs, based on the grant date “fair value” of these awards. This calculation is performed for accounting purposes and reported in the executive compensation tables below, even though the recipient may never realize any value from such awards. For performance units, stock-based compensation expense recognized may be adjusted over the performance period based on interim estimates of performance against pre-set objectives.</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Compensation Risk Assessment</w:t>
      </w:r>
    </w:p>
    <w:p>
      <w:pPr>
        <w:spacing w:after="0" w:line="122" w:lineRule="exact"/>
        <w:rPr>
          <w:sz w:val="20"/>
          <w:szCs w:val="20"/>
          <w:color w:val="auto"/>
        </w:rPr>
      </w:pPr>
    </w:p>
    <w:p>
      <w:pPr>
        <w:ind w:left="800" w:right="159"/>
        <w:spacing w:after="0" w:line="265" w:lineRule="auto"/>
        <w:rPr>
          <w:sz w:val="20"/>
          <w:szCs w:val="20"/>
          <w:color w:val="auto"/>
        </w:rPr>
      </w:pPr>
      <w:r>
        <w:rPr>
          <w:rFonts w:ascii="Arial" w:cs="Arial" w:eastAsia="Arial" w:hAnsi="Arial"/>
          <w:sz w:val="17"/>
          <w:szCs w:val="17"/>
          <w:color w:val="auto"/>
        </w:rPr>
        <w:t>In consultation with management and Compensia, in April 2026, our Compensation Committee assessed our compensation plans, policies and practices for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performance-based pay components. Our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4" w:lineRule="exact"/>
        <w:rPr>
          <w:sz w:val="20"/>
          <w:szCs w:val="20"/>
          <w:color w:val="auto"/>
        </w:rPr>
      </w:pPr>
    </w:p>
    <w:p>
      <w:pPr>
        <w:ind w:left="800" w:right="559"/>
        <w:spacing w:after="0" w:line="258" w:lineRule="auto"/>
        <w:rPr>
          <w:sz w:val="20"/>
          <w:szCs w:val="20"/>
          <w:color w:val="auto"/>
        </w:rPr>
      </w:pPr>
      <w:r>
        <w:rPr>
          <w:rFonts w:ascii="Arial" w:cs="Arial" w:eastAsia="Arial" w:hAnsi="Arial"/>
          <w:sz w:val="45"/>
          <w:szCs w:val="45"/>
          <w:color w:val="auto"/>
        </w:rPr>
        <w:t>Report of the Compensation Committee of the Board of Directors</w:t>
      </w:r>
    </w:p>
    <w:p>
      <w:pPr>
        <w:spacing w:after="0" w:line="4" w:lineRule="exact"/>
        <w:rPr>
          <w:sz w:val="20"/>
          <w:szCs w:val="20"/>
          <w:color w:val="auto"/>
        </w:rPr>
      </w:pPr>
    </w:p>
    <w:p>
      <w:pPr>
        <w:ind w:left="800" w:right="279"/>
        <w:spacing w:after="0" w:line="270" w:lineRule="auto"/>
        <w:rPr>
          <w:sz w:val="20"/>
          <w:szCs w:val="20"/>
          <w:color w:val="auto"/>
        </w:rPr>
      </w:pPr>
      <w:r>
        <w:rPr>
          <w:rFonts w:ascii="Arial" w:cs="Arial" w:eastAsia="Arial" w:hAnsi="Arial"/>
          <w:sz w:val="17"/>
          <w:szCs w:val="17"/>
          <w:color w:val="auto"/>
        </w:rPr>
        <w:t>The Compensation Committee has reviewed and discussed this CD&amp;A with management and, based on such review and discussions, the Compensation Committee recommended to the Board that the CD&amp;A be included in this Proxy Statement and incorporated by reference into the Company’s Annual Report on Form 10-K for the fiscal year ended January 31, 2026.</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Respectfully submitted by the members of the Compensation Committee of the Board.</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Cary J. Davis (chairperson)</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Roxanne S. Austin</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Sameer K. Gandhi</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Pay Ratio Disclosure</w:t>
      </w:r>
    </w:p>
    <w:p>
      <w:pPr>
        <w:spacing w:after="0" w:line="110" w:lineRule="exact"/>
        <w:rPr>
          <w:sz w:val="20"/>
          <w:szCs w:val="20"/>
          <w:color w:val="auto"/>
        </w:rPr>
      </w:pPr>
    </w:p>
    <w:p>
      <w:pPr>
        <w:ind w:left="800" w:right="419"/>
        <w:spacing w:after="0" w:line="275" w:lineRule="auto"/>
        <w:rPr>
          <w:sz w:val="20"/>
          <w:szCs w:val="20"/>
          <w:color w:val="auto"/>
        </w:rPr>
      </w:pPr>
      <w:r>
        <w:rPr>
          <w:rFonts w:ascii="Arial" w:cs="Arial" w:eastAsia="Arial" w:hAnsi="Arial"/>
          <w:sz w:val="17"/>
          <w:szCs w:val="17"/>
          <w:color w:val="auto"/>
        </w:rPr>
        <w:t>In accordance with the requirements of Section 953(b) of the Dodd-Frank Act and Item 402(u) of Regulation S-K (which we collectively refer to as the “Pay Ratio Rule”), we are providing the following estimated information for fiscal 2026:</w:t>
      </w:r>
    </w:p>
    <w:p>
      <w:pPr>
        <w:spacing w:after="0" w:line="57" w:lineRule="exact"/>
        <w:rPr>
          <w:sz w:val="20"/>
          <w:szCs w:val="20"/>
          <w:color w:val="auto"/>
        </w:rPr>
      </w:pPr>
    </w:p>
    <w:p>
      <w:pPr>
        <w:ind w:left="1320" w:hanging="179"/>
        <w:spacing w:after="0"/>
        <w:tabs>
          <w:tab w:leader="none" w:pos="1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median of the annual total compensation of all our employees (excluding our CEO) was $178,015;</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annual total compensation of our CEO was $247,579,143;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ratio of these two amounts was 1,391 to 1.</w:t>
      </w:r>
    </w:p>
    <w:p>
      <w:pPr>
        <w:spacing w:after="0" w:line="223" w:lineRule="exact"/>
        <w:rPr>
          <w:sz w:val="20"/>
          <w:szCs w:val="20"/>
          <w:color w:val="auto"/>
        </w:rPr>
      </w:pPr>
    </w:p>
    <w:p>
      <w:pPr>
        <w:ind w:left="800" w:right="379"/>
        <w:spacing w:after="0" w:line="298" w:lineRule="auto"/>
        <w:rPr>
          <w:sz w:val="20"/>
          <w:szCs w:val="20"/>
          <w:color w:val="auto"/>
        </w:rPr>
      </w:pPr>
      <w:r>
        <w:rPr>
          <w:rFonts w:ascii="Arial" w:cs="Arial" w:eastAsia="Arial" w:hAnsi="Arial"/>
          <w:sz w:val="17"/>
          <w:szCs w:val="17"/>
          <w:color w:val="auto"/>
        </w:rPr>
        <w:t>We believe that this ratio is a reasonable estimate calculated in a manner consistent with the requirements of the Pay Ratio Rule.</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Methodology for Identifying Our Median Employee</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Employee Population</w:t>
      </w:r>
    </w:p>
    <w:p>
      <w:pPr>
        <w:spacing w:after="0" w:line="119"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To identify the median of the annual total compensation of all of our employees (other than our CEO) for fiscal 2026, we first identified our total employee population from which we determined our median employee. We determined that, as of December 31, 2025, our employee population consisted of approximately 10,586 individuals.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21"/>
          <w:szCs w:val="21"/>
          <w:i w:val="1"/>
          <w:iCs w:val="1"/>
          <w:color w:val="auto"/>
        </w:rPr>
        <w:t>Determining our Median Employee</w:t>
      </w:r>
    </w:p>
    <w:p>
      <w:pPr>
        <w:spacing w:after="0" w:line="119" w:lineRule="exact"/>
        <w:rPr>
          <w:sz w:val="20"/>
          <w:szCs w:val="20"/>
          <w:color w:val="auto"/>
        </w:rPr>
      </w:pPr>
    </w:p>
    <w:p>
      <w:pPr>
        <w:ind w:left="800" w:right="279"/>
        <w:spacing w:after="0" w:line="265" w:lineRule="auto"/>
        <w:rPr>
          <w:sz w:val="20"/>
          <w:szCs w:val="20"/>
          <w:color w:val="auto"/>
        </w:rPr>
      </w:pPr>
      <w:r>
        <w:rPr>
          <w:rFonts w:ascii="Arial" w:cs="Arial" w:eastAsia="Arial" w:hAnsi="Arial"/>
          <w:sz w:val="17"/>
          <w:szCs w:val="17"/>
          <w:color w:val="auto"/>
        </w:rPr>
        <w:t>As permitted by SEC rules, to identify our median employee for fiscal 2026, we used total direct compensation as our consistently applied compensation measure, which we calculated as total cash compensation plus the grant date value of equity over the 12-month period preceding the determination date. Conforming adjustments were made for full-time and part-time employees who were hired during the 12-month period and did not receive pay for the full period, and international employees’ pay was converted to US dollars using the exchange rates on the determination date.</w:t>
      </w:r>
    </w:p>
    <w:p>
      <w:pPr>
        <w:spacing w:after="0" w:line="202" w:lineRule="exact"/>
        <w:rPr>
          <w:sz w:val="20"/>
          <w:szCs w:val="20"/>
          <w:color w:val="auto"/>
        </w:rPr>
      </w:pPr>
    </w:p>
    <w:p>
      <w:pPr>
        <w:ind w:left="800" w:right="299"/>
        <w:spacing w:after="0" w:line="286" w:lineRule="auto"/>
        <w:rPr>
          <w:sz w:val="20"/>
          <w:szCs w:val="20"/>
          <w:color w:val="auto"/>
        </w:rPr>
      </w:pPr>
      <w:r>
        <w:rPr>
          <w:rFonts w:ascii="Arial" w:cs="Arial" w:eastAsia="Arial" w:hAnsi="Arial"/>
          <w:sz w:val="24"/>
          <w:szCs w:val="24"/>
          <w:b w:val="1"/>
          <w:bCs w:val="1"/>
          <w:color w:val="auto"/>
        </w:rPr>
        <w:t>Determination of Annual Total Compensation of our Median Employee and our CEO</w:t>
      </w:r>
    </w:p>
    <w:p>
      <w:pPr>
        <w:spacing w:after="0" w:line="1" w:lineRule="exact"/>
        <w:rPr>
          <w:sz w:val="20"/>
          <w:szCs w:val="20"/>
          <w:color w:val="auto"/>
        </w:rPr>
      </w:pPr>
    </w:p>
    <w:p>
      <w:pPr>
        <w:ind w:left="800" w:right="359"/>
        <w:spacing w:after="0" w:line="298" w:lineRule="auto"/>
        <w:rPr>
          <w:sz w:val="20"/>
          <w:szCs w:val="20"/>
          <w:color w:val="auto"/>
        </w:rPr>
      </w:pPr>
      <w:r>
        <w:rPr>
          <w:rFonts w:ascii="Arial" w:cs="Arial" w:eastAsia="Arial" w:hAnsi="Arial"/>
          <w:sz w:val="17"/>
          <w:szCs w:val="17"/>
          <w:color w:val="auto"/>
        </w:rPr>
        <w:t>Once we identified our median employee, we then calculated this individual’s annual total compensation for fiscal 2026 by using the same methodology we used for our NEOs in our fiscal 2026 Summary Compensation Table.</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Executive Compensation Tables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Fiscal 2026 Summary Compensation Table</w:t>
      </w:r>
    </w:p>
    <w:p>
      <w:pPr>
        <w:spacing w:after="0" w:line="100" w:lineRule="exact"/>
        <w:rPr>
          <w:sz w:val="20"/>
          <w:szCs w:val="20"/>
          <w:color w:val="auto"/>
        </w:rPr>
      </w:pPr>
    </w:p>
    <w:p>
      <w:pPr>
        <w:ind w:left="800" w:right="399"/>
        <w:spacing w:after="0" w:line="282" w:lineRule="auto"/>
        <w:rPr>
          <w:sz w:val="20"/>
          <w:szCs w:val="20"/>
          <w:color w:val="auto"/>
        </w:rPr>
      </w:pPr>
      <w:r>
        <w:rPr>
          <w:rFonts w:ascii="Arial" w:cs="Arial" w:eastAsia="Arial" w:hAnsi="Arial"/>
          <w:sz w:val="17"/>
          <w:szCs w:val="17"/>
          <w:color w:val="auto"/>
        </w:rPr>
        <w:t>The Summary Compensation Table and notes show all compensation paid to or earned by each of our NEOs for the fiscal years ended January 31, 2026, 2025 and 2024.</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Non-Equity</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
              <w:spacing w:after="0" w:line="157" w:lineRule="exact"/>
              <w:rPr>
                <w:sz w:val="20"/>
                <w:szCs w:val="20"/>
                <w:color w:val="auto"/>
              </w:rPr>
            </w:pPr>
            <w:r>
              <w:rPr>
                <w:rFonts w:ascii="Arial" w:cs="Arial" w:eastAsia="Arial" w:hAnsi="Arial"/>
                <w:sz w:val="14"/>
                <w:szCs w:val="14"/>
                <w:b w:val="1"/>
                <w:bCs w:val="1"/>
                <w:color w:val="auto"/>
                <w:w w:val="99"/>
              </w:rPr>
              <w:t>Stock</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80" w:type="dxa"/>
            <w:vAlign w:val="bottom"/>
          </w:tcPr>
          <w:p>
            <w:pPr>
              <w:spacing w:after="0"/>
              <w:rPr>
                <w:sz w:val="13"/>
                <w:szCs w:val="13"/>
                <w:color w:val="auto"/>
              </w:rPr>
            </w:pPr>
          </w:p>
        </w:tc>
        <w:tc>
          <w:tcPr>
            <w:tcW w:w="780" w:type="dxa"/>
            <w:vAlign w:val="bottom"/>
          </w:tcPr>
          <w:p>
            <w:pPr>
              <w:jc w:val="right"/>
              <w:ind w:right="78"/>
              <w:spacing w:after="0" w:line="157"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3"/>
                <w:szCs w:val="13"/>
                <w:color w:val="auto"/>
              </w:rPr>
            </w:pPr>
          </w:p>
        </w:tc>
        <w:tc>
          <w:tcPr>
            <w:tcW w:w="900" w:type="dxa"/>
            <w:vAlign w:val="bottom"/>
          </w:tcPr>
          <w:p>
            <w:pPr>
              <w:jc w:val="center"/>
              <w:ind w:right="2"/>
              <w:spacing w:after="0" w:line="157" w:lineRule="exact"/>
              <w:rPr>
                <w:sz w:val="20"/>
                <w:szCs w:val="20"/>
                <w:color w:val="auto"/>
              </w:rPr>
            </w:pPr>
            <w:r>
              <w:rPr>
                <w:rFonts w:ascii="Arial" w:cs="Arial" w:eastAsia="Arial" w:hAnsi="Arial"/>
                <w:sz w:val="14"/>
                <w:szCs w:val="14"/>
                <w:b w:val="1"/>
                <w:bCs w:val="1"/>
                <w:color w:val="auto"/>
                <w:w w:val="98"/>
              </w:rPr>
              <w:t>Awards</w:t>
            </w:r>
          </w:p>
        </w:tc>
        <w:tc>
          <w:tcPr>
            <w:tcW w:w="204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Compensation Compensation</w:t>
            </w:r>
          </w:p>
        </w:tc>
        <w:tc>
          <w:tcPr>
            <w:tcW w:w="94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tcBorders>
              <w:bottom w:val="single" w:sz="8" w:color="D6515D"/>
            </w:tcBorders>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D6515D"/>
            </w:tcBorders>
          </w:tcPr>
          <w:p>
            <w:pPr>
              <w:spacing w:after="0"/>
              <w:rPr>
                <w:sz w:val="15"/>
                <w:szCs w:val="15"/>
                <w:color w:val="auto"/>
              </w:rPr>
            </w:pPr>
          </w:p>
        </w:tc>
        <w:tc>
          <w:tcPr>
            <w:tcW w:w="700" w:type="dxa"/>
            <w:vAlign w:val="bottom"/>
            <w:tcBorders>
              <w:bottom w:val="single" w:sz="8" w:color="D6515D"/>
            </w:tcBorders>
          </w:tcPr>
          <w:p>
            <w:pPr>
              <w:jc w:val="right"/>
              <w:ind w:right="24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5"/>
                <w:szCs w:val="15"/>
                <w:color w:val="auto"/>
              </w:rPr>
            </w:pPr>
          </w:p>
        </w:tc>
        <w:tc>
          <w:tcPr>
            <w:tcW w:w="900" w:type="dxa"/>
            <w:vAlign w:val="bottom"/>
            <w:tcBorders>
              <w:bottom w:val="single" w:sz="8" w:color="D6515D"/>
            </w:tcBorders>
          </w:tcPr>
          <w:p>
            <w:pPr>
              <w:jc w:val="center"/>
              <w:ind w:right="22"/>
              <w:spacing w:after="0" w:line="180"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17"/>
                <w:szCs w:val="17"/>
                <w:b w:val="1"/>
                <w:bCs w:val="1"/>
                <w:color w:val="auto"/>
                <w:w w:val="91"/>
                <w:vertAlign w:val="superscript"/>
              </w:rPr>
              <w:t>(1)</w:t>
            </w:r>
          </w:p>
        </w:tc>
        <w:tc>
          <w:tcPr>
            <w:tcW w:w="200" w:type="dxa"/>
            <w:vAlign w:val="bottom"/>
            <w:tcBorders>
              <w:bottom w:val="single" w:sz="8" w:color="D6515D"/>
            </w:tcBorders>
          </w:tcPr>
          <w:p>
            <w:pPr>
              <w:spacing w:after="0"/>
              <w:rPr>
                <w:sz w:val="15"/>
                <w:szCs w:val="15"/>
                <w:color w:val="auto"/>
              </w:rPr>
            </w:pPr>
          </w:p>
        </w:tc>
        <w:tc>
          <w:tcPr>
            <w:tcW w:w="760" w:type="dxa"/>
            <w:vAlign w:val="bottom"/>
            <w:tcBorders>
              <w:bottom w:val="single" w:sz="8" w:color="D6515D"/>
            </w:tcBorders>
          </w:tcPr>
          <w:p>
            <w:pPr>
              <w:jc w:val="center"/>
              <w:ind w:right="95"/>
              <w:spacing w:after="0" w:line="180"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17"/>
                <w:szCs w:val="17"/>
                <w:b w:val="1"/>
                <w:bCs w:val="1"/>
                <w:color w:val="auto"/>
                <w:w w:val="85"/>
                <w:vertAlign w:val="superscript"/>
              </w:rPr>
              <w:t>(2)</w:t>
            </w:r>
          </w:p>
        </w:tc>
        <w:tc>
          <w:tcPr>
            <w:tcW w:w="180" w:type="dxa"/>
            <w:vAlign w:val="bottom"/>
            <w:tcBorders>
              <w:bottom w:val="single" w:sz="8" w:color="D6515D"/>
            </w:tcBorders>
          </w:tcPr>
          <w:p>
            <w:pPr>
              <w:spacing w:after="0"/>
              <w:rPr>
                <w:sz w:val="15"/>
                <w:szCs w:val="15"/>
                <w:color w:val="auto"/>
              </w:rPr>
            </w:pPr>
          </w:p>
        </w:tc>
        <w:tc>
          <w:tcPr>
            <w:tcW w:w="780" w:type="dxa"/>
            <w:vAlign w:val="bottom"/>
            <w:tcBorders>
              <w:bottom w:val="single" w:sz="8" w:color="D6515D"/>
            </w:tcBorders>
          </w:tcPr>
          <w:p>
            <w:pPr>
              <w:jc w:val="right"/>
              <w:ind w:right="158"/>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 xml:space="preserve"> (3)(4)</w:t>
            </w:r>
          </w:p>
        </w:tc>
        <w:tc>
          <w:tcPr>
            <w:tcW w:w="120" w:type="dxa"/>
            <w:vAlign w:val="bottom"/>
            <w:tcBorders>
              <w:bottom w:val="single" w:sz="8" w:color="D6515D"/>
            </w:tcBorders>
          </w:tcPr>
          <w:p>
            <w:pPr>
              <w:spacing w:after="0"/>
              <w:rPr>
                <w:sz w:val="15"/>
                <w:szCs w:val="15"/>
                <w:color w:val="auto"/>
              </w:rPr>
            </w:pPr>
          </w:p>
        </w:tc>
        <w:tc>
          <w:tcPr>
            <w:tcW w:w="920" w:type="dxa"/>
            <w:vAlign w:val="bottom"/>
            <w:tcBorders>
              <w:bottom w:val="single" w:sz="8" w:color="D6515D"/>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20"/>
                <w:szCs w:val="20"/>
                <w:color w:val="auto"/>
              </w:rPr>
            </w:pPr>
            <w:r>
              <w:rPr>
                <w:rFonts w:ascii="Arial" w:cs="Arial" w:eastAsia="Arial" w:hAnsi="Arial"/>
                <w:sz w:val="17"/>
                <w:szCs w:val="17"/>
                <w:b w:val="1"/>
                <w:bCs w:val="1"/>
                <w:color w:val="auto"/>
              </w:rPr>
              <w:t>George Kurtz</w:t>
            </w:r>
          </w:p>
        </w:tc>
        <w:tc>
          <w:tcPr>
            <w:tcW w:w="2200" w:type="dxa"/>
            <w:vAlign w:val="bottom"/>
            <w:gridSpan w:val="6"/>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2026</w:t>
            </w:r>
            <w:r>
              <w:rPr>
                <w:rFonts w:ascii="Arial" w:cs="Arial" w:eastAsia="Arial" w:hAnsi="Arial"/>
                <w:sz w:val="24"/>
                <w:szCs w:val="24"/>
                <w:color w:val="auto"/>
                <w:vertAlign w:val="superscript"/>
              </w:rPr>
              <w:t>​</w:t>
            </w:r>
            <w:r>
              <w:rPr>
                <w:rFonts w:ascii="Arial" w:cs="Arial" w:eastAsia="Arial" w:hAnsi="Arial"/>
                <w:sz w:val="14"/>
                <w:szCs w:val="14"/>
                <w:color w:val="auto"/>
              </w:rPr>
              <w:t>1,100,000</w:t>
            </w:r>
            <w:r>
              <w:rPr>
                <w:rFonts w:ascii="Arial" w:cs="Arial" w:eastAsia="Arial" w:hAnsi="Arial"/>
                <w:sz w:val="24"/>
                <w:szCs w:val="24"/>
                <w:color w:val="auto"/>
                <w:vertAlign w:val="superscript"/>
              </w:rPr>
              <w:t>​</w:t>
            </w:r>
            <w:r>
              <w:rPr>
                <w:rFonts w:ascii="Arial" w:cs="Arial" w:eastAsia="Arial" w:hAnsi="Arial"/>
                <w:sz w:val="14"/>
                <w:szCs w:val="14"/>
                <w:color w:val="auto"/>
              </w:rPr>
              <w:t>242,124,351</w:t>
            </w:r>
          </w:p>
        </w:tc>
        <w:tc>
          <w:tcPr>
            <w:tcW w:w="96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1,614,938</w:t>
            </w:r>
          </w:p>
        </w:tc>
        <w:tc>
          <w:tcPr>
            <w:tcW w:w="96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2,739,854</w:t>
            </w:r>
          </w:p>
        </w:tc>
        <w:tc>
          <w:tcPr>
            <w:tcW w:w="1040" w:type="dxa"/>
            <w:vAlign w:val="bottom"/>
            <w:gridSpan w:val="2"/>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247,579,143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line="187" w:lineRule="exact"/>
              <w:rPr>
                <w:sz w:val="20"/>
                <w:szCs w:val="20"/>
                <w:color w:val="auto"/>
              </w:rPr>
            </w:pPr>
            <w:r>
              <w:rPr>
                <w:rFonts w:ascii="Arial" w:cs="Arial" w:eastAsia="Arial" w:hAnsi="Arial"/>
                <w:sz w:val="17"/>
                <w:szCs w:val="17"/>
                <w:color w:val="auto"/>
                <w:w w:val="98"/>
              </w:rPr>
              <w:t xml:space="preserve">Chief Executive Officer, President and Director </w:t>
            </w:r>
            <w:r>
              <w:rPr>
                <w:rFonts w:ascii="Arial" w:cs="Arial" w:eastAsia="Arial" w:hAnsi="Arial"/>
                <w:sz w:val="21"/>
                <w:szCs w:val="21"/>
                <w:color w:val="auto"/>
                <w:w w:val="98"/>
                <w:vertAlign w:val="superscript"/>
              </w:rPr>
              <w:t>(5)</w:t>
            </w:r>
          </w:p>
        </w:tc>
        <w:tc>
          <w:tcPr>
            <w:tcW w:w="42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6"/>
                <w:szCs w:val="16"/>
                <w:color w:val="auto"/>
              </w:rPr>
            </w:pPr>
          </w:p>
        </w:tc>
        <w:tc>
          <w:tcPr>
            <w:tcW w:w="8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31,850,681</w:t>
            </w:r>
          </w:p>
        </w:tc>
        <w:tc>
          <w:tcPr>
            <w:tcW w:w="200" w:type="dxa"/>
            <w:vAlign w:val="bottom"/>
          </w:tcPr>
          <w:p>
            <w:pPr>
              <w:ind w:left="80"/>
              <w:spacing w:after="0" w:line="187" w:lineRule="exact"/>
              <w:rPr>
                <w:sz w:val="20"/>
                <w:szCs w:val="20"/>
                <w:color w:val="auto"/>
              </w:rPr>
            </w:pPr>
            <w:r>
              <w:rPr>
                <w:rFonts w:ascii="Arial" w:cs="Arial" w:eastAsia="Arial" w:hAnsi="Arial"/>
                <w:sz w:val="17"/>
                <w:szCs w:val="17"/>
                <w:color w:val="auto"/>
              </w:rPr>
              <w:t>​</w:t>
            </w:r>
          </w:p>
        </w:tc>
        <w:tc>
          <w:tcPr>
            <w:tcW w:w="760" w:type="dxa"/>
            <w:vAlign w:val="bottom"/>
          </w:tcPr>
          <w:p>
            <w:pPr>
              <w:spacing w:after="0"/>
              <w:rPr>
                <w:sz w:val="16"/>
                <w:szCs w:val="16"/>
                <w:color w:val="auto"/>
              </w:rPr>
            </w:pPr>
          </w:p>
        </w:tc>
        <w:tc>
          <w:tcPr>
            <w:tcW w:w="180" w:type="dxa"/>
            <w:vAlign w:val="bottom"/>
          </w:tcPr>
          <w:p>
            <w:pPr>
              <w:ind w:left="20"/>
              <w:spacing w:after="0" w:line="187" w:lineRule="exact"/>
              <w:rPr>
                <w:sz w:val="20"/>
                <w:szCs w:val="20"/>
                <w:color w:val="auto"/>
              </w:rPr>
            </w:pPr>
            <w:r>
              <w:rPr>
                <w:rFonts w:ascii="Arial" w:cs="Arial" w:eastAsia="Arial" w:hAnsi="Arial"/>
                <w:sz w:val="17"/>
                <w:szCs w:val="17"/>
                <w:color w:val="auto"/>
              </w:rPr>
              <w:t>​ ​</w:t>
            </w:r>
          </w:p>
        </w:tc>
        <w:tc>
          <w:tcPr>
            <w:tcW w:w="780" w:type="dxa"/>
            <w:vAlign w:val="bottom"/>
          </w:tcPr>
          <w:p>
            <w:pPr>
              <w:spacing w:after="0"/>
              <w:rPr>
                <w:sz w:val="16"/>
                <w:szCs w:val="16"/>
                <w:color w:val="auto"/>
              </w:rPr>
            </w:pPr>
          </w:p>
        </w:tc>
        <w:tc>
          <w:tcPr>
            <w:tcW w:w="120" w:type="dxa"/>
            <w:vAlign w:val="bottom"/>
          </w:tcPr>
          <w:p>
            <w:pPr>
              <w:ind w:left="40"/>
              <w:spacing w:after="0" w:line="187" w:lineRule="exact"/>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35,195,300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700" w:type="dxa"/>
            <w:vAlign w:val="bottom"/>
          </w:tcPr>
          <w:p>
            <w:pPr>
              <w:spacing w:after="0"/>
              <w:rPr>
                <w:sz w:val="3"/>
                <w:szCs w:val="3"/>
                <w:color w:val="auto"/>
              </w:rPr>
            </w:pPr>
          </w:p>
        </w:tc>
        <w:tc>
          <w:tcPr>
            <w:tcW w:w="1220" w:type="dxa"/>
            <w:vAlign w:val="bottom"/>
            <w:gridSpan w:val="4"/>
          </w:tcPr>
          <w:p>
            <w:pPr>
              <w:ind w:left="20"/>
              <w:spacing w:after="0" w:line="36" w:lineRule="exact"/>
              <w:rPr>
                <w:sz w:val="20"/>
                <w:szCs w:val="20"/>
                <w:color w:val="auto"/>
              </w:rPr>
            </w:pPr>
            <w:r>
              <w:rPr>
                <w:rFonts w:ascii="Arial" w:cs="Arial" w:eastAsia="Arial" w:hAnsi="Arial"/>
                <w:sz w:val="4"/>
                <w:szCs w:val="4"/>
                <w:color w:val="auto"/>
              </w:rPr>
              <w:t>2025 1,000,000</w:t>
            </w: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gridSpan w:val="2"/>
          </w:tcPr>
          <w:p>
            <w:pPr>
              <w:jc w:val="right"/>
              <w:spacing w:after="0" w:line="36" w:lineRule="exact"/>
              <w:rPr>
                <w:sz w:val="20"/>
                <w:szCs w:val="20"/>
                <w:color w:val="auto"/>
              </w:rPr>
            </w:pPr>
            <w:r>
              <w:rPr>
                <w:rFonts w:ascii="Arial" w:cs="Arial" w:eastAsia="Arial" w:hAnsi="Arial"/>
                <w:sz w:val="4"/>
                <w:szCs w:val="4"/>
                <w:color w:val="auto"/>
              </w:rPr>
              <w:t>1,325,064</w:t>
            </w:r>
          </w:p>
        </w:tc>
        <w:tc>
          <w:tcPr>
            <w:tcW w:w="960" w:type="dxa"/>
            <w:vAlign w:val="bottom"/>
            <w:gridSpan w:val="2"/>
          </w:tcPr>
          <w:p>
            <w:pPr>
              <w:jc w:val="right"/>
              <w:spacing w:after="0" w:line="36" w:lineRule="exact"/>
              <w:rPr>
                <w:sz w:val="20"/>
                <w:szCs w:val="20"/>
                <w:color w:val="auto"/>
              </w:rPr>
            </w:pPr>
            <w:r>
              <w:rPr>
                <w:rFonts w:ascii="Arial" w:cs="Arial" w:eastAsia="Arial" w:hAnsi="Arial"/>
                <w:sz w:val="4"/>
                <w:szCs w:val="4"/>
                <w:color w:val="auto"/>
              </w:rPr>
              <w:t>1,019,555</w:t>
            </w: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700" w:type="dxa"/>
            <w:vAlign w:val="bottom"/>
          </w:tcPr>
          <w:p>
            <w:pPr>
              <w:spacing w:after="0"/>
              <w:rPr>
                <w:sz w:val="21"/>
                <w:szCs w:val="21"/>
                <w:color w:val="auto"/>
              </w:rPr>
            </w:pPr>
          </w:p>
        </w:tc>
        <w:tc>
          <w:tcPr>
            <w:tcW w:w="52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2024</w:t>
            </w:r>
            <w:r>
              <w:rPr>
                <w:rFonts w:ascii="Arial" w:cs="Arial" w:eastAsia="Arial" w:hAnsi="Arial"/>
                <w:sz w:val="29"/>
                <w:szCs w:val="29"/>
                <w:color w:val="auto"/>
                <w:vertAlign w:val="superscript"/>
              </w:rPr>
              <w:t>​</w:t>
            </w:r>
          </w:p>
        </w:tc>
        <w:tc>
          <w:tcPr>
            <w:tcW w:w="168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950,000</w:t>
            </w:r>
            <w:r>
              <w:rPr>
                <w:rFonts w:ascii="Arial" w:cs="Arial" w:eastAsia="Arial" w:hAnsi="Arial"/>
                <w:sz w:val="29"/>
                <w:szCs w:val="29"/>
                <w:color w:val="auto"/>
                <w:vertAlign w:val="superscript"/>
              </w:rPr>
              <w:t>​</w:t>
            </w:r>
            <w:r>
              <w:rPr>
                <w:rFonts w:ascii="Arial" w:cs="Arial" w:eastAsia="Arial" w:hAnsi="Arial"/>
                <w:sz w:val="16"/>
                <w:szCs w:val="16"/>
                <w:color w:val="auto"/>
              </w:rPr>
              <w:t xml:space="preserve"> 44,090,037</w:t>
            </w:r>
          </w:p>
        </w:tc>
        <w:tc>
          <w:tcPr>
            <w:tcW w:w="96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1,241,709</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702,109</w:t>
            </w:r>
          </w:p>
        </w:tc>
        <w:tc>
          <w:tcPr>
            <w:tcW w:w="1060" w:type="dxa"/>
            <w:vAlign w:val="bottom"/>
            <w:gridSpan w:val="3"/>
          </w:tcPr>
          <w:p>
            <w:pPr>
              <w:jc w:val="right"/>
              <w:ind w:right="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46,983,855</w:t>
            </w:r>
          </w:p>
        </w:tc>
        <w:tc>
          <w:tcPr>
            <w:tcW w:w="0" w:type="dxa"/>
            <w:vAlign w:val="bottom"/>
          </w:tcPr>
          <w:p>
            <w:pPr>
              <w:spacing w:after="0"/>
              <w:rPr>
                <w:sz w:val="1"/>
                <w:szCs w:val="1"/>
                <w:color w:val="auto"/>
              </w:rPr>
            </w:pPr>
          </w:p>
        </w:tc>
      </w:tr>
      <w:tr>
        <w:trPr>
          <w:trHeight w:val="218"/>
        </w:trPr>
        <w:tc>
          <w:tcPr>
            <w:tcW w:w="37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Michael Sentonas</w:t>
            </w:r>
          </w:p>
        </w:tc>
        <w:tc>
          <w:tcPr>
            <w:tcW w:w="520" w:type="dxa"/>
            <w:vAlign w:val="bottom"/>
            <w:gridSpan w:val="3"/>
            <w:shd w:val="clear" w:color="auto" w:fill="E5E5E5"/>
          </w:tcPr>
          <w:p>
            <w:pPr>
              <w:jc w:val="right"/>
              <w:spacing w:after="0" w:line="218"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2026</w:t>
            </w:r>
            <w:r>
              <w:rPr>
                <w:rFonts w:ascii="Arial" w:cs="Arial" w:eastAsia="Arial" w:hAnsi="Arial"/>
                <w:sz w:val="25"/>
                <w:szCs w:val="25"/>
                <w:color w:val="auto"/>
                <w:vertAlign w:val="superscript"/>
                <w:shd w:val="clear" w:color="auto" w:fill="E5E5E5"/>
              </w:rPr>
              <w:t>​</w:t>
            </w:r>
          </w:p>
        </w:tc>
        <w:tc>
          <w:tcPr>
            <w:tcW w:w="1680" w:type="dxa"/>
            <w:vAlign w:val="bottom"/>
            <w:gridSpan w:val="3"/>
            <w:shd w:val="clear" w:color="auto" w:fill="E5E5E5"/>
          </w:tcPr>
          <w:p>
            <w:pPr>
              <w:jc w:val="right"/>
              <w:spacing w:after="0" w:line="218" w:lineRule="exact"/>
              <w:rPr>
                <w:sz w:val="20"/>
                <w:szCs w:val="20"/>
                <w:color w:val="auto"/>
              </w:rPr>
            </w:pPr>
            <w:r>
              <w:rPr>
                <w:rFonts w:ascii="Arial" w:cs="Arial" w:eastAsia="Arial" w:hAnsi="Arial"/>
                <w:sz w:val="14"/>
                <w:szCs w:val="14"/>
                <w:color w:val="auto"/>
                <w:shd w:val="clear" w:color="auto" w:fill="E5E5E5"/>
              </w:rPr>
              <w:t>875,000</w:t>
            </w: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31,775,895</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shd w:val="clear" w:color="auto" w:fill="E5E5E5"/>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951,563</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shd w:val="clear" w:color="auto" w:fill="E5E5E5"/>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32,187</w:t>
            </w:r>
          </w:p>
        </w:tc>
        <w:tc>
          <w:tcPr>
            <w:tcW w:w="1040" w:type="dxa"/>
            <w:vAlign w:val="bottom"/>
            <w:gridSpan w:val="2"/>
            <w:shd w:val="clear" w:color="auto" w:fill="E5E5E5"/>
          </w:tcPr>
          <w:p>
            <w:pPr>
              <w:jc w:val="right"/>
              <w:spacing w:after="0" w:line="218"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33,634,645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shd w:val="clear" w:color="auto" w:fill="E5E5E5"/>
          </w:tcPr>
          <w:p>
            <w:pPr>
              <w:spacing w:after="0"/>
              <w:rPr>
                <w:sz w:val="20"/>
                <w:szCs w:val="20"/>
                <w:color w:val="auto"/>
              </w:rPr>
            </w:pPr>
            <w:r>
              <w:rPr>
                <w:rFonts w:ascii="Arial" w:cs="Arial" w:eastAsia="Arial" w:hAnsi="Arial"/>
                <w:sz w:val="17"/>
                <w:szCs w:val="17"/>
                <w:color w:val="auto"/>
              </w:rPr>
              <w:t>President</w:t>
            </w:r>
          </w:p>
        </w:tc>
        <w:tc>
          <w:tcPr>
            <w:tcW w:w="400" w:type="dxa"/>
            <w:vAlign w:val="bottom"/>
            <w:shd w:val="clear" w:color="auto" w:fill="E5E5E5"/>
          </w:tcPr>
          <w:p>
            <w:pPr>
              <w:ind w:left="20"/>
              <w:spacing w:after="0" w:line="222"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2025</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w:t>
            </w:r>
          </w:p>
        </w:tc>
        <w:tc>
          <w:tcPr>
            <w:tcW w:w="1680" w:type="dxa"/>
            <w:vAlign w:val="bottom"/>
            <w:gridSpan w:val="3"/>
            <w:shd w:val="clear" w:color="auto" w:fill="E5E5E5"/>
          </w:tcPr>
          <w:p>
            <w:pPr>
              <w:jc w:val="right"/>
              <w:spacing w:after="0" w:line="222" w:lineRule="exact"/>
              <w:rPr>
                <w:sz w:val="20"/>
                <w:szCs w:val="20"/>
                <w:color w:val="auto"/>
              </w:rPr>
            </w:pPr>
            <w:r>
              <w:rPr>
                <w:rFonts w:ascii="Arial" w:cs="Arial" w:eastAsia="Arial" w:hAnsi="Arial"/>
                <w:sz w:val="14"/>
                <w:szCs w:val="14"/>
                <w:color w:val="auto"/>
                <w:shd w:val="clear" w:color="auto" w:fill="E5E5E5"/>
              </w:rPr>
              <w:t>750,000</w:t>
            </w: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22,750,402</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shd w:val="clear" w:color="auto" w:fill="E5E5E5"/>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795,039</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shd w:val="clear" w:color="auto" w:fill="E5E5E5"/>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17,638</w:t>
            </w:r>
          </w:p>
        </w:tc>
        <w:tc>
          <w:tcPr>
            <w:tcW w:w="1040" w:type="dxa"/>
            <w:vAlign w:val="bottom"/>
            <w:gridSpan w:val="2"/>
            <w:shd w:val="clear" w:color="auto" w:fill="E5E5E5"/>
          </w:tcPr>
          <w:p>
            <w:pPr>
              <w:jc w:val="right"/>
              <w:spacing w:after="0" w:line="222" w:lineRule="exact"/>
              <w:rPr>
                <w:sz w:val="20"/>
                <w:szCs w:val="20"/>
                <w:color w:val="auto"/>
              </w:rPr>
            </w:pPr>
            <w:r>
              <w:rPr>
                <w:rFonts w:ascii="Arial" w:cs="Arial" w:eastAsia="Arial" w:hAnsi="Arial"/>
                <w:sz w:val="25"/>
                <w:szCs w:val="25"/>
                <w:color w:val="auto"/>
                <w:vertAlign w:val="superscript"/>
                <w:shd w:val="clear" w:color="auto" w:fill="E5E5E5"/>
              </w:rPr>
              <w:t>​</w:t>
            </w:r>
            <w:r>
              <w:rPr>
                <w:rFonts w:ascii="Arial" w:cs="Arial" w:eastAsia="Arial" w:hAnsi="Arial"/>
                <w:sz w:val="14"/>
                <w:szCs w:val="14"/>
                <w:color w:val="auto"/>
                <w:shd w:val="clear" w:color="auto" w:fill="E5E5E5"/>
              </w:rPr>
              <w:t xml:space="preserve"> 24,313,079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00" w:type="dxa"/>
            <w:vAlign w:val="bottom"/>
            <w:shd w:val="clear" w:color="auto" w:fill="E5E5E5"/>
          </w:tcPr>
          <w:p>
            <w:pPr>
              <w:spacing w:after="0"/>
              <w:rPr>
                <w:sz w:val="21"/>
                <w:szCs w:val="21"/>
                <w:color w:val="auto"/>
              </w:rPr>
            </w:pPr>
          </w:p>
        </w:tc>
        <w:tc>
          <w:tcPr>
            <w:tcW w:w="400" w:type="dxa"/>
            <w:vAlign w:val="bottom"/>
            <w:shd w:val="clear" w:color="auto" w:fill="E5E5E5"/>
          </w:tcPr>
          <w:p>
            <w:pPr>
              <w:ind w:left="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2024</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w:t>
            </w:r>
          </w:p>
        </w:tc>
        <w:tc>
          <w:tcPr>
            <w:tcW w:w="1680" w:type="dxa"/>
            <w:vAlign w:val="bottom"/>
            <w:gridSpan w:val="3"/>
            <w:shd w:val="clear" w:color="auto" w:fill="E5E5E5"/>
          </w:tcPr>
          <w:p>
            <w:pPr>
              <w:jc w:val="right"/>
              <w:spacing w:after="0" w:line="252" w:lineRule="exact"/>
              <w:rPr>
                <w:sz w:val="20"/>
                <w:szCs w:val="20"/>
                <w:color w:val="auto"/>
              </w:rPr>
            </w:pPr>
            <w:r>
              <w:rPr>
                <w:rFonts w:ascii="Arial" w:cs="Arial" w:eastAsia="Arial" w:hAnsi="Arial"/>
                <w:sz w:val="16"/>
                <w:szCs w:val="16"/>
                <w:color w:val="auto"/>
                <w:shd w:val="clear" w:color="auto" w:fill="E5E5E5"/>
              </w:rPr>
              <w:t>625,000</w:t>
            </w:r>
            <w:r>
              <w:rPr>
                <w:rFonts w:ascii="Arial" w:cs="Arial" w:eastAsia="Arial" w:hAnsi="Arial"/>
                <w:sz w:val="29"/>
                <w:szCs w:val="29"/>
                <w:color w:val="auto"/>
                <w:vertAlign w:val="superscript"/>
                <w:shd w:val="clear" w:color="auto" w:fill="E5E5E5"/>
              </w:rPr>
              <w:t>​</w:t>
            </w:r>
            <w:r>
              <w:rPr>
                <w:rFonts w:ascii="Arial" w:cs="Arial" w:eastAsia="Arial" w:hAnsi="Arial"/>
                <w:sz w:val="16"/>
                <w:szCs w:val="16"/>
                <w:color w:val="auto"/>
                <w:shd w:val="clear" w:color="auto" w:fill="E5E5E5"/>
              </w:rPr>
              <w:t xml:space="preserve"> 34,352,360</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shd w:val="clear" w:color="auto" w:fill="E5E5E5"/>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653,531</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shd w:val="clear" w:color="auto" w:fill="E5E5E5"/>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17,700</w:t>
            </w:r>
          </w:p>
        </w:tc>
        <w:tc>
          <w:tcPr>
            <w:tcW w:w="1040" w:type="dxa"/>
            <w:vAlign w:val="bottom"/>
            <w:gridSpan w:val="2"/>
            <w:shd w:val="clear" w:color="auto" w:fill="E5E5E5"/>
          </w:tcPr>
          <w:p>
            <w:pPr>
              <w:jc w:val="right"/>
              <w:spacing w:after="0" w:line="252" w:lineRule="exact"/>
              <w:rPr>
                <w:sz w:val="20"/>
                <w:szCs w:val="20"/>
                <w:color w:val="auto"/>
              </w:rPr>
            </w:pPr>
            <w:r>
              <w:rPr>
                <w:rFonts w:ascii="Arial" w:cs="Arial" w:eastAsia="Arial" w:hAnsi="Arial"/>
                <w:sz w:val="29"/>
                <w:szCs w:val="29"/>
                <w:color w:val="auto"/>
                <w:vertAlign w:val="superscript"/>
                <w:shd w:val="clear" w:color="auto" w:fill="E5E5E5"/>
              </w:rPr>
              <w:t>​</w:t>
            </w:r>
            <w:r>
              <w:rPr>
                <w:rFonts w:ascii="Arial" w:cs="Arial" w:eastAsia="Arial" w:hAnsi="Arial"/>
                <w:sz w:val="16"/>
                <w:szCs w:val="16"/>
                <w:color w:val="auto"/>
                <w:shd w:val="clear" w:color="auto" w:fill="E5E5E5"/>
              </w:rPr>
              <w:t xml:space="preserve"> 35,648,591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0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400" w:type="dxa"/>
            <w:vAlign w:val="bottom"/>
          </w:tcPr>
          <w:p>
            <w:pPr>
              <w:ind w:left="20"/>
              <w:spacing w:after="0" w:line="218"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2026</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spacing w:after="0" w:line="218" w:lineRule="exact"/>
              <w:rPr>
                <w:sz w:val="20"/>
                <w:szCs w:val="20"/>
                <w:color w:val="auto"/>
              </w:rPr>
            </w:pPr>
            <w:r>
              <w:rPr>
                <w:rFonts w:ascii="Arial" w:cs="Arial" w:eastAsia="Arial" w:hAnsi="Arial"/>
                <w:sz w:val="14"/>
                <w:szCs w:val="14"/>
                <w:color w:val="auto"/>
              </w:rPr>
              <w:t>700,000</w:t>
            </w:r>
            <w:r>
              <w:rPr>
                <w:rFonts w:ascii="Arial" w:cs="Arial" w:eastAsia="Arial" w:hAnsi="Arial"/>
                <w:sz w:val="25"/>
                <w:szCs w:val="25"/>
                <w:color w:val="auto"/>
                <w:vertAlign w:val="superscript"/>
              </w:rPr>
              <w:t>​</w:t>
            </w:r>
            <w:r>
              <w:rPr>
                <w:rFonts w:ascii="Arial" w:cs="Arial" w:eastAsia="Arial" w:hAnsi="Arial"/>
                <w:sz w:val="14"/>
                <w:szCs w:val="14"/>
                <w:color w:val="auto"/>
              </w:rPr>
              <w:t xml:space="preserve"> 15,887,948</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761,250</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26,202</w:t>
            </w:r>
          </w:p>
        </w:tc>
        <w:tc>
          <w:tcPr>
            <w:tcW w:w="1040" w:type="dxa"/>
            <w:vAlign w:val="bottom"/>
            <w:gridSpan w:val="2"/>
          </w:tcPr>
          <w:p>
            <w:pPr>
              <w:jc w:val="right"/>
              <w:spacing w:after="0" w:line="218"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17,375,400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520" w:type="dxa"/>
            <w:vAlign w:val="bottom"/>
            <w:gridSpan w:val="3"/>
          </w:tcPr>
          <w:p>
            <w:pPr>
              <w:jc w:val="right"/>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2025</w:t>
            </w:r>
            <w:r>
              <w:rPr>
                <w:rFonts w:ascii="Arial" w:cs="Arial" w:eastAsia="Arial" w:hAnsi="Arial"/>
                <w:sz w:val="25"/>
                <w:szCs w:val="25"/>
                <w:color w:val="auto"/>
                <w:vertAlign w:val="superscript"/>
              </w:rPr>
              <w:t>​</w:t>
            </w:r>
          </w:p>
        </w:tc>
        <w:tc>
          <w:tcPr>
            <w:tcW w:w="1680" w:type="dxa"/>
            <w:vAlign w:val="bottom"/>
            <w:gridSpan w:val="3"/>
          </w:tcPr>
          <w:p>
            <w:pPr>
              <w:jc w:val="right"/>
              <w:spacing w:after="0" w:line="222" w:lineRule="exact"/>
              <w:rPr>
                <w:sz w:val="20"/>
                <w:szCs w:val="20"/>
                <w:color w:val="auto"/>
              </w:rPr>
            </w:pPr>
            <w:r>
              <w:rPr>
                <w:rFonts w:ascii="Arial" w:cs="Arial" w:eastAsia="Arial" w:hAnsi="Arial"/>
                <w:sz w:val="14"/>
                <w:szCs w:val="14"/>
                <w:color w:val="auto"/>
              </w:rPr>
              <w:t>675,000</w:t>
            </w:r>
            <w:r>
              <w:rPr>
                <w:rFonts w:ascii="Arial" w:cs="Arial" w:eastAsia="Arial" w:hAnsi="Arial"/>
                <w:sz w:val="25"/>
                <w:szCs w:val="25"/>
                <w:color w:val="auto"/>
                <w:vertAlign w:val="superscript"/>
              </w:rPr>
              <w:t>​</w:t>
            </w:r>
            <w:r>
              <w:rPr>
                <w:rFonts w:ascii="Arial" w:cs="Arial" w:eastAsia="Arial" w:hAnsi="Arial"/>
                <w:sz w:val="14"/>
                <w:szCs w:val="14"/>
                <w:color w:val="auto"/>
              </w:rPr>
              <w:t xml:space="preserve"> 13,650,124</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715,534</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18,478</w:t>
            </w:r>
          </w:p>
        </w:tc>
        <w:tc>
          <w:tcPr>
            <w:tcW w:w="1060" w:type="dxa"/>
            <w:vAlign w:val="bottom"/>
            <w:gridSpan w:val="3"/>
          </w:tcPr>
          <w:p>
            <w:pPr>
              <w:jc w:val="right"/>
              <w:ind w:right="20"/>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15,059,136</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52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2024</w:t>
            </w:r>
            <w:r>
              <w:rPr>
                <w:rFonts w:ascii="Arial" w:cs="Arial" w:eastAsia="Arial" w:hAnsi="Arial"/>
                <w:sz w:val="29"/>
                <w:szCs w:val="29"/>
                <w:color w:val="auto"/>
                <w:vertAlign w:val="superscript"/>
              </w:rPr>
              <w:t>​</w:t>
            </w:r>
          </w:p>
        </w:tc>
        <w:tc>
          <w:tcPr>
            <w:tcW w:w="168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625,000</w:t>
            </w:r>
            <w:r>
              <w:rPr>
                <w:rFonts w:ascii="Arial" w:cs="Arial" w:eastAsia="Arial" w:hAnsi="Arial"/>
                <w:sz w:val="29"/>
                <w:szCs w:val="29"/>
                <w:color w:val="auto"/>
                <w:vertAlign w:val="superscript"/>
              </w:rPr>
              <w:t>​</w:t>
            </w:r>
            <w:r>
              <w:rPr>
                <w:rFonts w:ascii="Arial" w:cs="Arial" w:eastAsia="Arial" w:hAnsi="Arial"/>
                <w:sz w:val="16"/>
                <w:szCs w:val="16"/>
                <w:color w:val="auto"/>
              </w:rPr>
              <w:t xml:space="preserve"> 18,895,730</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653,531</w:t>
            </w:r>
          </w:p>
        </w:tc>
        <w:tc>
          <w:tcPr>
            <w:tcW w:w="180" w:type="dxa"/>
            <w:vAlign w:val="bottom"/>
          </w:tcPr>
          <w:p>
            <w:pPr>
              <w:ind w:left="20"/>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32,124</w:t>
            </w:r>
          </w:p>
        </w:tc>
        <w:tc>
          <w:tcPr>
            <w:tcW w:w="1060" w:type="dxa"/>
            <w:vAlign w:val="bottom"/>
            <w:gridSpan w:val="3"/>
          </w:tcPr>
          <w:p>
            <w:pPr>
              <w:jc w:val="right"/>
              <w:ind w:right="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20,206,385</w:t>
            </w:r>
          </w:p>
        </w:tc>
        <w:tc>
          <w:tcPr>
            <w:tcW w:w="0" w:type="dxa"/>
            <w:vAlign w:val="bottom"/>
          </w:tcPr>
          <w:p>
            <w:pPr>
              <w:spacing w:after="0"/>
              <w:rPr>
                <w:sz w:val="1"/>
                <w:szCs w:val="1"/>
                <w:color w:val="auto"/>
              </w:rPr>
            </w:pPr>
          </w:p>
        </w:tc>
      </w:tr>
      <w:tr>
        <w:trPr>
          <w:trHeight w:val="218"/>
        </w:trPr>
        <w:tc>
          <w:tcPr>
            <w:tcW w:w="370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Shawn Henry</w:t>
            </w:r>
          </w:p>
        </w:tc>
        <w:tc>
          <w:tcPr>
            <w:tcW w:w="520" w:type="dxa"/>
            <w:vAlign w:val="bottom"/>
            <w:gridSpan w:val="3"/>
            <w:shd w:val="clear" w:color="auto" w:fill="E5E5E5"/>
          </w:tcPr>
          <w:p>
            <w:pPr>
              <w:jc w:val="right"/>
              <w:spacing w:after="0" w:line="218"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2026</w:t>
            </w:r>
            <w:r>
              <w:rPr>
                <w:rFonts w:ascii="Arial" w:cs="Arial" w:eastAsia="Arial" w:hAnsi="Arial"/>
                <w:sz w:val="25"/>
                <w:szCs w:val="25"/>
                <w:color w:val="auto"/>
                <w:vertAlign w:val="superscript"/>
              </w:rPr>
              <w:t>​</w:t>
            </w:r>
          </w:p>
        </w:tc>
        <w:tc>
          <w:tcPr>
            <w:tcW w:w="780" w:type="dxa"/>
            <w:vAlign w:val="bottom"/>
            <w:gridSpan w:val="2"/>
            <w:shd w:val="clear" w:color="auto" w:fill="E5E5E5"/>
          </w:tcPr>
          <w:p>
            <w:pPr>
              <w:jc w:val="right"/>
              <w:spacing w:after="0" w:line="218" w:lineRule="exact"/>
              <w:rPr>
                <w:sz w:val="20"/>
                <w:szCs w:val="20"/>
                <w:color w:val="auto"/>
              </w:rPr>
            </w:pPr>
            <w:r>
              <w:rPr>
                <w:rFonts w:ascii="Arial" w:cs="Arial" w:eastAsia="Arial" w:hAnsi="Arial"/>
                <w:sz w:val="14"/>
                <w:szCs w:val="14"/>
                <w:color w:val="auto"/>
              </w:rPr>
              <w:t>600,000</w:t>
            </w:r>
            <w:r>
              <w:rPr>
                <w:rFonts w:ascii="Arial" w:cs="Arial" w:eastAsia="Arial" w:hAnsi="Arial"/>
                <w:sz w:val="25"/>
                <w:szCs w:val="25"/>
                <w:color w:val="auto"/>
                <w:vertAlign w:val="superscript"/>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25,701</w:t>
            </w:r>
          </w:p>
        </w:tc>
        <w:tc>
          <w:tcPr>
            <w:tcW w:w="120" w:type="dxa"/>
            <w:vAlign w:val="bottom"/>
            <w:shd w:val="clear" w:color="auto" w:fill="E5E5E5"/>
          </w:tcPr>
          <w:p>
            <w:pPr>
              <w:ind w:lef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625,701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E5E5E5"/>
          </w:tcPr>
          <w:p>
            <w:pPr>
              <w:spacing w:after="0" w:line="187" w:lineRule="exact"/>
              <w:rPr>
                <w:sz w:val="20"/>
                <w:szCs w:val="20"/>
                <w:color w:val="auto"/>
              </w:rPr>
            </w:pPr>
            <w:r>
              <w:rPr>
                <w:rFonts w:ascii="Arial" w:cs="Arial" w:eastAsia="Arial" w:hAnsi="Arial"/>
                <w:sz w:val="17"/>
                <w:szCs w:val="17"/>
                <w:color w:val="auto"/>
              </w:rPr>
              <w:t xml:space="preserve">Former Chief Security Officer </w:t>
            </w:r>
            <w:r>
              <w:rPr>
                <w:rFonts w:ascii="Arial" w:cs="Arial" w:eastAsia="Arial" w:hAnsi="Arial"/>
                <w:sz w:val="21"/>
                <w:szCs w:val="21"/>
                <w:color w:val="auto"/>
                <w:vertAlign w:val="superscript"/>
              </w:rPr>
              <w:t>(6)</w:t>
            </w:r>
          </w:p>
        </w:tc>
        <w:tc>
          <w:tcPr>
            <w:tcW w:w="400" w:type="dxa"/>
            <w:vAlign w:val="bottom"/>
            <w:shd w:val="clear" w:color="auto" w:fill="E5E5E5"/>
          </w:tcPr>
          <w:p>
            <w:pPr>
              <w:ind w:left="20"/>
              <w:spacing w:after="0" w:line="187" w:lineRule="exact"/>
              <w:rPr>
                <w:sz w:val="20"/>
                <w:szCs w:val="20"/>
                <w:color w:val="auto"/>
              </w:rPr>
            </w:pPr>
            <w:r>
              <w:rPr>
                <w:rFonts w:ascii="Arial" w:cs="Arial" w:eastAsia="Arial" w:hAnsi="Arial"/>
                <w:sz w:val="17"/>
                <w:szCs w:val="17"/>
                <w:color w:val="auto"/>
              </w:rPr>
              <w:t>​</w:t>
            </w: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E5E5E5"/>
          </w:tcPr>
          <w:p>
            <w:pPr>
              <w:ind w:left="60"/>
              <w:spacing w:after="0"/>
              <w:rPr>
                <w:sz w:val="20"/>
                <w:szCs w:val="20"/>
                <w:color w:val="auto"/>
              </w:rPr>
            </w:pPr>
            <w:r>
              <w:rPr>
                <w:rFonts w:ascii="Arial" w:cs="Arial" w:eastAsia="Arial" w:hAnsi="Arial"/>
                <w:sz w:val="17"/>
                <w:szCs w:val="17"/>
                <w:color w:val="auto"/>
              </w:rPr>
              <w:t>600,000</w:t>
            </w:r>
          </w:p>
        </w:tc>
        <w:tc>
          <w:tcPr>
            <w:tcW w:w="8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E5E5E5"/>
          </w:tcPr>
          <w:p>
            <w:pPr>
              <w:ind w:left="80"/>
              <w:spacing w:after="0" w:line="187" w:lineRule="exact"/>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246,178</w:t>
            </w:r>
          </w:p>
        </w:tc>
        <w:tc>
          <w:tcPr>
            <w:tcW w:w="180" w:type="dxa"/>
            <w:vAlign w:val="bottom"/>
            <w:shd w:val="clear" w:color="auto" w:fill="E5E5E5"/>
          </w:tcPr>
          <w:p>
            <w:pPr>
              <w:ind w:left="20"/>
              <w:spacing w:after="0" w:line="187" w:lineRule="exact"/>
              <w:rPr>
                <w:sz w:val="20"/>
                <w:szCs w:val="20"/>
                <w:color w:val="auto"/>
              </w:rPr>
            </w:pPr>
            <w:r>
              <w:rPr>
                <w:rFonts w:ascii="Arial" w:cs="Arial" w:eastAsia="Arial" w:hAnsi="Arial"/>
                <w:sz w:val="17"/>
                <w:szCs w:val="17"/>
                <w:color w:val="auto"/>
              </w:rPr>
              <w:t>​ ​</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23,534</w:t>
            </w:r>
          </w:p>
        </w:tc>
        <w:tc>
          <w:tcPr>
            <w:tcW w:w="120" w:type="dxa"/>
            <w:vAlign w:val="bottom"/>
            <w:shd w:val="clear" w:color="auto" w:fill="E5E5E5"/>
          </w:tcPr>
          <w:p>
            <w:pPr>
              <w:ind w:left="40"/>
              <w:spacing w:after="0" w:line="187" w:lineRule="exact"/>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E5E5E5"/>
          </w:tcPr>
          <w:p>
            <w:pPr>
              <w:jc w:val="right"/>
              <w:spacing w:after="0"/>
              <w:rPr>
                <w:sz w:val="20"/>
                <w:szCs w:val="20"/>
                <w:color w:val="auto"/>
              </w:rPr>
            </w:pPr>
            <w:r>
              <w:rPr>
                <w:rFonts w:ascii="Arial" w:cs="Arial" w:eastAsia="Arial" w:hAnsi="Arial"/>
                <w:sz w:val="17"/>
                <w:szCs w:val="17"/>
                <w:color w:val="auto"/>
              </w:rPr>
              <w:t>869,712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700" w:type="dxa"/>
            <w:vAlign w:val="bottom"/>
            <w:shd w:val="clear" w:color="auto" w:fill="E5E5E5"/>
          </w:tcPr>
          <w:p>
            <w:pPr>
              <w:spacing w:after="0"/>
              <w:rPr>
                <w:sz w:val="3"/>
                <w:szCs w:val="3"/>
                <w:color w:val="auto"/>
              </w:rPr>
            </w:pPr>
          </w:p>
        </w:tc>
        <w:tc>
          <w:tcPr>
            <w:tcW w:w="400" w:type="dxa"/>
            <w:vAlign w:val="bottom"/>
            <w:shd w:val="clear" w:color="auto" w:fill="E5E5E5"/>
          </w:tcPr>
          <w:p>
            <w:pPr>
              <w:ind w:left="20"/>
              <w:spacing w:after="0" w:line="36" w:lineRule="exact"/>
              <w:rPr>
                <w:sz w:val="20"/>
                <w:szCs w:val="20"/>
                <w:color w:val="auto"/>
              </w:rPr>
            </w:pPr>
            <w:r>
              <w:rPr>
                <w:rFonts w:ascii="Arial" w:cs="Arial" w:eastAsia="Arial" w:hAnsi="Arial"/>
                <w:sz w:val="4"/>
                <w:szCs w:val="4"/>
                <w:color w:val="auto"/>
              </w:rPr>
              <w:t>2025</w:t>
            </w:r>
          </w:p>
        </w:tc>
        <w:tc>
          <w:tcPr>
            <w:tcW w:w="20" w:type="dxa"/>
            <w:vAlign w:val="bottom"/>
            <w:shd w:val="clear" w:color="auto" w:fill="E5E5E5"/>
          </w:tcPr>
          <w:p>
            <w:pPr>
              <w:spacing w:after="0"/>
              <w:rPr>
                <w:sz w:val="3"/>
                <w:szCs w:val="3"/>
                <w:color w:val="auto"/>
              </w:rPr>
            </w:pPr>
          </w:p>
        </w:tc>
        <w:tc>
          <w:tcPr>
            <w:tcW w:w="100" w:type="dxa"/>
            <w:vAlign w:val="bottom"/>
            <w:shd w:val="clear" w:color="auto" w:fill="E5E5E5"/>
          </w:tcPr>
          <w:p>
            <w:pPr>
              <w:spacing w:after="0"/>
              <w:rPr>
                <w:sz w:val="3"/>
                <w:szCs w:val="3"/>
                <w:color w:val="auto"/>
              </w:rPr>
            </w:pPr>
          </w:p>
        </w:tc>
        <w:tc>
          <w:tcPr>
            <w:tcW w:w="700" w:type="dxa"/>
            <w:vAlign w:val="bottom"/>
            <w:vMerge w:val="continue"/>
            <w:shd w:val="clear" w:color="auto" w:fill="E5E5E5"/>
          </w:tcPr>
          <w:p>
            <w:pPr>
              <w:spacing w:after="0"/>
              <w:rPr>
                <w:sz w:val="3"/>
                <w:szCs w:val="3"/>
                <w:color w:val="auto"/>
              </w:rPr>
            </w:pPr>
          </w:p>
        </w:tc>
        <w:tc>
          <w:tcPr>
            <w:tcW w:w="80" w:type="dxa"/>
            <w:vAlign w:val="bottom"/>
            <w:shd w:val="clear" w:color="auto" w:fill="E5E5E5"/>
          </w:tcPr>
          <w:p>
            <w:pPr>
              <w:spacing w:after="0"/>
              <w:rPr>
                <w:sz w:val="3"/>
                <w:szCs w:val="3"/>
                <w:color w:val="auto"/>
              </w:rPr>
            </w:pPr>
          </w:p>
        </w:tc>
        <w:tc>
          <w:tcPr>
            <w:tcW w:w="900" w:type="dxa"/>
            <w:vAlign w:val="bottom"/>
            <w:vMerge w:val="continue"/>
            <w:shd w:val="clear" w:color="auto" w:fill="E5E5E5"/>
          </w:tcPr>
          <w:p>
            <w:pPr>
              <w:spacing w:after="0"/>
              <w:rPr>
                <w:sz w:val="3"/>
                <w:szCs w:val="3"/>
                <w:color w:val="auto"/>
              </w:rPr>
            </w:pPr>
          </w:p>
        </w:tc>
        <w:tc>
          <w:tcPr>
            <w:tcW w:w="200" w:type="dxa"/>
            <w:vAlign w:val="bottom"/>
            <w:shd w:val="clear" w:color="auto" w:fill="E5E5E5"/>
          </w:tcPr>
          <w:p>
            <w:pPr>
              <w:spacing w:after="0"/>
              <w:rPr>
                <w:sz w:val="3"/>
                <w:szCs w:val="3"/>
                <w:color w:val="auto"/>
              </w:rPr>
            </w:pPr>
          </w:p>
        </w:tc>
        <w:tc>
          <w:tcPr>
            <w:tcW w:w="760" w:type="dxa"/>
            <w:vAlign w:val="bottom"/>
            <w:vMerge w:val="continue"/>
            <w:shd w:val="clear" w:color="auto" w:fill="E5E5E5"/>
          </w:tcPr>
          <w:p>
            <w:pPr>
              <w:spacing w:after="0"/>
              <w:rPr>
                <w:sz w:val="3"/>
                <w:szCs w:val="3"/>
                <w:color w:val="auto"/>
              </w:rPr>
            </w:pPr>
          </w:p>
        </w:tc>
        <w:tc>
          <w:tcPr>
            <w:tcW w:w="180" w:type="dxa"/>
            <w:vAlign w:val="bottom"/>
            <w:shd w:val="clear" w:color="auto" w:fill="E5E5E5"/>
          </w:tcPr>
          <w:p>
            <w:pPr>
              <w:spacing w:after="0"/>
              <w:rPr>
                <w:sz w:val="3"/>
                <w:szCs w:val="3"/>
                <w:color w:val="auto"/>
              </w:rPr>
            </w:pPr>
          </w:p>
        </w:tc>
        <w:tc>
          <w:tcPr>
            <w:tcW w:w="780" w:type="dxa"/>
            <w:vAlign w:val="bottom"/>
            <w:vMerge w:val="continue"/>
            <w:shd w:val="clear" w:color="auto" w:fill="E5E5E5"/>
          </w:tcPr>
          <w:p>
            <w:pPr>
              <w:spacing w:after="0"/>
              <w:rPr>
                <w:sz w:val="3"/>
                <w:szCs w:val="3"/>
                <w:color w:val="auto"/>
              </w:rPr>
            </w:pPr>
          </w:p>
        </w:tc>
        <w:tc>
          <w:tcPr>
            <w:tcW w:w="120" w:type="dxa"/>
            <w:vAlign w:val="bottom"/>
            <w:shd w:val="clear" w:color="auto" w:fill="E5E5E5"/>
          </w:tcPr>
          <w:p>
            <w:pPr>
              <w:spacing w:after="0"/>
              <w:rPr>
                <w:sz w:val="3"/>
                <w:szCs w:val="3"/>
                <w:color w:val="auto"/>
              </w:rPr>
            </w:pPr>
          </w:p>
        </w:tc>
        <w:tc>
          <w:tcPr>
            <w:tcW w:w="920" w:type="dxa"/>
            <w:vAlign w:val="bottom"/>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4"/>
        </w:trPr>
        <w:tc>
          <w:tcPr>
            <w:tcW w:w="3700" w:type="dxa"/>
            <w:vAlign w:val="bottom"/>
            <w:shd w:val="clear" w:color="auto" w:fill="E5E5E5"/>
          </w:tcPr>
          <w:p>
            <w:pPr>
              <w:spacing w:after="0"/>
              <w:rPr>
                <w:sz w:val="24"/>
                <w:szCs w:val="24"/>
                <w:color w:val="auto"/>
              </w:rPr>
            </w:pPr>
          </w:p>
        </w:tc>
        <w:tc>
          <w:tcPr>
            <w:tcW w:w="400" w:type="dxa"/>
            <w:vAlign w:val="bottom"/>
            <w:shd w:val="clear" w:color="auto" w:fill="E5E5E5"/>
          </w:tcPr>
          <w:p>
            <w:pPr>
              <w:ind w:left="20"/>
              <w:spacing w:after="0" w:line="343" w:lineRule="exact"/>
              <w:rPr>
                <w:sz w:val="20"/>
                <w:szCs w:val="20"/>
                <w:color w:val="auto"/>
              </w:rPr>
            </w:pPr>
            <w:r>
              <w:rPr>
                <w:rFonts w:ascii="Arial" w:cs="Arial" w:eastAsia="Arial" w:hAnsi="Arial"/>
                <w:sz w:val="34"/>
                <w:szCs w:val="34"/>
                <w:color w:val="auto"/>
                <w:w w:val="95"/>
                <w:vertAlign w:val="superscript"/>
              </w:rPr>
              <w:t>​</w:t>
            </w:r>
            <w:r>
              <w:rPr>
                <w:rFonts w:ascii="Arial" w:cs="Arial" w:eastAsia="Arial" w:hAnsi="Arial"/>
                <w:sz w:val="17"/>
                <w:szCs w:val="17"/>
                <w:color w:val="auto"/>
                <w:w w:val="95"/>
              </w:rPr>
              <w:t>2024</w:t>
            </w: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shd w:val="clear" w:color="auto" w:fill="E5E5E5"/>
          </w:tcPr>
          <w:p>
            <w:pPr>
              <w:jc w:val="right"/>
              <w:spacing w:after="0" w:line="343" w:lineRule="exact"/>
              <w:rPr>
                <w:sz w:val="20"/>
                <w:szCs w:val="20"/>
                <w:color w:val="auto"/>
              </w:rPr>
            </w:pPr>
            <w:r>
              <w:rPr>
                <w:rFonts w:ascii="Arial" w:cs="Arial" w:eastAsia="Arial" w:hAnsi="Arial"/>
                <w:sz w:val="17"/>
                <w:szCs w:val="17"/>
                <w:color w:val="auto"/>
              </w:rPr>
              <w:t>600,000</w:t>
            </w:r>
            <w:r>
              <w:rPr>
                <w:rFonts w:ascii="Arial" w:cs="Arial" w:eastAsia="Arial" w:hAnsi="Arial"/>
                <w:sz w:val="34"/>
                <w:szCs w:val="34"/>
                <w:color w:val="auto"/>
                <w:vertAlign w:val="superscript"/>
              </w:rPr>
              <w:t>​</w:t>
            </w:r>
            <w:r>
              <w:rPr>
                <w:rFonts w:ascii="Arial" w:cs="Arial" w:eastAsia="Arial" w:hAnsi="Arial"/>
                <w:sz w:val="17"/>
                <w:szCs w:val="17"/>
                <w:color w:val="auto"/>
              </w:rPr>
              <w:t xml:space="preserve"> 12,597,154</w:t>
            </w:r>
          </w:p>
        </w:tc>
        <w:tc>
          <w:tcPr>
            <w:tcW w:w="20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249,826</w:t>
            </w:r>
          </w:p>
        </w:tc>
        <w:tc>
          <w:tcPr>
            <w:tcW w:w="180" w:type="dxa"/>
            <w:vAlign w:val="bottom"/>
            <w:shd w:val="clear" w:color="auto" w:fill="E5E5E5"/>
          </w:tcPr>
          <w:p>
            <w:pPr>
              <w:ind w:left="20"/>
              <w:spacing w:after="0"/>
              <w:rPr>
                <w:sz w:val="20"/>
                <w:szCs w:val="20"/>
                <w:color w:val="auto"/>
              </w:rPr>
            </w:pPr>
            <w:r>
              <w:rPr>
                <w:rFonts w:ascii="Arial" w:cs="Arial" w:eastAsia="Arial" w:hAnsi="Arial"/>
                <w:sz w:val="17"/>
                <w:szCs w:val="17"/>
                <w:color w:val="auto"/>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26,295</w:t>
            </w:r>
          </w:p>
        </w:tc>
        <w:tc>
          <w:tcPr>
            <w:tcW w:w="1040" w:type="dxa"/>
            <w:vAlign w:val="bottom"/>
            <w:gridSpan w:val="2"/>
            <w:shd w:val="clear" w:color="auto" w:fill="E5E5E5"/>
          </w:tcPr>
          <w:p>
            <w:pPr>
              <w:jc w:val="right"/>
              <w:spacing w:after="0" w:line="343"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 xml:space="preserve"> 13,473,275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68" w:lineRule="exact"/>
        <w:rPr>
          <w:sz w:val="20"/>
          <w:szCs w:val="20"/>
          <w:color w:val="auto"/>
        </w:rPr>
      </w:pPr>
    </w:p>
    <w:p>
      <w:pPr>
        <w:ind w:left="1140" w:right="139" w:hanging="347"/>
        <w:spacing w:after="0" w:line="258"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amounts disclosed represent the grant date fair value of the RSUs and PSUs granted to our NEOs during the relevant fiscal year as computed in accordance with FASB ASC Topic 718. These grant date fair values do not take into account any estimated forfeitures related to service-vesting conditions. These amounts do not reflect the actual economic value that will be realized by the NEO upon the vesting of the RSUs and PSUs or the sale of any common stock acquired under such RSUs or PSUs.</w:t>
      </w:r>
    </w:p>
    <w:p>
      <w:pPr>
        <w:spacing w:after="0" w:line="4" w:lineRule="exact"/>
        <w:rPr>
          <w:rFonts w:ascii="Arial" w:cs="Arial" w:eastAsia="Arial" w:hAnsi="Arial"/>
          <w:sz w:val="16"/>
          <w:szCs w:val="16"/>
          <w:color w:val="auto"/>
        </w:rPr>
      </w:pPr>
    </w:p>
    <w:p>
      <w:pPr>
        <w:ind w:left="1140" w:right="179"/>
        <w:spacing w:after="0" w:line="262" w:lineRule="auto"/>
        <w:rPr>
          <w:rFonts w:ascii="Arial" w:cs="Arial" w:eastAsia="Arial" w:hAnsi="Arial"/>
          <w:sz w:val="16"/>
          <w:szCs w:val="16"/>
          <w:color w:val="auto"/>
        </w:rPr>
      </w:pPr>
      <w:r>
        <w:rPr>
          <w:rFonts w:ascii="Arial" w:cs="Arial" w:eastAsia="Arial" w:hAnsi="Arial"/>
          <w:sz w:val="15"/>
          <w:szCs w:val="15"/>
          <w:color w:val="auto"/>
        </w:rPr>
        <w:t>Other than with respect to Mr. Kurtz and Mr. Podbere’s multi-year PSU awards granted in fiscal 2022 and Mr. Kurtz’s TSR PSU award granted in December 2025, the amounts disclosed for the PSUs included in this column were calculated based on the probable outcome of the performance condition as of the grant date, consistent with the estimate of aggregate compensation cost to be recognized over the service period determined as of the grant date under FASB ASC Topic 718. Excluding the multi-year PSU awards and the TSR PSU award, the following are the values of the PSU awards granted to our NEOs in fiscal 2026 as of the grant date assuming attainment of the maximum level of performance: Mr. Kurtz ($53,784,351), Mr. Sentonas ($31,775,895), and Mr. Podbere ($15,887,948).</w:t>
      </w:r>
    </w:p>
    <w:p>
      <w:pPr>
        <w:spacing w:after="0" w:line="1" w:lineRule="exact"/>
        <w:rPr>
          <w:rFonts w:ascii="Arial" w:cs="Arial" w:eastAsia="Arial" w:hAnsi="Arial"/>
          <w:sz w:val="16"/>
          <w:szCs w:val="16"/>
          <w:color w:val="auto"/>
        </w:rPr>
      </w:pPr>
    </w:p>
    <w:p>
      <w:pPr>
        <w:ind w:left="1140" w:right="279"/>
        <w:spacing w:after="0" w:line="257" w:lineRule="auto"/>
        <w:rPr>
          <w:rFonts w:ascii="Arial" w:cs="Arial" w:eastAsia="Arial" w:hAnsi="Arial"/>
          <w:sz w:val="16"/>
          <w:szCs w:val="16"/>
          <w:color w:val="auto"/>
        </w:rPr>
      </w:pPr>
      <w:r>
        <w:rPr>
          <w:rFonts w:ascii="Arial" w:cs="Arial" w:eastAsia="Arial" w:hAnsi="Arial"/>
          <w:sz w:val="15"/>
          <w:szCs w:val="15"/>
          <w:color w:val="auto"/>
        </w:rPr>
        <w:t>As described in “Executive Compensation Discussion and Analysis — Long-Term Equity Incentive Compensation — Multi-Year PSU Awards” included in our proxy statement filed with the SEC on May 6, 2022, Mr. Kurtz and Mr. Podbere were granted multi-year PSUs that vest based on the achievement of certain stock price hurdles and continued service. As described in “Executive Compensation Discussion and Analysis — Long-Term Equity Incentive Compensation — TSR PSUs” of this Proxy Statement, Mr. Kurtz was granted TSR PSUs in December 2025 that vest on the achievement of certain relative TSR performance goals and continued service. The grant date fair value of each of Mr. Kurtz’s and</w:t>
      </w:r>
    </w:p>
    <w:p>
      <w:pPr>
        <w:spacing w:after="0" w:line="3" w:lineRule="exact"/>
        <w:rPr>
          <w:rFonts w:ascii="Arial" w:cs="Arial" w:eastAsia="Arial" w:hAnsi="Arial"/>
          <w:sz w:val="16"/>
          <w:szCs w:val="16"/>
          <w:color w:val="auto"/>
        </w:rPr>
      </w:pPr>
    </w:p>
    <w:p>
      <w:pPr>
        <w:ind w:left="1140" w:right="199"/>
        <w:spacing w:after="0" w:line="243" w:lineRule="auto"/>
        <w:rPr>
          <w:rFonts w:ascii="Arial" w:cs="Arial" w:eastAsia="Arial" w:hAnsi="Arial"/>
          <w:sz w:val="16"/>
          <w:szCs w:val="16"/>
          <w:color w:val="auto"/>
        </w:rPr>
      </w:pPr>
      <w:r>
        <w:rPr>
          <w:rFonts w:ascii="Arial" w:cs="Arial" w:eastAsia="Arial" w:hAnsi="Arial"/>
          <w:sz w:val="16"/>
          <w:szCs w:val="16"/>
          <w:color w:val="auto"/>
        </w:rPr>
        <w:t>Mr. Podbere’s multi-year PSU awards granted in fiscal 2022 and Mr. Kurtz’s TSR PSU award is calculated based on a Monte-Carlo simulation. The value of the TSR PSU award granted to Mr. Kurtz as of the grant date assuming attainment of the maximum level of performance is $289,884,000.</w:t>
      </w:r>
    </w:p>
    <w:p>
      <w:pPr>
        <w:spacing w:after="0" w:line="15" w:lineRule="exact"/>
        <w:rPr>
          <w:rFonts w:ascii="Arial" w:cs="Arial" w:eastAsia="Arial" w:hAnsi="Arial"/>
          <w:sz w:val="16"/>
          <w:szCs w:val="16"/>
          <w:color w:val="auto"/>
        </w:rPr>
      </w:pPr>
    </w:p>
    <w:p>
      <w:pPr>
        <w:ind w:left="1140" w:right="219"/>
        <w:spacing w:after="0" w:line="252" w:lineRule="auto"/>
        <w:rPr>
          <w:rFonts w:ascii="Arial" w:cs="Arial" w:eastAsia="Arial" w:hAnsi="Arial"/>
          <w:sz w:val="16"/>
          <w:szCs w:val="16"/>
          <w:color w:val="auto"/>
        </w:rPr>
      </w:pPr>
      <w:r>
        <w:rPr>
          <w:rFonts w:ascii="Arial" w:cs="Arial" w:eastAsia="Arial" w:hAnsi="Arial"/>
          <w:sz w:val="16"/>
          <w:szCs w:val="16"/>
          <w:color w:val="auto"/>
        </w:rPr>
        <w:t>For additional information on how we account for equity-based compensation, see Note 8 to our audited consolidated financial statements included in our Annual Report on Form 10-K for fiscal 2026, which was filed with the SEC on March 5, 2026.</w:t>
      </w:r>
    </w:p>
    <w:p>
      <w:pPr>
        <w:spacing w:after="0" w:line="34" w:lineRule="exact"/>
        <w:rPr>
          <w:rFonts w:ascii="Arial" w:cs="Arial" w:eastAsia="Arial" w:hAnsi="Arial"/>
          <w:sz w:val="16"/>
          <w:szCs w:val="16"/>
          <w:color w:val="auto"/>
        </w:rPr>
      </w:pPr>
    </w:p>
    <w:p>
      <w:pPr>
        <w:ind w:left="1140" w:right="399" w:hanging="347"/>
        <w:spacing w:after="0" w:line="284"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Messrs. Kurtz, Sentonas and Podbere, the amounts reported for fiscal 2026 reflect the bonus payments received by such NEOs under the CIP in respect of fiscal 2026 performance.</w:t>
      </w:r>
    </w:p>
    <w:p>
      <w:pPr>
        <w:spacing w:after="0" w:line="21" w:lineRule="exact"/>
        <w:rPr>
          <w:rFonts w:ascii="Arial" w:cs="Arial" w:eastAsia="Arial" w:hAnsi="Arial"/>
          <w:sz w:val="16"/>
          <w:szCs w:val="16"/>
          <w:color w:val="auto"/>
        </w:rPr>
      </w:pPr>
    </w:p>
    <w:p>
      <w:pPr>
        <w:ind w:left="1140" w:right="259" w:hanging="347"/>
        <w:spacing w:after="0" w:line="252"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These amounts represent supplementary benefits including the dollar value of employer costs for life and disability insurance, executive supplemental health benefits and a 401(k) match. These amounts also include, where we incur incremental costs under such arrangements, airfare and hotel expenses paid by the Company for guests to travel with our executives from time to time. For Mr. Kurtz, the amount for fiscal 2026 also includes approximately (i) $258,071 for costs related to personal security for Mr. Kurtz and his family at his residences and (ii) $2,462,316 for costs related to personal usage of private aircraft. For purposes of reporting the value of personal usage of private aircraft in this table, we use incremental costs attributable to Mr. Kurtz’s personal usage, as provided by the applicable third-party service provider, which include passenger fees, fuel, crew, and catering costs.</w:t>
      </w:r>
    </w:p>
    <w:p>
      <w:pPr>
        <w:spacing w:after="0" w:line="48" w:lineRule="exact"/>
        <w:rPr>
          <w:rFonts w:ascii="Arial" w:cs="Arial" w:eastAsia="Arial" w:hAnsi="Arial"/>
          <w:sz w:val="16"/>
          <w:szCs w:val="16"/>
          <w:color w:val="auto"/>
        </w:rPr>
      </w:pPr>
    </w:p>
    <w:p>
      <w:pPr>
        <w:ind w:left="1140" w:right="339" w:hanging="347"/>
        <w:spacing w:after="0" w:line="261"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part of our sales and marketing activities, we sponsor a CrowdStrike-branded professional racing car, which Mr. Kurtz drives in some races at no incremental cost to us and in lieu of us hiring a professional driver. As we do not pay any amounts to Mr. Kurtz under these arrangements, it is not reflected in the above table.</w:t>
      </w:r>
    </w:p>
    <w:p>
      <w:pPr>
        <w:spacing w:after="0" w:line="40" w:lineRule="exact"/>
        <w:rPr>
          <w:rFonts w:ascii="Arial" w:cs="Arial" w:eastAsia="Arial" w:hAnsi="Arial"/>
          <w:sz w:val="16"/>
          <w:szCs w:val="16"/>
          <w:color w:val="auto"/>
        </w:rPr>
      </w:pPr>
    </w:p>
    <w:p>
      <w:pPr>
        <w:ind w:left="1140" w:hanging="347"/>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Mr. Kurtz serves on our Board but is not paid additional compensation for such service.</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Mr. Henry retired from his role as Chief Security Officer effective as of March 31, 2025.</w:t>
      </w:r>
    </w:p>
    <w:p>
      <w:pPr>
        <w:spacing w:after="0" w:line="200" w:lineRule="exact"/>
        <w:rPr>
          <w:sz w:val="20"/>
          <w:szCs w:val="20"/>
          <w:color w:val="auto"/>
        </w:rPr>
      </w:pPr>
    </w:p>
    <w:p>
      <w:pPr>
        <w:spacing w:after="0" w:line="22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48 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Grants of Plan-Based Awards for Fiscal 2026</w:t>
      </w:r>
    </w:p>
    <w:p>
      <w:pPr>
        <w:spacing w:after="0" w:line="109" w:lineRule="exact"/>
        <w:rPr>
          <w:sz w:val="20"/>
          <w:szCs w:val="20"/>
          <w:color w:val="auto"/>
        </w:rPr>
      </w:pPr>
    </w:p>
    <w:p>
      <w:pPr>
        <w:ind w:left="800" w:right="560"/>
        <w:spacing w:after="0" w:line="314" w:lineRule="auto"/>
        <w:rPr>
          <w:sz w:val="20"/>
          <w:szCs w:val="20"/>
          <w:color w:val="auto"/>
        </w:rPr>
      </w:pPr>
      <w:r>
        <w:rPr>
          <w:rFonts w:ascii="Arial" w:cs="Arial" w:eastAsia="Arial" w:hAnsi="Arial"/>
          <w:sz w:val="17"/>
          <w:szCs w:val="17"/>
          <w:color w:val="auto"/>
        </w:rPr>
        <w:t>The following table sets forth certain information regarding grants of plan-based awards to our NEOs for fiscal 2026 under our compensation programs and plans.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Estimated Possible Payouts Under</w:t>
            </w: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Estimated Possible Payouts Under</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All</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right"/>
              <w:ind w:right="16"/>
              <w:spacing w:after="0" w:line="157" w:lineRule="exact"/>
              <w:rPr>
                <w:sz w:val="20"/>
                <w:szCs w:val="20"/>
                <w:color w:val="auto"/>
              </w:rPr>
            </w:pPr>
            <w:r>
              <w:rPr>
                <w:rFonts w:ascii="Arial" w:cs="Arial" w:eastAsia="Arial" w:hAnsi="Arial"/>
                <w:sz w:val="14"/>
                <w:szCs w:val="14"/>
                <w:b w:val="1"/>
                <w:bCs w:val="1"/>
                <w:color w:val="auto"/>
                <w:w w:val="97"/>
              </w:rPr>
              <w:t xml:space="preserve">Non-Equity Incentive Plan Awards </w:t>
            </w:r>
            <w:r>
              <w:rPr>
                <w:rFonts w:ascii="Arial" w:cs="Arial" w:eastAsia="Arial" w:hAnsi="Arial"/>
                <w:sz w:val="17"/>
                <w:szCs w:val="17"/>
                <w:b w:val="1"/>
                <w:bCs w:val="1"/>
                <w:color w:val="auto"/>
                <w:w w:val="97"/>
                <w:vertAlign w:val="superscript"/>
              </w:rPr>
              <w:t>(1)</w:t>
            </w:r>
          </w:p>
        </w:tc>
        <w:tc>
          <w:tcPr>
            <w:tcW w:w="180" w:type="dxa"/>
            <w:vAlign w:val="bottom"/>
          </w:tcPr>
          <w:p>
            <w:pPr>
              <w:spacing w:after="0"/>
              <w:rPr>
                <w:sz w:val="13"/>
                <w:szCs w:val="13"/>
                <w:color w:val="auto"/>
              </w:rPr>
            </w:pPr>
          </w:p>
        </w:tc>
        <w:tc>
          <w:tcPr>
            <w:tcW w:w="2360" w:type="dxa"/>
            <w:vAlign w:val="bottom"/>
            <w:gridSpan w:val="5"/>
          </w:tcPr>
          <w:p>
            <w:pPr>
              <w:jc w:val="center"/>
              <w:ind w:right="36"/>
              <w:spacing w:after="0" w:line="157" w:lineRule="exact"/>
              <w:rPr>
                <w:sz w:val="20"/>
                <w:szCs w:val="20"/>
                <w:color w:val="auto"/>
              </w:rPr>
            </w:pPr>
            <w:r>
              <w:rPr>
                <w:rFonts w:ascii="Arial" w:cs="Arial" w:eastAsia="Arial" w:hAnsi="Arial"/>
                <w:sz w:val="14"/>
                <w:szCs w:val="14"/>
                <w:b w:val="1"/>
                <w:bCs w:val="1"/>
                <w:color w:val="auto"/>
                <w:w w:val="97"/>
              </w:rPr>
              <w:t xml:space="preserve">Equity Incentive Plan Awards </w:t>
            </w:r>
            <w:r>
              <w:rPr>
                <w:rFonts w:ascii="Arial" w:cs="Arial" w:eastAsia="Arial" w:hAnsi="Arial"/>
                <w:sz w:val="17"/>
                <w:szCs w:val="17"/>
                <w:b w:val="1"/>
                <w:bCs w:val="1"/>
                <w:color w:val="auto"/>
                <w:w w:val="97"/>
                <w:vertAlign w:val="superscript"/>
              </w:rPr>
              <w:t>(2)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center"/>
              <w:ind w:right="78"/>
              <w:spacing w:after="0" w:line="15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52"/>
        </w:trPr>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Borders>
              <w:bottom w:val="single" w:sz="8" w:color="D6515D"/>
            </w:tcBorders>
          </w:tcPr>
          <w:p>
            <w:pPr>
              <w:spacing w:after="0"/>
              <w:rPr>
                <w:sz w:val="4"/>
                <w:szCs w:val="4"/>
                <w:color w:val="auto"/>
              </w:rPr>
            </w:pPr>
          </w:p>
        </w:tc>
        <w:tc>
          <w:tcPr>
            <w:tcW w:w="720" w:type="dxa"/>
            <w:vAlign w:val="bottom"/>
            <w:tcBorders>
              <w:bottom w:val="single" w:sz="8" w:color="D6515D"/>
            </w:tcBorders>
          </w:tcPr>
          <w:p>
            <w:pPr>
              <w:spacing w:after="0"/>
              <w:rPr>
                <w:sz w:val="4"/>
                <w:szCs w:val="4"/>
                <w:color w:val="auto"/>
              </w:rPr>
            </w:pPr>
          </w:p>
        </w:tc>
        <w:tc>
          <w:tcPr>
            <w:tcW w:w="160" w:type="dxa"/>
            <w:vAlign w:val="bottom"/>
            <w:tcBorders>
              <w:bottom w:val="single" w:sz="8" w:color="D6515D"/>
            </w:tcBorders>
          </w:tcPr>
          <w:p>
            <w:pPr>
              <w:spacing w:after="0"/>
              <w:rPr>
                <w:sz w:val="4"/>
                <w:szCs w:val="4"/>
                <w:color w:val="auto"/>
              </w:rPr>
            </w:pPr>
          </w:p>
        </w:tc>
        <w:tc>
          <w:tcPr>
            <w:tcW w:w="760" w:type="dxa"/>
            <w:vAlign w:val="bottom"/>
            <w:tcBorders>
              <w:bottom w:val="single" w:sz="8" w:color="D6515D"/>
            </w:tcBorders>
          </w:tcPr>
          <w:p>
            <w:pPr>
              <w:spacing w:after="0"/>
              <w:rPr>
                <w:sz w:val="4"/>
                <w:szCs w:val="4"/>
                <w:color w:val="auto"/>
              </w:rPr>
            </w:pPr>
          </w:p>
        </w:tc>
        <w:tc>
          <w:tcPr>
            <w:tcW w:w="140" w:type="dxa"/>
            <w:vAlign w:val="bottom"/>
            <w:tcBorders>
              <w:bottom w:val="single" w:sz="8" w:color="D6515D"/>
            </w:tcBorders>
          </w:tcPr>
          <w:p>
            <w:pPr>
              <w:spacing w:after="0"/>
              <w:rPr>
                <w:sz w:val="4"/>
                <w:szCs w:val="4"/>
                <w:color w:val="auto"/>
              </w:rPr>
            </w:pPr>
          </w:p>
        </w:tc>
        <w:tc>
          <w:tcPr>
            <w:tcW w:w="740" w:type="dxa"/>
            <w:vAlign w:val="bottom"/>
            <w:tcBorders>
              <w:bottom w:val="single" w:sz="8" w:color="D6515D"/>
            </w:tcBorders>
          </w:tcPr>
          <w:p>
            <w:pPr>
              <w:spacing w:after="0"/>
              <w:rPr>
                <w:sz w:val="4"/>
                <w:szCs w:val="4"/>
                <w:color w:val="auto"/>
              </w:rPr>
            </w:pPr>
          </w:p>
        </w:tc>
        <w:tc>
          <w:tcPr>
            <w:tcW w:w="180" w:type="dxa"/>
            <w:vAlign w:val="bottom"/>
            <w:tcBorders>
              <w:bottom w:val="single" w:sz="8" w:color="D6515D"/>
            </w:tcBorders>
          </w:tcPr>
          <w:p>
            <w:pPr>
              <w:spacing w:after="0"/>
              <w:rPr>
                <w:sz w:val="4"/>
                <w:szCs w:val="4"/>
                <w:color w:val="auto"/>
              </w:rPr>
            </w:pPr>
          </w:p>
        </w:tc>
        <w:tc>
          <w:tcPr>
            <w:tcW w:w="640" w:type="dxa"/>
            <w:vAlign w:val="bottom"/>
            <w:tcBorders>
              <w:bottom w:val="single" w:sz="8" w:color="D6515D"/>
            </w:tcBorders>
          </w:tcPr>
          <w:p>
            <w:pPr>
              <w:spacing w:after="0"/>
              <w:rPr>
                <w:sz w:val="4"/>
                <w:szCs w:val="4"/>
                <w:color w:val="auto"/>
              </w:rPr>
            </w:pPr>
          </w:p>
        </w:tc>
        <w:tc>
          <w:tcPr>
            <w:tcW w:w="220" w:type="dxa"/>
            <w:vAlign w:val="bottom"/>
            <w:tcBorders>
              <w:bottom w:val="single" w:sz="8" w:color="D6515D"/>
            </w:tcBorders>
          </w:tcPr>
          <w:p>
            <w:pPr>
              <w:spacing w:after="0"/>
              <w:rPr>
                <w:sz w:val="4"/>
                <w:szCs w:val="4"/>
                <w:color w:val="auto"/>
              </w:rPr>
            </w:pPr>
          </w:p>
        </w:tc>
        <w:tc>
          <w:tcPr>
            <w:tcW w:w="620" w:type="dxa"/>
            <w:vAlign w:val="bottom"/>
            <w:tcBorders>
              <w:bottom w:val="single" w:sz="8" w:color="D6515D"/>
            </w:tcBorders>
          </w:tcPr>
          <w:p>
            <w:pPr>
              <w:spacing w:after="0"/>
              <w:rPr>
                <w:sz w:val="4"/>
                <w:szCs w:val="4"/>
                <w:color w:val="auto"/>
              </w:rPr>
            </w:pPr>
          </w:p>
        </w:tc>
        <w:tc>
          <w:tcPr>
            <w:tcW w:w="240" w:type="dxa"/>
            <w:vAlign w:val="bottom"/>
            <w:tcBorders>
              <w:bottom w:val="single" w:sz="8" w:color="D6515D"/>
            </w:tcBorders>
          </w:tcPr>
          <w:p>
            <w:pPr>
              <w:spacing w:after="0"/>
              <w:rPr>
                <w:sz w:val="4"/>
                <w:szCs w:val="4"/>
                <w:color w:val="auto"/>
              </w:rPr>
            </w:pPr>
          </w:p>
        </w:tc>
        <w:tc>
          <w:tcPr>
            <w:tcW w:w="640" w:type="dxa"/>
            <w:vAlign w:val="bottom"/>
            <w:tcBorders>
              <w:bottom w:val="single" w:sz="8" w:color="D6515D"/>
            </w:tcBorders>
          </w:tcPr>
          <w:p>
            <w:pPr>
              <w:spacing w:after="0"/>
              <w:rPr>
                <w:sz w:val="4"/>
                <w:szCs w:val="4"/>
                <w:color w:val="auto"/>
              </w:rPr>
            </w:pPr>
          </w:p>
        </w:tc>
        <w:tc>
          <w:tcPr>
            <w:tcW w:w="40" w:type="dxa"/>
            <w:vAlign w:val="bottom"/>
            <w:tcBorders>
              <w:bottom w:val="single" w:sz="8" w:color="D6515D"/>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restart"/>
          </w:tcPr>
          <w:p>
            <w:pPr>
              <w:jc w:val="center"/>
              <w:ind w:right="98"/>
              <w:spacing w:after="0" w:line="121"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4"/>
                <w:szCs w:val="4"/>
                <w:color w:val="auto"/>
              </w:rPr>
            </w:pPr>
          </w:p>
        </w:tc>
        <w:tc>
          <w:tcPr>
            <w:tcW w:w="920" w:type="dxa"/>
            <w:vAlign w:val="bottom"/>
            <w:vMerge w:val="restart"/>
          </w:tcPr>
          <w:p>
            <w:pPr>
              <w:jc w:val="center"/>
              <w:spacing w:after="0" w:line="121"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7"/>
              </w:rPr>
              <w:t>Threshold</w:t>
            </w:r>
          </w:p>
        </w:tc>
        <w:tc>
          <w:tcPr>
            <w:tcW w:w="220" w:type="dxa"/>
            <w:vAlign w:val="bottom"/>
          </w:tcPr>
          <w:p>
            <w:pPr>
              <w:spacing w:after="0"/>
              <w:rPr>
                <w:sz w:val="13"/>
                <w:szCs w:val="13"/>
                <w:color w:val="auto"/>
              </w:rPr>
            </w:pPr>
          </w:p>
        </w:tc>
        <w:tc>
          <w:tcPr>
            <w:tcW w:w="62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8"/>
              </w:rPr>
              <w:t>Target</w:t>
            </w:r>
          </w:p>
        </w:tc>
        <w:tc>
          <w:tcPr>
            <w:tcW w:w="880" w:type="dxa"/>
            <w:vAlign w:val="bottom"/>
            <w:gridSpan w:val="2"/>
          </w:tcPr>
          <w:p>
            <w:pPr>
              <w:jc w:val="center"/>
              <w:ind w:left="35"/>
              <w:spacing w:after="0" w:line="157" w:lineRule="exact"/>
              <w:rPr>
                <w:sz w:val="20"/>
                <w:szCs w:val="20"/>
                <w:color w:val="auto"/>
              </w:rPr>
            </w:pPr>
            <w:r>
              <w:rPr>
                <w:rFonts w:ascii="Arial" w:cs="Arial" w:eastAsia="Arial" w:hAnsi="Arial"/>
                <w:sz w:val="14"/>
                <w:szCs w:val="14"/>
                <w:b w:val="1"/>
                <w:bCs w:val="1"/>
                <w:color w:val="auto"/>
                <w:w w:val="99"/>
              </w:rPr>
              <w:t>Maximum</w:t>
            </w:r>
          </w:p>
        </w:tc>
        <w:tc>
          <w:tcPr>
            <w:tcW w:w="40" w:type="dxa"/>
            <w:vAlign w:val="bottom"/>
          </w:tcPr>
          <w:p>
            <w:pPr>
              <w:spacing w:after="0"/>
              <w:rPr>
                <w:sz w:val="13"/>
                <w:szCs w:val="13"/>
                <w:color w:val="auto"/>
              </w:rPr>
            </w:pPr>
          </w:p>
        </w:tc>
        <w:tc>
          <w:tcPr>
            <w:tcW w:w="7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gridSpan w:val="9"/>
          </w:tcPr>
          <w:p>
            <w:pPr>
              <w:spacing w:after="0" w:line="157" w:lineRule="exact"/>
              <w:rPr>
                <w:sz w:val="20"/>
                <w:szCs w:val="20"/>
                <w:color w:val="auto"/>
              </w:rPr>
            </w:pPr>
            <w:r>
              <w:rPr>
                <w:rFonts w:ascii="Arial" w:cs="Arial" w:eastAsia="Arial" w:hAnsi="Arial"/>
                <w:sz w:val="14"/>
                <w:szCs w:val="14"/>
                <w:b w:val="1"/>
                <w:bCs w:val="1"/>
                <w:color w:val="auto"/>
                <w:w w:val="97"/>
              </w:rPr>
              <w:t>Performance Performance Performance Number of</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5"/>
              <w:spacing w:after="0" w:line="157" w:lineRule="exact"/>
              <w:rPr>
                <w:sz w:val="20"/>
                <w:szCs w:val="20"/>
                <w:color w:val="auto"/>
              </w:rPr>
            </w:pPr>
            <w:r>
              <w:rPr>
                <w:rFonts w:ascii="Arial" w:cs="Arial" w:eastAsia="Arial" w:hAnsi="Arial"/>
                <w:sz w:val="14"/>
                <w:szCs w:val="14"/>
                <w:b w:val="1"/>
                <w:bCs w:val="1"/>
                <w:color w:val="auto"/>
              </w:rPr>
              <w:t>Grant</w:t>
            </w:r>
          </w:p>
        </w:tc>
        <w:tc>
          <w:tcPr>
            <w:tcW w:w="8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3"/>
                <w:szCs w:val="13"/>
                <w:color w:val="auto"/>
              </w:rPr>
            </w:pPr>
          </w:p>
        </w:tc>
        <w:tc>
          <w:tcPr>
            <w:tcW w:w="760" w:type="dxa"/>
            <w:vAlign w:val="bottom"/>
          </w:tcPr>
          <w:p>
            <w:pPr>
              <w:jc w:val="right"/>
              <w:ind w:right="176"/>
              <w:spacing w:after="0" w:line="157" w:lineRule="exact"/>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3"/>
                <w:szCs w:val="13"/>
                <w:color w:val="auto"/>
              </w:rPr>
            </w:pPr>
          </w:p>
        </w:tc>
        <w:tc>
          <w:tcPr>
            <w:tcW w:w="640" w:type="dxa"/>
            <w:vAlign w:val="bottom"/>
          </w:tcPr>
          <w:p>
            <w:pPr>
              <w:jc w:val="center"/>
              <w:ind w:right="58"/>
              <w:spacing w:after="0" w:line="157" w:lineRule="exact"/>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3"/>
                <w:szCs w:val="13"/>
                <w:color w:val="auto"/>
              </w:rPr>
            </w:pPr>
          </w:p>
        </w:tc>
        <w:tc>
          <w:tcPr>
            <w:tcW w:w="62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640" w:type="dxa"/>
            <w:vAlign w:val="bottom"/>
          </w:tcPr>
          <w:p>
            <w:pPr>
              <w:jc w:val="center"/>
              <w:ind w:right="56"/>
              <w:spacing w:after="0" w:line="157"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D6515D"/>
            </w:tcBorders>
          </w:tcPr>
          <w:p>
            <w:pPr>
              <w:spacing w:after="0"/>
              <w:rPr>
                <w:sz w:val="16"/>
                <w:szCs w:val="16"/>
                <w:color w:val="auto"/>
              </w:rPr>
            </w:pPr>
          </w:p>
        </w:tc>
        <w:tc>
          <w:tcPr>
            <w:tcW w:w="740" w:type="dxa"/>
            <w:vAlign w:val="bottom"/>
            <w:tcBorders>
              <w:bottom w:val="single" w:sz="8" w:color="D6515D"/>
            </w:tcBorders>
          </w:tcPr>
          <w:p>
            <w:pPr>
              <w:jc w:val="center"/>
              <w:ind w:right="85"/>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D6515D"/>
            </w:tcBorders>
          </w:tcPr>
          <w:p>
            <w:pPr>
              <w:spacing w:after="0"/>
              <w:rPr>
                <w:sz w:val="16"/>
                <w:szCs w:val="16"/>
                <w:color w:val="auto"/>
              </w:rPr>
            </w:pPr>
          </w:p>
        </w:tc>
        <w:tc>
          <w:tcPr>
            <w:tcW w:w="720" w:type="dxa"/>
            <w:vAlign w:val="bottom"/>
            <w:tcBorders>
              <w:bottom w:val="single" w:sz="8" w:color="D6515D"/>
            </w:tcBorders>
          </w:tcPr>
          <w:p>
            <w:pPr>
              <w:jc w:val="right"/>
              <w:ind w:right="221"/>
              <w:spacing w:after="0" w:line="19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vertAlign w:val="superscript"/>
              </w:rPr>
              <w:t>(3)</w:t>
            </w:r>
          </w:p>
        </w:tc>
        <w:tc>
          <w:tcPr>
            <w:tcW w:w="160" w:type="dxa"/>
            <w:vAlign w:val="bottom"/>
            <w:tcBorders>
              <w:bottom w:val="single" w:sz="8" w:color="D6515D"/>
            </w:tcBorders>
          </w:tcPr>
          <w:p>
            <w:pPr>
              <w:spacing w:after="0"/>
              <w:rPr>
                <w:sz w:val="16"/>
                <w:szCs w:val="16"/>
                <w:color w:val="auto"/>
              </w:rPr>
            </w:pPr>
          </w:p>
        </w:tc>
        <w:tc>
          <w:tcPr>
            <w:tcW w:w="760" w:type="dxa"/>
            <w:vAlign w:val="bottom"/>
            <w:tcBorders>
              <w:bottom w:val="single" w:sz="8" w:color="D6515D"/>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6515D"/>
            </w:tcBorders>
          </w:tcPr>
          <w:p>
            <w:pPr>
              <w:spacing w:after="0"/>
              <w:rPr>
                <w:sz w:val="16"/>
                <w:szCs w:val="16"/>
                <w:color w:val="auto"/>
              </w:rPr>
            </w:pPr>
          </w:p>
        </w:tc>
        <w:tc>
          <w:tcPr>
            <w:tcW w:w="740" w:type="dxa"/>
            <w:vAlign w:val="bottom"/>
            <w:tcBorders>
              <w:bottom w:val="single" w:sz="8" w:color="D6515D"/>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D6515D"/>
            </w:tcBorders>
          </w:tcPr>
          <w:p>
            <w:pPr>
              <w:spacing w:after="0"/>
              <w:rPr>
                <w:sz w:val="16"/>
                <w:szCs w:val="16"/>
                <w:color w:val="auto"/>
              </w:rPr>
            </w:pPr>
          </w:p>
        </w:tc>
        <w:tc>
          <w:tcPr>
            <w:tcW w:w="640" w:type="dxa"/>
            <w:vAlign w:val="bottom"/>
            <w:tcBorders>
              <w:bottom w:val="single" w:sz="8" w:color="D6515D"/>
            </w:tcBorders>
          </w:tcPr>
          <w:p>
            <w:pPr>
              <w:jc w:val="center"/>
              <w:ind w:right="5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6515D"/>
            </w:tcBorders>
          </w:tcPr>
          <w:p>
            <w:pPr>
              <w:spacing w:after="0"/>
              <w:rPr>
                <w:sz w:val="16"/>
                <w:szCs w:val="16"/>
                <w:color w:val="auto"/>
              </w:rPr>
            </w:pPr>
          </w:p>
        </w:tc>
        <w:tc>
          <w:tcPr>
            <w:tcW w:w="620" w:type="dxa"/>
            <w:vAlign w:val="bottom"/>
            <w:tcBorders>
              <w:bottom w:val="single" w:sz="8" w:color="D6515D"/>
            </w:tcBorders>
          </w:tcPr>
          <w:p>
            <w:pPr>
              <w:jc w:val="center"/>
              <w:ind w:right="37"/>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spacing w:after="0"/>
              <w:rPr>
                <w:sz w:val="16"/>
                <w:szCs w:val="16"/>
                <w:color w:val="auto"/>
              </w:rPr>
            </w:pPr>
          </w:p>
        </w:tc>
        <w:tc>
          <w:tcPr>
            <w:tcW w:w="640" w:type="dxa"/>
            <w:vAlign w:val="bottom"/>
            <w:tcBorders>
              <w:bottom w:val="single" w:sz="8" w:color="D6515D"/>
            </w:tcBorders>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40" w:type="dxa"/>
            <w:vAlign w:val="bottom"/>
            <w:tcBorders>
              <w:bottom w:val="single" w:sz="8" w:color="D6515D"/>
            </w:tcBorders>
          </w:tcPr>
          <w:p>
            <w:pPr>
              <w:spacing w:after="0"/>
              <w:rPr>
                <w:sz w:val="16"/>
                <w:szCs w:val="16"/>
                <w:color w:val="auto"/>
              </w:rPr>
            </w:pPr>
          </w:p>
        </w:tc>
        <w:tc>
          <w:tcPr>
            <w:tcW w:w="740" w:type="dxa"/>
            <w:vAlign w:val="bottom"/>
            <w:tcBorders>
              <w:bottom w:val="single" w:sz="8" w:color="D6515D"/>
            </w:tcBorders>
            <w:gridSpan w:val="2"/>
          </w:tcPr>
          <w:p>
            <w:pPr>
              <w:jc w:val="center"/>
              <w:spacing w:after="0" w:line="193" w:lineRule="exact"/>
              <w:rPr>
                <w:sz w:val="20"/>
                <w:szCs w:val="20"/>
                <w:color w:val="auto"/>
              </w:rPr>
            </w:pPr>
            <w:r>
              <w:rPr>
                <w:rFonts w:ascii="Arial" w:cs="Arial" w:eastAsia="Arial" w:hAnsi="Arial"/>
                <w:sz w:val="14"/>
                <w:szCs w:val="14"/>
                <w:b w:val="1"/>
                <w:bCs w:val="1"/>
                <w:color w:val="auto"/>
                <w:w w:val="93"/>
              </w:rPr>
              <w:t xml:space="preserve">Stock (#) </w:t>
            </w:r>
            <w:r>
              <w:rPr>
                <w:rFonts w:ascii="Arial" w:cs="Arial" w:eastAsia="Arial" w:hAnsi="Arial"/>
                <w:sz w:val="17"/>
                <w:szCs w:val="17"/>
                <w:b w:val="1"/>
                <w:bCs w:val="1"/>
                <w:color w:val="auto"/>
                <w:w w:val="93"/>
                <w:vertAlign w:val="superscript"/>
              </w:rPr>
              <w:t>(4)</w:t>
            </w:r>
          </w:p>
        </w:tc>
        <w:tc>
          <w:tcPr>
            <w:tcW w:w="80" w:type="dxa"/>
            <w:vAlign w:val="bottom"/>
            <w:tcBorders>
              <w:bottom w:val="single" w:sz="8" w:color="D6515D"/>
            </w:tcBorders>
          </w:tcPr>
          <w:p>
            <w:pPr>
              <w:spacing w:after="0"/>
              <w:rPr>
                <w:sz w:val="16"/>
                <w:szCs w:val="16"/>
                <w:color w:val="auto"/>
              </w:rPr>
            </w:pPr>
          </w:p>
        </w:tc>
        <w:tc>
          <w:tcPr>
            <w:tcW w:w="920" w:type="dxa"/>
            <w:vAlign w:val="bottom"/>
            <w:tcBorders>
              <w:bottom w:val="single" w:sz="8" w:color="D6515D"/>
            </w:tcBorders>
          </w:tcPr>
          <w:p>
            <w:pPr>
              <w:jc w:val="center"/>
              <w:spacing w:after="0" w:line="193" w:lineRule="exact"/>
              <w:rPr>
                <w:sz w:val="20"/>
                <w:szCs w:val="20"/>
                <w:color w:val="auto"/>
              </w:rPr>
            </w:pPr>
            <w:r>
              <w:rPr>
                <w:rFonts w:ascii="Arial" w:cs="Arial" w:eastAsia="Arial" w:hAnsi="Arial"/>
                <w:sz w:val="14"/>
                <w:szCs w:val="14"/>
                <w:b w:val="1"/>
                <w:bCs w:val="1"/>
                <w:color w:val="auto"/>
                <w:w w:val="96"/>
              </w:rPr>
              <w:t xml:space="preserve">Awards ($) </w:t>
            </w:r>
            <w:r>
              <w:rPr>
                <w:rFonts w:ascii="Arial" w:cs="Arial" w:eastAsia="Arial" w:hAnsi="Arial"/>
                <w:sz w:val="17"/>
                <w:szCs w:val="17"/>
                <w:b w:val="1"/>
                <w:bCs w:val="1"/>
                <w:color w:val="auto"/>
                <w:w w:val="96"/>
                <w:vertAlign w:val="superscript"/>
              </w:rPr>
              <w:t>(5)</w:t>
            </w:r>
          </w:p>
        </w:tc>
        <w:tc>
          <w:tcPr>
            <w:tcW w:w="0" w:type="dxa"/>
            <w:vAlign w:val="bottom"/>
          </w:tcPr>
          <w:p>
            <w:pPr>
              <w:spacing w:after="0"/>
              <w:rPr>
                <w:sz w:val="1"/>
                <w:szCs w:val="1"/>
                <w:color w:val="auto"/>
              </w:rPr>
            </w:pPr>
          </w:p>
        </w:tc>
      </w:tr>
      <w:tr>
        <w:trPr>
          <w:trHeight w:val="251"/>
        </w:trPr>
        <w:tc>
          <w:tcPr>
            <w:tcW w:w="1460" w:type="dxa"/>
            <w:vAlign w:val="bottom"/>
          </w:tcPr>
          <w:p>
            <w:pPr>
              <w:spacing w:after="0"/>
              <w:rPr>
                <w:sz w:val="20"/>
                <w:szCs w:val="20"/>
                <w:color w:val="auto"/>
              </w:rPr>
            </w:pPr>
            <w:r>
              <w:rPr>
                <w:rFonts w:ascii="Arial" w:cs="Arial" w:eastAsia="Arial" w:hAnsi="Arial"/>
                <w:sz w:val="17"/>
                <w:szCs w:val="17"/>
                <w:b w:val="1"/>
                <w:bCs w:val="1"/>
                <w:color w:val="auto"/>
              </w:rPr>
              <w:t>George Kurtz</w:t>
            </w:r>
          </w:p>
        </w:tc>
        <w:tc>
          <w:tcPr>
            <w:tcW w:w="900" w:type="dxa"/>
            <w:vAlign w:val="bottom"/>
            <w:gridSpan w:val="2"/>
          </w:tcPr>
          <w:p>
            <w:pPr>
              <w:ind w:left="20"/>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04/23/2025</w:t>
            </w:r>
          </w:p>
        </w:tc>
        <w:tc>
          <w:tcPr>
            <w:tcW w:w="800" w:type="dxa"/>
            <w:vAlign w:val="bottom"/>
            <w:gridSpan w:val="2"/>
          </w:tcPr>
          <w:p>
            <w:pPr>
              <w:jc w:val="right"/>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371,250 </w:t>
            </w:r>
            <w:r>
              <w:rPr>
                <w:rFonts w:ascii="Arial" w:cs="Arial" w:eastAsia="Arial" w:hAnsi="Arial"/>
                <w:sz w:val="29"/>
                <w:szCs w:val="29"/>
                <w:color w:val="auto"/>
                <w:vertAlign w:val="superscript"/>
              </w:rPr>
              <w:t>​</w:t>
            </w:r>
          </w:p>
        </w:tc>
        <w:tc>
          <w:tcPr>
            <w:tcW w:w="920" w:type="dxa"/>
            <w:vAlign w:val="bottom"/>
            <w:gridSpan w:val="2"/>
          </w:tcPr>
          <w:p>
            <w:pPr>
              <w:jc w:val="right"/>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1,485,000</w:t>
            </w:r>
          </w:p>
        </w:tc>
        <w:tc>
          <w:tcPr>
            <w:tcW w:w="880" w:type="dxa"/>
            <w:vAlign w:val="bottom"/>
            <w:gridSpan w:val="2"/>
          </w:tcPr>
          <w:p>
            <w:pPr>
              <w:jc w:val="right"/>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2,049,300</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90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04/23/2025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17,429</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69,714</w:t>
            </w:r>
          </w:p>
        </w:tc>
        <w:tc>
          <w:tcPr>
            <w:tcW w:w="880" w:type="dxa"/>
            <w:vAlign w:val="bottom"/>
            <w:gridSpan w:val="2"/>
          </w:tcPr>
          <w:p>
            <w:pPr>
              <w:jc w:val="right"/>
              <w:spacing w:after="0" w:line="261"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139,428</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26,892,176</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90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04/23/2025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40"/>
              <w:spacing w:after="0" w:line="261" w:lineRule="exact"/>
              <w:rPr>
                <w:sz w:val="20"/>
                <w:szCs w:val="20"/>
                <w:color w:val="auto"/>
              </w:rPr>
            </w:pPr>
            <w:r>
              <w:rPr>
                <w:rFonts w:ascii="Arial" w:cs="Arial" w:eastAsia="Arial" w:hAnsi="Arial"/>
                <w:sz w:val="30"/>
                <w:szCs w:val="30"/>
                <w:color w:val="auto"/>
                <w:vertAlign w:val="superscript"/>
              </w:rPr>
              <w:t>​ ​</w:t>
            </w:r>
            <w:r>
              <w:rPr>
                <w:rFonts w:ascii="Arial" w:cs="Arial" w:eastAsia="Arial" w:hAnsi="Arial"/>
                <w:sz w:val="16"/>
                <w:szCs w:val="16"/>
                <w:color w:val="auto"/>
              </w:rPr>
              <w:t>69,714</w:t>
            </w:r>
          </w:p>
        </w:tc>
        <w:tc>
          <w:tcPr>
            <w:tcW w:w="1000" w:type="dxa"/>
            <w:vAlign w:val="bottom"/>
            <w:gridSpan w:val="2"/>
          </w:tcPr>
          <w:p>
            <w:pPr>
              <w:jc w:val="right"/>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26,892,176</w:t>
            </w: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4"/>
                <w:szCs w:val="24"/>
                <w:color w:val="auto"/>
              </w:rPr>
            </w:pPr>
          </w:p>
        </w:tc>
        <w:tc>
          <w:tcPr>
            <w:tcW w:w="900" w:type="dxa"/>
            <w:vAlign w:val="bottom"/>
            <w:gridSpan w:val="2"/>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12/22/2025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75,000</w:t>
            </w:r>
          </w:p>
        </w:tc>
        <w:tc>
          <w:tcPr>
            <w:tcW w:w="84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300,000</w:t>
            </w:r>
          </w:p>
        </w:tc>
        <w:tc>
          <w:tcPr>
            <w:tcW w:w="88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600,000</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spacing w:after="0"/>
              <w:rPr>
                <w:sz w:val="24"/>
                <w:szCs w:val="24"/>
                <w:color w:val="auto"/>
              </w:rPr>
            </w:pPr>
          </w:p>
        </w:tc>
        <w:tc>
          <w:tcPr>
            <w:tcW w:w="1000" w:type="dxa"/>
            <w:vAlign w:val="bottom"/>
            <w:gridSpan w:val="2"/>
          </w:tcPr>
          <w:p>
            <w:pPr>
              <w:jc w:val="right"/>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188,340,000</w:t>
            </w:r>
          </w:p>
        </w:tc>
        <w:tc>
          <w:tcPr>
            <w:tcW w:w="0" w:type="dxa"/>
            <w:vAlign w:val="bottom"/>
          </w:tcPr>
          <w:p>
            <w:pPr>
              <w:spacing w:after="0"/>
              <w:rPr>
                <w:sz w:val="1"/>
                <w:szCs w:val="1"/>
                <w:color w:val="auto"/>
              </w:rPr>
            </w:pPr>
          </w:p>
        </w:tc>
      </w:tr>
      <w:tr>
        <w:trPr>
          <w:trHeight w:val="258"/>
        </w:trPr>
        <w:tc>
          <w:tcPr>
            <w:tcW w:w="14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Michael Sentonas</w:t>
            </w:r>
          </w:p>
        </w:tc>
        <w:tc>
          <w:tcPr>
            <w:tcW w:w="900" w:type="dxa"/>
            <w:vAlign w:val="bottom"/>
            <w:gridSpan w:val="2"/>
            <w:shd w:val="clear" w:color="auto" w:fill="E5E5E5"/>
          </w:tcPr>
          <w:p>
            <w:pPr>
              <w:ind w:left="20"/>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04/16/2025</w:t>
            </w:r>
          </w:p>
        </w:tc>
        <w:tc>
          <w:tcPr>
            <w:tcW w:w="800" w:type="dxa"/>
            <w:vAlign w:val="bottom"/>
            <w:gridSpan w:val="2"/>
            <w:shd w:val="clear" w:color="auto" w:fill="E5E5E5"/>
          </w:tcPr>
          <w:p>
            <w:pPr>
              <w:jc w:val="right"/>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218,750 </w:t>
            </w:r>
            <w:r>
              <w:rPr>
                <w:rFonts w:ascii="Arial" w:cs="Arial" w:eastAsia="Arial" w:hAnsi="Arial"/>
                <w:sz w:val="29"/>
                <w:szCs w:val="29"/>
                <w:color w:val="auto"/>
                <w:vertAlign w:val="superscript"/>
              </w:rPr>
              <w:t>​</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875,000</w:t>
            </w:r>
          </w:p>
        </w:tc>
        <w:tc>
          <w:tcPr>
            <w:tcW w:w="880" w:type="dxa"/>
            <w:vAlign w:val="bottom"/>
            <w:gridSpan w:val="2"/>
            <w:shd w:val="clear" w:color="auto" w:fill="E5E5E5"/>
          </w:tcPr>
          <w:p>
            <w:pPr>
              <w:jc w:val="right"/>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1,207,500</w:t>
            </w:r>
          </w:p>
        </w:tc>
        <w:tc>
          <w:tcPr>
            <w:tcW w:w="18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56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1460" w:type="dxa"/>
            <w:vAlign w:val="bottom"/>
            <w:shd w:val="clear" w:color="auto" w:fill="E5E5E5"/>
          </w:tcPr>
          <w:p>
            <w:pPr>
              <w:spacing w:after="0"/>
              <w:rPr>
                <w:sz w:val="22"/>
                <w:szCs w:val="22"/>
                <w:color w:val="auto"/>
              </w:rPr>
            </w:pPr>
          </w:p>
        </w:tc>
        <w:tc>
          <w:tcPr>
            <w:tcW w:w="900" w:type="dxa"/>
            <w:vAlign w:val="bottom"/>
            <w:gridSpan w:val="2"/>
            <w:shd w:val="clear" w:color="auto" w:fill="E5E5E5"/>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04/16/2025</w:t>
            </w:r>
          </w:p>
        </w:tc>
        <w:tc>
          <w:tcPr>
            <w:tcW w:w="8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5E5"/>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E5E5E5"/>
          </w:tcPr>
          <w:p>
            <w:pPr>
              <w:jc w:val="right"/>
              <w:ind w:right="18"/>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10,457</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41,828</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83,656</w:t>
            </w: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56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E5E5"/>
          </w:tcPr>
          <w:p>
            <w:pPr>
              <w:jc w:val="right"/>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15,887,948</w:t>
            </w:r>
          </w:p>
        </w:tc>
        <w:tc>
          <w:tcPr>
            <w:tcW w:w="0" w:type="dxa"/>
            <w:vAlign w:val="bottom"/>
          </w:tcPr>
          <w:p>
            <w:pPr>
              <w:spacing w:after="0"/>
              <w:rPr>
                <w:sz w:val="1"/>
                <w:szCs w:val="1"/>
                <w:color w:val="auto"/>
              </w:rPr>
            </w:pPr>
          </w:p>
        </w:tc>
      </w:tr>
      <w:tr>
        <w:trPr>
          <w:trHeight w:val="291"/>
        </w:trPr>
        <w:tc>
          <w:tcPr>
            <w:tcW w:w="1460" w:type="dxa"/>
            <w:vAlign w:val="bottom"/>
            <w:shd w:val="clear" w:color="auto" w:fill="E5E5E5"/>
          </w:tcPr>
          <w:p>
            <w:pPr>
              <w:spacing w:after="0"/>
              <w:rPr>
                <w:sz w:val="24"/>
                <w:szCs w:val="24"/>
                <w:color w:val="auto"/>
              </w:rPr>
            </w:pPr>
          </w:p>
        </w:tc>
        <w:tc>
          <w:tcPr>
            <w:tcW w:w="900" w:type="dxa"/>
            <w:vAlign w:val="bottom"/>
            <w:gridSpan w:val="2"/>
            <w:shd w:val="clear" w:color="auto" w:fill="E5E5E5"/>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04/16/2025</w:t>
            </w:r>
          </w:p>
        </w:tc>
        <w:tc>
          <w:tcPr>
            <w:tcW w:w="8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5E5"/>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E5E5E5"/>
          </w:tcPr>
          <w:p>
            <w:pPr>
              <w:ind w:left="4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41,828</w:t>
            </w:r>
          </w:p>
        </w:tc>
        <w:tc>
          <w:tcPr>
            <w:tcW w:w="1000" w:type="dxa"/>
            <w:vAlign w:val="bottom"/>
            <w:gridSpan w:val="2"/>
            <w:shd w:val="clear" w:color="auto" w:fill="E5E5E5"/>
          </w:tcPr>
          <w:p>
            <w:pPr>
              <w:jc w:val="right"/>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15,887,948</w:t>
            </w: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900" w:type="dxa"/>
            <w:vAlign w:val="bottom"/>
            <w:gridSpan w:val="2"/>
          </w:tcPr>
          <w:p>
            <w:pPr>
              <w:ind w:left="20"/>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04/16/2025</w:t>
            </w:r>
          </w:p>
        </w:tc>
        <w:tc>
          <w:tcPr>
            <w:tcW w:w="800" w:type="dxa"/>
            <w:vAlign w:val="bottom"/>
            <w:gridSpan w:val="2"/>
          </w:tcPr>
          <w:p>
            <w:pPr>
              <w:jc w:val="right"/>
              <w:spacing w:after="0" w:line="258"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175,000 </w:t>
            </w:r>
            <w:r>
              <w:rPr>
                <w:rFonts w:ascii="Arial" w:cs="Arial" w:eastAsia="Arial" w:hAnsi="Arial"/>
                <w:sz w:val="29"/>
                <w:szCs w:val="29"/>
                <w:color w:val="auto"/>
                <w:vertAlign w:val="superscript"/>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700,000</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966,000</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900" w:type="dxa"/>
            <w:vAlign w:val="bottom"/>
            <w:gridSpan w:val="2"/>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04/16/2025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61"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5,229</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20,914</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41,828</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5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7,943,974</w:t>
            </w: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4"/>
                <w:szCs w:val="24"/>
                <w:color w:val="auto"/>
              </w:rPr>
            </w:pPr>
          </w:p>
        </w:tc>
        <w:tc>
          <w:tcPr>
            <w:tcW w:w="900" w:type="dxa"/>
            <w:vAlign w:val="bottom"/>
            <w:gridSpan w:val="2"/>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04/16/2025</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line="291"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 ​</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rPr>
              <w:t>​ ​</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4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20,914</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7,943,974</w:t>
            </w:r>
          </w:p>
        </w:tc>
        <w:tc>
          <w:tcPr>
            <w:tcW w:w="0" w:type="dxa"/>
            <w:vAlign w:val="bottom"/>
          </w:tcPr>
          <w:p>
            <w:pPr>
              <w:spacing w:after="0"/>
              <w:rPr>
                <w:sz w:val="1"/>
                <w:szCs w:val="1"/>
                <w:color w:val="auto"/>
              </w:rPr>
            </w:pPr>
          </w:p>
        </w:tc>
      </w:tr>
      <w:tr>
        <w:trPr>
          <w:trHeight w:val="301"/>
        </w:trPr>
        <w:tc>
          <w:tcPr>
            <w:tcW w:w="14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Shawn Henry</w:t>
            </w:r>
          </w:p>
        </w:tc>
        <w:tc>
          <w:tcPr>
            <w:tcW w:w="16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E5E5E5"/>
          </w:tcPr>
          <w:p>
            <w:pPr>
              <w:jc w:val="right"/>
              <w:spacing w:after="0" w:line="300"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w:t>
            </w:r>
          </w:p>
        </w:tc>
        <w:tc>
          <w:tcPr>
            <w:tcW w:w="160" w:type="dxa"/>
            <w:vAlign w:val="bottom"/>
            <w:shd w:val="clear" w:color="auto" w:fill="E5E5E5"/>
          </w:tcPr>
          <w:p>
            <w:pPr>
              <w:ind w:left="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E5E5E5"/>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E5E5"/>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220" w:type="dxa"/>
            <w:vAlign w:val="bottom"/>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6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ind w:left="60"/>
              <w:spacing w:after="0"/>
              <w:rPr>
                <w:sz w:val="20"/>
                <w:szCs w:val="20"/>
                <w:color w:val="auto"/>
              </w:rPr>
            </w:pPr>
            <w:r>
              <w:rPr>
                <w:rFonts w:ascii="Arial" w:cs="Arial" w:eastAsia="Arial" w:hAnsi="Arial"/>
                <w:sz w:val="17"/>
                <w:szCs w:val="17"/>
                <w:color w:val="auto"/>
              </w:rPr>
              <w:t>​ ​</w:t>
            </w:r>
          </w:p>
        </w:tc>
        <w:tc>
          <w:tcPr>
            <w:tcW w:w="6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7"/>
                <w:szCs w:val="17"/>
                <w:color w:val="auto"/>
              </w:rPr>
              <w:t>​ ​</w:t>
            </w:r>
          </w:p>
        </w:tc>
        <w:tc>
          <w:tcPr>
            <w:tcW w:w="560" w:type="dxa"/>
            <w:vAlign w:val="bottom"/>
            <w:shd w:val="clear" w:color="auto" w:fill="E5E5E5"/>
          </w:tcPr>
          <w:p>
            <w:pPr>
              <w:jc w:val="right"/>
              <w:ind w:right="18"/>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157480</wp:posOffset>
            </wp:positionV>
            <wp:extent cx="11950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321" w:lineRule="exact"/>
        <w:rPr>
          <w:sz w:val="20"/>
          <w:szCs w:val="20"/>
          <w:color w:val="auto"/>
        </w:rPr>
      </w:pPr>
    </w:p>
    <w:p>
      <w:pPr>
        <w:ind w:left="1140" w:right="580" w:hanging="347"/>
        <w:spacing w:after="0" w:line="259"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Messrs. Kurtz, Sentonas and Podbere, these columns reflect the bonus opportunities under the CIP for fiscal 2026. No CIP bonus is payable to our NEOs if performance is achieved below the threshold performance level. Estimates above for each of our NEOs do not include any potential upward/​downward discretionary adjustments by the Compensation Committee based on performance against the Net Retention Rate metric.</w:t>
      </w:r>
    </w:p>
    <w:p>
      <w:pPr>
        <w:spacing w:after="0" w:line="55" w:lineRule="exact"/>
        <w:rPr>
          <w:rFonts w:ascii="Arial" w:cs="Arial" w:eastAsia="Arial" w:hAnsi="Arial"/>
          <w:sz w:val="16"/>
          <w:szCs w:val="16"/>
          <w:color w:val="auto"/>
        </w:rPr>
      </w:pPr>
    </w:p>
    <w:p>
      <w:pPr>
        <w:ind w:left="1140" w:right="560" w:hanging="347"/>
        <w:spacing w:after="0" w:line="270" w:lineRule="auto"/>
        <w:tabs>
          <w:tab w:leader="none" w:pos="11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amounts in these columns reflect the PSUs granted to the NEOs under the Company’s 2019 Equity Incentive Plan during fiscal 2026. The PSUs granted on April 23, 2025, in the case of Mr. Kurtz, and on April 16, 2025, in the case of Messrs. Sentonas and Podbere, reflect the right to receive between 0% and 200% of the target number of PSUs granted to the NEO and are earned based on the Company’s achievement of a specified revenue metric and non-GAAP earnings per share metric. In the event that the revenue metric or the specified non-GAAP earnings per share threshold for fiscal 2026 is not met, the PSUs will be forfeited in their entirety. Except for the TSR PSUs granted to Mr. Kurtz in December 2025, the earned PSUs service-vest over a four-year period, with 25% of the PSUs service-vesting on the first anniversary of the applicable vesting commencement date and the remaining 75% of the PSUs service-vesting on a fiscal quarterly basis thereafter, in each case provided the NEO remains employed with the Company through each vesting date.</w:t>
      </w:r>
    </w:p>
    <w:p>
      <w:pPr>
        <w:spacing w:after="0" w:line="4" w:lineRule="exact"/>
        <w:rPr>
          <w:rFonts w:ascii="Arial" w:cs="Arial" w:eastAsia="Arial" w:hAnsi="Arial"/>
          <w:sz w:val="15"/>
          <w:szCs w:val="15"/>
          <w:color w:val="auto"/>
        </w:rPr>
      </w:pPr>
    </w:p>
    <w:p>
      <w:pPr>
        <w:ind w:left="1140" w:right="1060"/>
        <w:spacing w:after="0" w:line="284" w:lineRule="auto"/>
        <w:rPr>
          <w:rFonts w:ascii="Arial" w:cs="Arial" w:eastAsia="Arial" w:hAnsi="Arial"/>
          <w:sz w:val="15"/>
          <w:szCs w:val="15"/>
          <w:color w:val="auto"/>
        </w:rPr>
      </w:pPr>
      <w:r>
        <w:rPr>
          <w:rFonts w:ascii="Arial" w:cs="Arial" w:eastAsia="Arial" w:hAnsi="Arial"/>
          <w:sz w:val="16"/>
          <w:szCs w:val="16"/>
          <w:color w:val="auto"/>
        </w:rPr>
        <w:t>For information on the PSUs granted to Mr. Kurtz in December 2025, see “Executive Compensation Discussion and Analysis — Long-Term Equity Incentive Compensation — TSR PSUs.”</w:t>
      </w:r>
    </w:p>
    <w:p>
      <w:pPr>
        <w:spacing w:after="0" w:line="61" w:lineRule="exact"/>
        <w:rPr>
          <w:rFonts w:ascii="Arial" w:cs="Arial" w:eastAsia="Arial" w:hAnsi="Arial"/>
          <w:sz w:val="15"/>
          <w:szCs w:val="15"/>
          <w:color w:val="auto"/>
        </w:rPr>
      </w:pPr>
    </w:p>
    <w:p>
      <w:pPr>
        <w:ind w:left="1140" w:hanging="347"/>
        <w:spacing w:after="0"/>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amount will be paid out with respect to any annual bonus opportunity if performance is below threshold.</w:t>
      </w:r>
    </w:p>
    <w:p>
      <w:pPr>
        <w:spacing w:after="0" w:line="90" w:lineRule="exact"/>
        <w:rPr>
          <w:rFonts w:ascii="Arial" w:cs="Arial" w:eastAsia="Arial" w:hAnsi="Arial"/>
          <w:sz w:val="16"/>
          <w:szCs w:val="16"/>
          <w:color w:val="auto"/>
        </w:rPr>
      </w:pPr>
    </w:p>
    <w:p>
      <w:pPr>
        <w:ind w:left="1140" w:right="800" w:hanging="347"/>
        <w:spacing w:after="0" w:line="261"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in this column reflect the RSUs granted to the NEOs under the 2019 Plan during fiscal 2026. These RSUs service-vest over a four-year period, with one sixteenth (1/16) of the RSUs vesting quarterly, in each case provided the NEO remains employed with the Company through each vesting date.</w:t>
      </w:r>
    </w:p>
    <w:p>
      <w:pPr>
        <w:spacing w:after="0" w:line="66" w:lineRule="exact"/>
        <w:rPr>
          <w:rFonts w:ascii="Arial" w:cs="Arial" w:eastAsia="Arial" w:hAnsi="Arial"/>
          <w:sz w:val="16"/>
          <w:szCs w:val="16"/>
          <w:color w:val="auto"/>
        </w:rPr>
      </w:pPr>
    </w:p>
    <w:p>
      <w:pPr>
        <w:ind w:left="1140" w:right="520" w:hanging="347"/>
        <w:spacing w:after="0" w:line="271" w:lineRule="auto"/>
        <w:tabs>
          <w:tab w:leader="none" w:pos="11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amounts in this column for the RSUs and PSUs reflect their aggregate grant date fair values, calculated in accordance with FASB ASC Topic 718, excluding the effect of estimated forfeitures. The amounts in this column for the PSUs granted on April 23, 2025, in the case of Mr. Kurtz, and on April 16, 2025, in the case of Messrs. Sentonas and Podbere, were calculated based on the probable outcome of the performance condition as of the grant date, consistent with the estimate of aggregate compensation cost to be recognized over the service period determined as of the grant date under FASB ASC Topic 718. The following are the values of such PSU awards as of the grant date assuming attainment of the maximum level of performance: Mr. Kurtz ($53,784,351), Mr. Sentonas ($31,775,895), and Mr. Podbere ($15,887,948). The amount for the TSR PSUs granted to Mr. Kurtz was calculated based on a Monte-Carlo simulation. The value of such TSR PSU award as of the grant date assuming attainment of the maximum level of performance is $289,884,000. For additional information on how we account for equity-based compensation, see Note 8 to our audited consolidated financial statements included in our Annual Report on Form 10-K for fiscal 2026, which was filed with the SEC on March 5, 2026.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080"/>
          </w:cols>
          <w:pgMar w:left="760" w:top="94" w:right="105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Outstanding Equity Awards at 2026 Fiscal Year-End</w:t>
      </w:r>
    </w:p>
    <w:p>
      <w:pPr>
        <w:spacing w:after="0" w:line="109" w:lineRule="exact"/>
        <w:rPr>
          <w:sz w:val="20"/>
          <w:szCs w:val="20"/>
          <w:color w:val="auto"/>
        </w:rPr>
      </w:pPr>
    </w:p>
    <w:p>
      <w:pPr>
        <w:ind w:left="800" w:right="1460"/>
        <w:spacing w:after="0" w:line="298" w:lineRule="auto"/>
        <w:rPr>
          <w:sz w:val="20"/>
          <w:szCs w:val="20"/>
          <w:color w:val="auto"/>
        </w:rPr>
      </w:pPr>
      <w:r>
        <w:rPr>
          <w:rFonts w:ascii="Arial" w:cs="Arial" w:eastAsia="Arial" w:hAnsi="Arial"/>
          <w:sz w:val="17"/>
          <w:szCs w:val="17"/>
          <w:color w:val="auto"/>
        </w:rPr>
        <w:t>The following table summarizes the number of securities underlying outstanding equity awards for each of our NEOs as of January 31, 2026.</w:t>
      </w: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D6515D"/>
            </w:tcBorders>
          </w:tcPr>
          <w:p>
            <w:pPr>
              <w:spacing w:after="0"/>
              <w:rPr>
                <w:sz w:val="17"/>
                <w:szCs w:val="17"/>
                <w:color w:val="auto"/>
              </w:rPr>
            </w:pPr>
          </w:p>
        </w:tc>
        <w:tc>
          <w:tcPr>
            <w:tcW w:w="80" w:type="dxa"/>
            <w:vAlign w:val="bottom"/>
            <w:tcBorders>
              <w:bottom w:val="single" w:sz="8" w:color="D6515D"/>
            </w:tcBorders>
          </w:tcPr>
          <w:p>
            <w:pPr>
              <w:spacing w:after="0"/>
              <w:rPr>
                <w:sz w:val="17"/>
                <w:szCs w:val="17"/>
                <w:color w:val="auto"/>
              </w:rPr>
            </w:pPr>
          </w:p>
        </w:tc>
        <w:tc>
          <w:tcPr>
            <w:tcW w:w="520" w:type="dxa"/>
            <w:vAlign w:val="bottom"/>
            <w:tcBorders>
              <w:bottom w:val="single" w:sz="8" w:color="D6515D"/>
            </w:tcBorders>
          </w:tcPr>
          <w:p>
            <w:pPr>
              <w:spacing w:after="0"/>
              <w:rPr>
                <w:sz w:val="17"/>
                <w:szCs w:val="17"/>
                <w:color w:val="auto"/>
              </w:rPr>
            </w:pPr>
          </w:p>
        </w:tc>
        <w:tc>
          <w:tcPr>
            <w:tcW w:w="1260" w:type="dxa"/>
            <w:vAlign w:val="bottom"/>
            <w:tcBorders>
              <w:bottom w:val="single" w:sz="8" w:color="D6515D"/>
            </w:tcBorders>
            <w:gridSpan w:val="2"/>
          </w:tcPr>
          <w:p>
            <w:pPr>
              <w:ind w:left="100"/>
              <w:spacing w:after="0"/>
              <w:rPr>
                <w:sz w:val="20"/>
                <w:szCs w:val="20"/>
                <w:color w:val="auto"/>
              </w:rPr>
            </w:pPr>
            <w:r>
              <w:rPr>
                <w:rFonts w:ascii="Arial" w:cs="Arial" w:eastAsia="Arial" w:hAnsi="Arial"/>
                <w:sz w:val="14"/>
                <w:szCs w:val="14"/>
                <w:b w:val="1"/>
                <w:bCs w:val="1"/>
                <w:color w:val="auto"/>
                <w:w w:val="97"/>
              </w:rPr>
              <w:t xml:space="preserve">Option Awards </w:t>
            </w:r>
            <w:r>
              <w:rPr>
                <w:rFonts w:ascii="Arial" w:cs="Arial" w:eastAsia="Arial" w:hAnsi="Arial"/>
                <w:sz w:val="17"/>
                <w:szCs w:val="17"/>
                <w:b w:val="1"/>
                <w:bCs w:val="1"/>
                <w:color w:val="auto"/>
                <w:w w:val="97"/>
                <w:vertAlign w:val="superscript"/>
              </w:rPr>
              <w:t>(1)</w:t>
            </w:r>
          </w:p>
        </w:tc>
        <w:tc>
          <w:tcPr>
            <w:tcW w:w="600" w:type="dxa"/>
            <w:vAlign w:val="bottom"/>
            <w:tcBorders>
              <w:bottom w:val="single" w:sz="8" w:color="D6515D"/>
            </w:tcBorders>
          </w:tcPr>
          <w:p>
            <w:pPr>
              <w:spacing w:after="0"/>
              <w:rPr>
                <w:sz w:val="17"/>
                <w:szCs w:val="17"/>
                <w:color w:val="auto"/>
              </w:rPr>
            </w:pPr>
          </w:p>
        </w:tc>
        <w:tc>
          <w:tcPr>
            <w:tcW w:w="800" w:type="dxa"/>
            <w:vAlign w:val="bottom"/>
            <w:tcBorders>
              <w:bottom w:val="single" w:sz="8" w:color="D6515D"/>
            </w:tcBorders>
          </w:tcPr>
          <w:p>
            <w:pPr>
              <w:spacing w:after="0"/>
              <w:rPr>
                <w:sz w:val="17"/>
                <w:szCs w:val="17"/>
                <w:color w:val="auto"/>
              </w:rPr>
            </w:pPr>
          </w:p>
        </w:tc>
        <w:tc>
          <w:tcPr>
            <w:tcW w:w="700" w:type="dxa"/>
            <w:vAlign w:val="bottom"/>
            <w:tcBorders>
              <w:bottom w:val="single" w:sz="8" w:color="D6515D"/>
            </w:tcBorders>
          </w:tcPr>
          <w:p>
            <w:pPr>
              <w:spacing w:after="0"/>
              <w:rPr>
                <w:sz w:val="17"/>
                <w:szCs w:val="17"/>
                <w:color w:val="auto"/>
              </w:rPr>
            </w:pPr>
          </w:p>
        </w:tc>
        <w:tc>
          <w:tcPr>
            <w:tcW w:w="1600" w:type="dxa"/>
            <w:vAlign w:val="bottom"/>
            <w:tcBorders>
              <w:bottom w:val="single" w:sz="8" w:color="D6515D"/>
            </w:tcBorders>
            <w:gridSpan w:val="2"/>
          </w:tcPr>
          <w:p>
            <w:pPr>
              <w:jc w:val="right"/>
              <w:ind w:right="39"/>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7"/>
                <w:szCs w:val="17"/>
                <w:b w:val="1"/>
                <w:bCs w:val="1"/>
                <w:color w:val="auto"/>
                <w:vertAlign w:val="superscript"/>
              </w:rPr>
              <w:t>(1)</w:t>
            </w:r>
          </w:p>
        </w:tc>
        <w:tc>
          <w:tcPr>
            <w:tcW w:w="60" w:type="dxa"/>
            <w:vAlign w:val="bottom"/>
            <w:tcBorders>
              <w:bottom w:val="single" w:sz="8" w:color="D6515D"/>
            </w:tcBorders>
          </w:tcPr>
          <w:p>
            <w:pPr>
              <w:spacing w:after="0"/>
              <w:rPr>
                <w:sz w:val="17"/>
                <w:szCs w:val="17"/>
                <w:color w:val="auto"/>
              </w:rPr>
            </w:pPr>
          </w:p>
        </w:tc>
        <w:tc>
          <w:tcPr>
            <w:tcW w:w="940" w:type="dxa"/>
            <w:vAlign w:val="bottom"/>
            <w:tcBorders>
              <w:bottom w:val="single" w:sz="8" w:color="D6515D"/>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Plan</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Incentive</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Equity</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Market</w:t>
            </w: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Value of</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Unearned</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Plan</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Shares,</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Payout of</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Awards:</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Units or</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Number of</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other</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9"/>
              </w:rPr>
              <w:t>Number of</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Rights</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Rights</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Rights</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Securities</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That</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Underlying</w:t>
            </w:r>
          </w:p>
        </w:tc>
        <w:tc>
          <w:tcPr>
            <w:tcW w:w="142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9"/>
              </w:rPr>
              <w:t>Unexercised Option</w:t>
            </w:r>
          </w:p>
        </w:tc>
        <w:tc>
          <w:tcPr>
            <w:tcW w:w="80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8"/>
              </w:rPr>
              <w:t>Options</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Unearned</w:t>
            </w:r>
          </w:p>
        </w:tc>
        <w:tc>
          <w:tcPr>
            <w:tcW w:w="6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Option</w:t>
            </w: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Not</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Not</w:t>
            </w: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Not</w:t>
            </w:r>
          </w:p>
        </w:tc>
        <w:tc>
          <w:tcPr>
            <w:tcW w:w="60" w:type="dxa"/>
            <w:vAlign w:val="bottom"/>
          </w:tcPr>
          <w:p>
            <w:pPr>
              <w:spacing w:after="0"/>
              <w:rPr>
                <w:sz w:val="13"/>
                <w:szCs w:val="13"/>
                <w:color w:val="auto"/>
              </w:rPr>
            </w:pPr>
          </w:p>
        </w:tc>
        <w:tc>
          <w:tcPr>
            <w:tcW w:w="96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w w:val="97"/>
              </w:rPr>
              <w:t>Exercisable Unexercisable</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Options</w:t>
            </w: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Expiration</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Vested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Vested</w:t>
            </w:r>
          </w:p>
        </w:tc>
        <w:tc>
          <w:tcPr>
            <w:tcW w:w="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Vested</w:t>
            </w:r>
          </w:p>
        </w:tc>
        <w:tc>
          <w:tcPr>
            <w:tcW w:w="60" w:type="dxa"/>
            <w:vAlign w:val="bottom"/>
          </w:tcPr>
          <w:p>
            <w:pPr>
              <w:spacing w:after="0"/>
              <w:rPr>
                <w:sz w:val="12"/>
                <w:szCs w:val="12"/>
                <w:color w:val="auto"/>
              </w:rPr>
            </w:pPr>
          </w:p>
        </w:tc>
        <w:tc>
          <w:tcPr>
            <w:tcW w:w="9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Not Vested</w:t>
            </w:r>
          </w:p>
        </w:tc>
        <w:tc>
          <w:tcPr>
            <w:tcW w:w="0" w:type="dxa"/>
            <w:vAlign w:val="bottom"/>
          </w:tcPr>
          <w:p>
            <w:pPr>
              <w:spacing w:after="0"/>
              <w:rPr>
                <w:sz w:val="1"/>
                <w:szCs w:val="1"/>
                <w:color w:val="auto"/>
              </w:rPr>
            </w:pPr>
          </w:p>
        </w:tc>
      </w:tr>
      <w:tr>
        <w:trPr>
          <w:trHeight w:val="191"/>
        </w:trPr>
        <w:tc>
          <w:tcPr>
            <w:tcW w:w="162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D6515D"/>
            </w:tcBorders>
            <w:gridSpan w:val="2"/>
          </w:tcPr>
          <w:p>
            <w:pPr>
              <w:ind w:left="2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6515D"/>
            </w:tcBorders>
          </w:tcPr>
          <w:p>
            <w:pPr>
              <w:spacing w:after="0"/>
              <w:rPr>
                <w:sz w:val="16"/>
                <w:szCs w:val="16"/>
                <w:color w:val="auto"/>
              </w:rPr>
            </w:pPr>
          </w:p>
        </w:tc>
        <w:tc>
          <w:tcPr>
            <w:tcW w:w="960" w:type="dxa"/>
            <w:vAlign w:val="bottom"/>
            <w:tcBorders>
              <w:bottom w:val="single" w:sz="8" w:color="D6515D"/>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D6515D"/>
            </w:tcBorders>
          </w:tcPr>
          <w:p>
            <w:pPr>
              <w:jc w:val="center"/>
              <w:spacing w:after="0" w:line="191"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17"/>
                <w:szCs w:val="17"/>
                <w:b w:val="1"/>
                <w:bCs w:val="1"/>
                <w:color w:val="auto"/>
                <w:w w:val="91"/>
                <w:vertAlign w:val="superscript"/>
              </w:rPr>
              <w:t>(2)</w:t>
            </w:r>
          </w:p>
        </w:tc>
        <w:tc>
          <w:tcPr>
            <w:tcW w:w="72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D6515D"/>
            </w:tcBorders>
          </w:tcPr>
          <w:p>
            <w:pPr>
              <w:spacing w:after="0"/>
              <w:rPr>
                <w:sz w:val="16"/>
                <w:szCs w:val="16"/>
                <w:color w:val="auto"/>
              </w:rPr>
            </w:pPr>
          </w:p>
        </w:tc>
        <w:tc>
          <w:tcPr>
            <w:tcW w:w="940" w:type="dxa"/>
            <w:vAlign w:val="bottom"/>
            <w:tcBorders>
              <w:bottom w:val="single" w:sz="8" w:color="D6515D"/>
            </w:tcBorders>
          </w:tcPr>
          <w:p>
            <w:pPr>
              <w:jc w:val="center"/>
              <w:spacing w:after="0" w:line="191"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17"/>
                <w:szCs w:val="17"/>
                <w:b w:val="1"/>
                <w:bCs w:val="1"/>
                <w:color w:val="auto"/>
                <w:w w:val="91"/>
                <w:vertAlign w:val="superscript"/>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line="155" w:lineRule="exact"/>
              <w:rPr>
                <w:sz w:val="20"/>
                <w:szCs w:val="20"/>
                <w:color w:val="auto"/>
              </w:rPr>
            </w:pPr>
            <w:r>
              <w:rPr>
                <w:rFonts w:ascii="Arial" w:cs="Arial" w:eastAsia="Arial" w:hAnsi="Arial"/>
                <w:sz w:val="17"/>
                <w:szCs w:val="17"/>
                <w:b w:val="1"/>
                <w:bCs w:val="1"/>
                <w:color w:val="auto"/>
              </w:rPr>
              <w:t>George Kurtz</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10/09/18 </w:t>
            </w:r>
            <w:r>
              <w:rPr>
                <w:rFonts w:ascii="Arial" w:cs="Arial" w:eastAsia="Arial" w:hAnsi="Arial"/>
                <w:sz w:val="17"/>
                <w:szCs w:val="17"/>
                <w:color w:val="auto"/>
                <w:vertAlign w:val="superscript"/>
              </w:rPr>
              <w:t>(3)</w:t>
            </w:r>
          </w:p>
        </w:tc>
        <w:tc>
          <w:tcPr>
            <w:tcW w:w="700" w:type="dxa"/>
            <w:vAlign w:val="bottom"/>
          </w:tcPr>
          <w:p>
            <w:pPr>
              <w:jc w:val="right"/>
              <w:spacing w:after="0" w:line="155" w:lineRule="exact"/>
              <w:rPr>
                <w:sz w:val="20"/>
                <w:szCs w:val="20"/>
                <w:color w:val="auto"/>
              </w:rPr>
            </w:pPr>
            <w:r>
              <w:rPr>
                <w:rFonts w:ascii="Arial" w:cs="Arial" w:eastAsia="Arial" w:hAnsi="Arial"/>
                <w:sz w:val="17"/>
                <w:szCs w:val="17"/>
                <w:color w:val="auto"/>
              </w:rPr>
              <w:t>351,989</w:t>
            </w:r>
          </w:p>
        </w:tc>
        <w:tc>
          <w:tcPr>
            <w:tcW w:w="80" w:type="dxa"/>
            <w:vAlign w:val="bottom"/>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Arial" w:cs="Arial" w:eastAsia="Arial" w:hAnsi="Arial"/>
                <w:sz w:val="17"/>
                <w:szCs w:val="17"/>
                <w:color w:val="auto"/>
              </w:rPr>
              <w:t>-</w:t>
            </w:r>
          </w:p>
        </w:tc>
        <w:tc>
          <w:tcPr>
            <w:tcW w:w="820" w:type="dxa"/>
            <w:vAlign w:val="bottom"/>
          </w:tcPr>
          <w:p>
            <w:pPr>
              <w:jc w:val="center"/>
              <w:spacing w:after="0" w:line="155"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7"/>
                <w:szCs w:val="17"/>
                <w:color w:val="auto"/>
              </w:rPr>
              <w:t>11.13</w:t>
            </w:r>
          </w:p>
        </w:tc>
        <w:tc>
          <w:tcPr>
            <w:tcW w:w="800" w:type="dxa"/>
            <w:vAlign w:val="bottom"/>
          </w:tcPr>
          <w:p>
            <w:pPr>
              <w:jc w:val="right"/>
              <w:spacing w:after="0" w:line="155" w:lineRule="exact"/>
              <w:rPr>
                <w:sz w:val="20"/>
                <w:szCs w:val="20"/>
                <w:color w:val="auto"/>
              </w:rPr>
            </w:pPr>
            <w:r>
              <w:rPr>
                <w:rFonts w:ascii="Arial" w:cs="Arial" w:eastAsia="Arial" w:hAnsi="Arial"/>
                <w:sz w:val="17"/>
                <w:szCs w:val="17"/>
                <w:color w:val="auto"/>
              </w:rPr>
              <w:t>10/9/2028</w:t>
            </w:r>
          </w:p>
        </w:tc>
        <w:tc>
          <w:tcPr>
            <w:tcW w:w="700" w:type="dxa"/>
            <w:vAlign w:val="bottom"/>
          </w:tcPr>
          <w:p>
            <w:pPr>
              <w:jc w:val="right"/>
              <w:ind w:right="19"/>
              <w:spacing w:after="0" w:line="155"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880" w:type="dxa"/>
            <w:vAlign w:val="bottom"/>
            <w:gridSpan w:val="2"/>
          </w:tcPr>
          <w:p>
            <w:pPr>
              <w:ind w:left="20"/>
              <w:spacing w:after="0" w:line="230" w:lineRule="exact"/>
              <w:rPr>
                <w:sz w:val="20"/>
                <w:szCs w:val="20"/>
                <w:color w:val="auto"/>
              </w:rPr>
            </w:pPr>
            <w:r>
              <w:rPr>
                <w:rFonts w:ascii="Arial" w:cs="Arial" w:eastAsia="Arial" w:hAnsi="Arial"/>
                <w:sz w:val="17"/>
                <w:szCs w:val="17"/>
                <w:color w:val="auto"/>
                <w:w w:val="93"/>
              </w:rPr>
              <w:t>08/28/21 </w:t>
            </w:r>
            <w:r>
              <w:rPr>
                <w:rFonts w:ascii="Arial" w:cs="Arial" w:eastAsia="Arial" w:hAnsi="Arial"/>
                <w:sz w:val="22"/>
                <w:szCs w:val="22"/>
                <w:color w:val="auto"/>
                <w:w w:val="93"/>
                <w:vertAlign w:val="superscript"/>
              </w:rPr>
              <w:t>(4)</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- 16,875</w:t>
            </w:r>
          </w:p>
        </w:tc>
        <w:tc>
          <w:tcPr>
            <w:tcW w:w="880" w:type="dxa"/>
            <w:vAlign w:val="bottom"/>
          </w:tcPr>
          <w:p>
            <w:pPr>
              <w:jc w:val="right"/>
              <w:spacing w:after="0"/>
              <w:rPr>
                <w:sz w:val="20"/>
                <w:szCs w:val="20"/>
                <w:color w:val="auto"/>
              </w:rPr>
            </w:pPr>
            <w:r>
              <w:rPr>
                <w:rFonts w:ascii="Arial" w:cs="Arial" w:eastAsia="Arial" w:hAnsi="Arial"/>
                <w:sz w:val="17"/>
                <w:szCs w:val="17"/>
                <w:color w:val="auto"/>
              </w:rPr>
              <w:t>7,448,709</w:t>
            </w:r>
          </w:p>
        </w:tc>
        <w:tc>
          <w:tcPr>
            <w:tcW w:w="720" w:type="dxa"/>
            <w:vAlign w:val="bottom"/>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59,589,675</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6,143</w:t>
            </w:r>
          </w:p>
        </w:tc>
        <w:tc>
          <w:tcPr>
            <w:tcW w:w="880" w:type="dxa"/>
            <w:vAlign w:val="bottom"/>
          </w:tcPr>
          <w:p>
            <w:pPr>
              <w:jc w:val="right"/>
              <w:spacing w:after="0"/>
              <w:rPr>
                <w:sz w:val="20"/>
                <w:szCs w:val="20"/>
                <w:color w:val="auto"/>
              </w:rPr>
            </w:pPr>
            <w:r>
              <w:rPr>
                <w:rFonts w:ascii="Arial" w:cs="Arial" w:eastAsia="Arial" w:hAnsi="Arial"/>
                <w:sz w:val="17"/>
                <w:szCs w:val="17"/>
                <w:color w:val="auto"/>
              </w:rPr>
              <w:t>2,711,551</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(6)</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3,905</w:t>
            </w:r>
          </w:p>
        </w:tc>
        <w:tc>
          <w:tcPr>
            <w:tcW w:w="880" w:type="dxa"/>
            <w:vAlign w:val="bottom"/>
          </w:tcPr>
          <w:p>
            <w:pPr>
              <w:jc w:val="right"/>
              <w:spacing w:after="0"/>
              <w:rPr>
                <w:sz w:val="20"/>
                <w:szCs w:val="20"/>
                <w:color w:val="auto"/>
              </w:rPr>
            </w:pPr>
            <w:r>
              <w:rPr>
                <w:rFonts w:ascii="Arial" w:cs="Arial" w:eastAsia="Arial" w:hAnsi="Arial"/>
                <w:sz w:val="17"/>
                <w:szCs w:val="17"/>
                <w:color w:val="auto"/>
              </w:rPr>
              <w:t>1,723,687</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- 65,505</w:t>
            </w:r>
          </w:p>
        </w:tc>
        <w:tc>
          <w:tcPr>
            <w:tcW w:w="880" w:type="dxa"/>
            <w:vAlign w:val="bottom"/>
          </w:tcPr>
          <w:p>
            <w:pPr>
              <w:jc w:val="right"/>
              <w:spacing w:after="0"/>
              <w:rPr>
                <w:sz w:val="20"/>
                <w:szCs w:val="20"/>
                <w:color w:val="auto"/>
              </w:rPr>
            </w:pPr>
            <w:r>
              <w:rPr>
                <w:rFonts w:ascii="Arial" w:cs="Arial" w:eastAsia="Arial" w:hAnsi="Arial"/>
                <w:sz w:val="17"/>
                <w:szCs w:val="17"/>
                <w:color w:val="auto"/>
              </w:rPr>
              <w:t>28,914,235</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(8)</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- 42,425</w:t>
            </w:r>
          </w:p>
        </w:tc>
        <w:tc>
          <w:tcPr>
            <w:tcW w:w="880" w:type="dxa"/>
            <w:vAlign w:val="bottom"/>
          </w:tcPr>
          <w:p>
            <w:pPr>
              <w:jc w:val="right"/>
              <w:spacing w:after="0"/>
              <w:rPr>
                <w:sz w:val="20"/>
                <w:szCs w:val="20"/>
                <w:color w:val="auto"/>
              </w:rPr>
            </w:pPr>
            <w:r>
              <w:rPr>
                <w:rFonts w:ascii="Arial" w:cs="Arial" w:eastAsia="Arial" w:hAnsi="Arial"/>
                <w:sz w:val="17"/>
                <w:szCs w:val="17"/>
                <w:color w:val="auto"/>
              </w:rPr>
              <w:t>18,726,607</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04/17/24 </w:t>
            </w:r>
            <w:r>
              <w:rPr>
                <w:rFonts w:ascii="Arial" w:cs="Arial" w:eastAsia="Arial" w:hAnsi="Arial"/>
                <w:sz w:val="22"/>
                <w:szCs w:val="22"/>
                <w:color w:val="auto"/>
                <w:w w:val="93"/>
                <w:vertAlign w:val="superscript"/>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- 23,041</w:t>
            </w:r>
          </w:p>
        </w:tc>
        <w:tc>
          <w:tcPr>
            <w:tcW w:w="880" w:type="dxa"/>
            <w:vAlign w:val="bottom"/>
          </w:tcPr>
          <w:p>
            <w:pPr>
              <w:jc w:val="right"/>
              <w:spacing w:after="0"/>
              <w:rPr>
                <w:sz w:val="20"/>
                <w:szCs w:val="20"/>
                <w:color w:val="auto"/>
              </w:rPr>
            </w:pPr>
            <w:r>
              <w:rPr>
                <w:rFonts w:ascii="Arial" w:cs="Arial" w:eastAsia="Arial" w:hAnsi="Arial"/>
                <w:sz w:val="17"/>
                <w:szCs w:val="17"/>
                <w:color w:val="auto"/>
              </w:rPr>
              <w:t>10,170,413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04/17/24 </w:t>
            </w:r>
            <w:r>
              <w:rPr>
                <w:rFonts w:ascii="Arial" w:cs="Arial" w:eastAsia="Arial" w:hAnsi="Arial"/>
                <w:sz w:val="22"/>
                <w:szCs w:val="22"/>
                <w:color w:val="auto"/>
                <w:w w:val="85"/>
                <w:vertAlign w:val="superscript"/>
              </w:rPr>
              <w:t>(10)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- 30,502</w:t>
            </w:r>
          </w:p>
        </w:tc>
        <w:tc>
          <w:tcPr>
            <w:tcW w:w="880" w:type="dxa"/>
            <w:vAlign w:val="bottom"/>
          </w:tcPr>
          <w:p>
            <w:pPr>
              <w:jc w:val="right"/>
              <w:spacing w:after="0"/>
              <w:rPr>
                <w:sz w:val="20"/>
                <w:szCs w:val="20"/>
                <w:color w:val="auto"/>
              </w:rPr>
            </w:pPr>
            <w:r>
              <w:rPr>
                <w:rFonts w:ascii="Arial" w:cs="Arial" w:eastAsia="Arial" w:hAnsi="Arial"/>
                <w:sz w:val="17"/>
                <w:szCs w:val="17"/>
                <w:color w:val="auto"/>
              </w:rPr>
              <w:t>13,463,735</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04/23/25 </w:t>
            </w:r>
            <w:r>
              <w:rPr>
                <w:rFonts w:ascii="Arial" w:cs="Arial" w:eastAsia="Arial" w:hAnsi="Arial"/>
                <w:sz w:val="22"/>
                <w:szCs w:val="22"/>
                <w:color w:val="auto"/>
                <w:w w:val="85"/>
                <w:vertAlign w:val="superscript"/>
              </w:rPr>
              <w:t>(11)</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139,428</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61,544,216</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04/23/25 </w:t>
            </w:r>
            <w:r>
              <w:rPr>
                <w:rFonts w:ascii="Arial" w:cs="Arial" w:eastAsia="Arial" w:hAnsi="Arial"/>
                <w:sz w:val="22"/>
                <w:szCs w:val="22"/>
                <w:color w:val="auto"/>
                <w:w w:val="85"/>
                <w:vertAlign w:val="superscript"/>
              </w:rPr>
              <w:t>(12)</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- 56,643</w:t>
            </w:r>
          </w:p>
        </w:tc>
        <w:tc>
          <w:tcPr>
            <w:tcW w:w="880" w:type="dxa"/>
            <w:vAlign w:val="bottom"/>
          </w:tcPr>
          <w:p>
            <w:pPr>
              <w:jc w:val="right"/>
              <w:spacing w:after="0"/>
              <w:rPr>
                <w:sz w:val="20"/>
                <w:szCs w:val="20"/>
                <w:color w:val="auto"/>
              </w:rPr>
            </w:pPr>
            <w:r>
              <w:rPr>
                <w:rFonts w:ascii="Arial" w:cs="Arial" w:eastAsia="Arial" w:hAnsi="Arial"/>
                <w:sz w:val="17"/>
                <w:szCs w:val="17"/>
                <w:color w:val="auto"/>
              </w:rPr>
              <w:t>25,002,503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880" w:type="dxa"/>
            <w:vAlign w:val="bottom"/>
            <w:gridSpan w:val="2"/>
          </w:tcPr>
          <w:p>
            <w:pPr>
              <w:ind w:left="20"/>
              <w:spacing w:after="0" w:line="227" w:lineRule="exact"/>
              <w:rPr>
                <w:sz w:val="20"/>
                <w:szCs w:val="20"/>
                <w:color w:val="auto"/>
              </w:rPr>
            </w:pPr>
            <w:r>
              <w:rPr>
                <w:rFonts w:ascii="Arial" w:cs="Arial" w:eastAsia="Arial" w:hAnsi="Arial"/>
                <w:sz w:val="17"/>
                <w:szCs w:val="17"/>
                <w:color w:val="auto"/>
                <w:w w:val="85"/>
              </w:rPr>
              <w:t>12/22/25 </w:t>
            </w:r>
            <w:r>
              <w:rPr>
                <w:rFonts w:ascii="Arial" w:cs="Arial" w:eastAsia="Arial" w:hAnsi="Arial"/>
                <w:sz w:val="22"/>
                <w:szCs w:val="22"/>
                <w:color w:val="auto"/>
                <w:w w:val="85"/>
                <w:vertAlign w:val="superscript"/>
              </w:rPr>
              <w:t>(13)</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300,000</w:t>
            </w:r>
          </w:p>
        </w:tc>
        <w:tc>
          <w:tcPr>
            <w:tcW w:w="1020" w:type="dxa"/>
            <w:vAlign w:val="bottom"/>
            <w:gridSpan w:val="3"/>
          </w:tcPr>
          <w:p>
            <w:pPr>
              <w:jc w:val="right"/>
              <w:ind w:right="20"/>
              <w:spacing w:after="0"/>
              <w:rPr>
                <w:sz w:val="20"/>
                <w:szCs w:val="20"/>
                <w:color w:val="auto"/>
              </w:rPr>
            </w:pPr>
            <w:r>
              <w:rPr>
                <w:rFonts w:ascii="Arial" w:cs="Arial" w:eastAsia="Arial" w:hAnsi="Arial"/>
                <w:sz w:val="17"/>
                <w:szCs w:val="17"/>
                <w:color w:val="auto"/>
              </w:rPr>
              <w:t>132,421,500</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880" w:type="dxa"/>
            <w:vAlign w:val="bottom"/>
            <w:gridSpan w:val="2"/>
            <w:vMerge w:val="restart"/>
          </w:tcPr>
          <w:p>
            <w:pPr>
              <w:ind w:left="20"/>
              <w:spacing w:after="0" w:line="195" w:lineRule="exact"/>
              <w:rPr>
                <w:sz w:val="20"/>
                <w:szCs w:val="20"/>
                <w:color w:val="auto"/>
              </w:rPr>
            </w:pPr>
            <w:r>
              <w:rPr>
                <w:rFonts w:ascii="Arial" w:cs="Arial" w:eastAsia="Arial" w:hAnsi="Arial"/>
                <w:sz w:val="17"/>
                <w:szCs w:val="17"/>
                <w:color w:val="auto"/>
                <w:w w:val="85"/>
              </w:rPr>
              <w:t>06/01/16 </w:t>
            </w:r>
            <w:r>
              <w:rPr>
                <w:rFonts w:ascii="Arial" w:cs="Arial" w:eastAsia="Arial" w:hAnsi="Arial"/>
                <w:sz w:val="22"/>
                <w:szCs w:val="22"/>
                <w:color w:val="auto"/>
                <w:w w:val="85"/>
                <w:vertAlign w:val="superscript"/>
              </w:rPr>
              <w:t>(14)</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5,000</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1.67</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6/1/2026</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E5E5E5"/>
          </w:tcPr>
          <w:p>
            <w:pPr>
              <w:spacing w:after="0" w:line="162" w:lineRule="exact"/>
              <w:rPr>
                <w:sz w:val="20"/>
                <w:szCs w:val="20"/>
                <w:color w:val="auto"/>
              </w:rPr>
            </w:pPr>
            <w:r>
              <w:rPr>
                <w:rFonts w:ascii="Arial" w:cs="Arial" w:eastAsia="Arial" w:hAnsi="Arial"/>
                <w:sz w:val="17"/>
                <w:szCs w:val="17"/>
                <w:b w:val="1"/>
                <w:bCs w:val="1"/>
                <w:color w:val="auto"/>
              </w:rPr>
              <w:t>Michael Sentonas</w:t>
            </w: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20" w:type="dxa"/>
            <w:vAlign w:val="bottom"/>
            <w:shd w:val="clear" w:color="auto" w:fill="E5E5E5"/>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vMerge w:val="restart"/>
          </w:tcPr>
          <w:p>
            <w:pPr>
              <w:spacing w:after="0"/>
              <w:rPr>
                <w:sz w:val="20"/>
                <w:szCs w:val="20"/>
                <w:color w:val="auto"/>
              </w:rPr>
            </w:pPr>
            <w:r>
              <w:rPr>
                <w:rFonts w:ascii="Arial" w:cs="Arial" w:eastAsia="Arial" w:hAnsi="Arial"/>
                <w:sz w:val="9"/>
                <w:szCs w:val="9"/>
                <w:color w:val="auto"/>
                <w:w w:val="74"/>
              </w:rPr>
              <w:t>(15)</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3,230</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11.13</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9/25/2028</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E5E5E5"/>
          </w:tcPr>
          <w:p>
            <w:pPr>
              <w:spacing w:after="0"/>
              <w:rPr>
                <w:sz w:val="15"/>
                <w:szCs w:val="15"/>
                <w:color w:val="auto"/>
              </w:rPr>
            </w:pPr>
          </w:p>
        </w:tc>
        <w:tc>
          <w:tcPr>
            <w:tcW w:w="720" w:type="dxa"/>
            <w:vAlign w:val="bottom"/>
            <w:shd w:val="clear" w:color="auto" w:fill="E5E5E5"/>
          </w:tcPr>
          <w:p>
            <w:pPr>
              <w:ind w:left="20"/>
              <w:spacing w:after="0" w:line="183" w:lineRule="exact"/>
              <w:rPr>
                <w:sz w:val="20"/>
                <w:szCs w:val="20"/>
                <w:color w:val="auto"/>
              </w:rPr>
            </w:pPr>
            <w:r>
              <w:rPr>
                <w:rFonts w:ascii="Arial" w:cs="Arial" w:eastAsia="Arial" w:hAnsi="Arial"/>
                <w:sz w:val="17"/>
                <w:szCs w:val="17"/>
                <w:color w:val="auto"/>
                <w:w w:val="97"/>
              </w:rPr>
              <w:t>09/25/18 </w:t>
            </w:r>
          </w:p>
        </w:tc>
        <w:tc>
          <w:tcPr>
            <w:tcW w:w="1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04/06/22 </w:t>
            </w:r>
          </w:p>
        </w:tc>
        <w:tc>
          <w:tcPr>
            <w:tcW w:w="160" w:type="dxa"/>
            <w:vAlign w:val="bottom"/>
          </w:tcPr>
          <w:p>
            <w:pPr>
              <w:spacing w:after="0"/>
              <w:rPr>
                <w:sz w:val="20"/>
                <w:szCs w:val="20"/>
                <w:color w:val="auto"/>
              </w:rPr>
            </w:pPr>
            <w:r>
              <w:rPr>
                <w:rFonts w:ascii="Arial" w:cs="Arial" w:eastAsia="Arial" w:hAnsi="Arial"/>
                <w:sz w:val="11"/>
                <w:szCs w:val="11"/>
                <w:color w:val="auto"/>
                <w:w w:val="88"/>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2,458</w:t>
            </w:r>
          </w:p>
        </w:tc>
        <w:tc>
          <w:tcPr>
            <w:tcW w:w="880" w:type="dxa"/>
            <w:vAlign w:val="bottom"/>
          </w:tcPr>
          <w:p>
            <w:pPr>
              <w:jc w:val="right"/>
              <w:spacing w:after="0"/>
              <w:rPr>
                <w:sz w:val="20"/>
                <w:szCs w:val="20"/>
                <w:color w:val="auto"/>
              </w:rPr>
            </w:pPr>
            <w:r>
              <w:rPr>
                <w:rFonts w:ascii="Arial" w:cs="Arial" w:eastAsia="Arial" w:hAnsi="Arial"/>
                <w:sz w:val="17"/>
                <w:szCs w:val="17"/>
                <w:color w:val="auto"/>
              </w:rPr>
              <w:t>1,084,973</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620" w:type="dxa"/>
            <w:vAlign w:val="bottom"/>
            <w:shd w:val="clear" w:color="auto" w:fill="E5E5E5"/>
          </w:tcPr>
          <w:p>
            <w:pPr>
              <w:spacing w:after="0"/>
              <w:rPr>
                <w:sz w:val="3"/>
                <w:szCs w:val="3"/>
                <w:color w:val="auto"/>
              </w:rPr>
            </w:pPr>
          </w:p>
        </w:tc>
        <w:tc>
          <w:tcPr>
            <w:tcW w:w="720" w:type="dxa"/>
            <w:vAlign w:val="bottom"/>
            <w:vMerge w:val="restart"/>
            <w:shd w:val="clear" w:color="auto" w:fill="E5E5E5"/>
          </w:tcPr>
          <w:p>
            <w:pPr>
              <w:ind w:left="20"/>
              <w:spacing w:after="0"/>
              <w:rPr>
                <w:sz w:val="20"/>
                <w:szCs w:val="20"/>
                <w:color w:val="auto"/>
              </w:rPr>
            </w:pPr>
            <w:r>
              <w:rPr>
                <w:rFonts w:ascii="Arial" w:cs="Arial" w:eastAsia="Arial" w:hAnsi="Arial"/>
                <w:sz w:val="17"/>
                <w:szCs w:val="17"/>
                <w:color w:val="auto"/>
                <w:w w:val="97"/>
              </w:rPr>
              <w:t>04/06/22 </w:t>
            </w:r>
          </w:p>
        </w:tc>
        <w:tc>
          <w:tcPr>
            <w:tcW w:w="160" w:type="dxa"/>
            <w:vAlign w:val="bottom"/>
            <w:vMerge w:val="restart"/>
          </w:tcPr>
          <w:p>
            <w:pPr>
              <w:spacing w:after="0"/>
              <w:rPr>
                <w:sz w:val="20"/>
                <w:szCs w:val="20"/>
                <w:color w:val="auto"/>
              </w:rPr>
            </w:pPr>
            <w:r>
              <w:rPr>
                <w:rFonts w:ascii="Arial" w:cs="Arial" w:eastAsia="Arial" w:hAnsi="Arial"/>
                <w:sz w:val="11"/>
                <w:szCs w:val="11"/>
                <w:color w:val="auto"/>
                <w:w w:val="88"/>
              </w:rPr>
              <w:t>(6)</w:t>
            </w: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E5E5E5"/>
          </w:tcPr>
          <w:p>
            <w:pPr>
              <w:spacing w:after="0"/>
              <w:rPr>
                <w:sz w:val="15"/>
                <w:szCs w:val="15"/>
                <w:color w:val="auto"/>
              </w:rPr>
            </w:pPr>
          </w:p>
        </w:tc>
        <w:tc>
          <w:tcPr>
            <w:tcW w:w="720" w:type="dxa"/>
            <w:vAlign w:val="bottom"/>
            <w:vMerge w:val="continue"/>
            <w:shd w:val="clear" w:color="auto" w:fill="E5E5E5"/>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tcBorders>
              <w:left w:val="single" w:sz="8" w:color="E5E5E5"/>
            </w:tcBorders>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5"/>
                <w:szCs w:val="15"/>
                <w:color w:val="auto"/>
              </w:rPr>
            </w:pPr>
          </w:p>
        </w:tc>
        <w:tc>
          <w:tcPr>
            <w:tcW w:w="960" w:type="dxa"/>
            <w:vAlign w:val="bottom"/>
            <w:gridSpan w:val="2"/>
            <w:shd w:val="clear" w:color="auto" w:fill="E5E5E5"/>
          </w:tcPr>
          <w:p>
            <w:pPr>
              <w:jc w:val="cente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line="183" w:lineRule="exact"/>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E5E5E5"/>
          </w:tcPr>
          <w:p>
            <w:pPr>
              <w:jc w:val="right"/>
              <w:ind w:right="19"/>
              <w:spacing w:after="0" w:line="183" w:lineRule="exact"/>
              <w:rPr>
                <w:sz w:val="20"/>
                <w:szCs w:val="20"/>
                <w:color w:val="auto"/>
              </w:rPr>
            </w:pPr>
            <w:r>
              <w:rPr>
                <w:rFonts w:ascii="Arial" w:cs="Arial" w:eastAsia="Arial" w:hAnsi="Arial"/>
                <w:sz w:val="17"/>
                <w:szCs w:val="17"/>
                <w:color w:val="auto"/>
              </w:rPr>
              <w:t>1,562</w:t>
            </w:r>
          </w:p>
        </w:tc>
        <w:tc>
          <w:tcPr>
            <w:tcW w:w="88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689,475</w:t>
            </w:r>
          </w:p>
        </w:tc>
        <w:tc>
          <w:tcPr>
            <w:tcW w:w="72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line="183"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04/06/22 </w:t>
            </w:r>
          </w:p>
        </w:tc>
        <w:tc>
          <w:tcPr>
            <w:tcW w:w="160" w:type="dxa"/>
            <w:vAlign w:val="bottom"/>
          </w:tcPr>
          <w:p>
            <w:pPr>
              <w:spacing w:after="0"/>
              <w:rPr>
                <w:sz w:val="20"/>
                <w:szCs w:val="20"/>
                <w:color w:val="auto"/>
              </w:rPr>
            </w:pPr>
            <w:r>
              <w:rPr>
                <w:rFonts w:ascii="Arial" w:cs="Arial" w:eastAsia="Arial" w:hAnsi="Arial"/>
                <w:sz w:val="9"/>
                <w:szCs w:val="9"/>
                <w:color w:val="auto"/>
                <w:w w:val="74"/>
              </w:rPr>
              <w:t>(16)</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7"/>
                <w:szCs w:val="17"/>
                <w:color w:val="auto"/>
              </w:rPr>
              <w:t>1,562</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689,475</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(7)</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- 28,076</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12,392,887</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(8)</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- 36,364</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16,051,251</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(8)</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- 18,182</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8,025,626</w:t>
            </w:r>
          </w:p>
        </w:tc>
        <w:tc>
          <w:tcPr>
            <w:tcW w:w="7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04/17/24 </w:t>
            </w:r>
          </w:p>
        </w:tc>
        <w:tc>
          <w:tcPr>
            <w:tcW w:w="160" w:type="dxa"/>
            <w:vAlign w:val="bottom"/>
          </w:tcPr>
          <w:p>
            <w:pPr>
              <w:spacing w:after="0"/>
              <w:rPr>
                <w:sz w:val="20"/>
                <w:szCs w:val="20"/>
                <w:color w:val="auto"/>
              </w:rPr>
            </w:pPr>
            <w:r>
              <w:rPr>
                <w:rFonts w:ascii="Arial" w:cs="Arial" w:eastAsia="Arial" w:hAnsi="Arial"/>
                <w:sz w:val="11"/>
                <w:szCs w:val="11"/>
                <w:color w:val="auto"/>
                <w:w w:val="88"/>
              </w:rPr>
              <w:t>(9)</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- 16,459</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7,265,085</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04/17/24 </w:t>
            </w:r>
          </w:p>
        </w:tc>
        <w:tc>
          <w:tcPr>
            <w:tcW w:w="160" w:type="dxa"/>
            <w:vAlign w:val="bottom"/>
          </w:tcPr>
          <w:p>
            <w:pPr>
              <w:spacing w:after="0"/>
              <w:rPr>
                <w:sz w:val="20"/>
                <w:szCs w:val="20"/>
                <w:color w:val="auto"/>
              </w:rPr>
            </w:pPr>
            <w:r>
              <w:rPr>
                <w:rFonts w:ascii="Arial" w:cs="Arial" w:eastAsia="Arial" w:hAnsi="Arial"/>
                <w:sz w:val="9"/>
                <w:szCs w:val="9"/>
                <w:color w:val="auto"/>
                <w:w w:val="74"/>
              </w:rPr>
              <w:t>(10)</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- 21,787</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9,616,891</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04/16/25 </w:t>
            </w:r>
          </w:p>
        </w:tc>
        <w:tc>
          <w:tcPr>
            <w:tcW w:w="160" w:type="dxa"/>
            <w:vAlign w:val="bottom"/>
          </w:tcPr>
          <w:p>
            <w:pPr>
              <w:spacing w:after="0"/>
              <w:rPr>
                <w:sz w:val="20"/>
                <w:szCs w:val="20"/>
                <w:color w:val="auto"/>
              </w:rPr>
            </w:pPr>
            <w:r>
              <w:rPr>
                <w:rFonts w:ascii="Arial" w:cs="Arial" w:eastAsia="Arial" w:hAnsi="Arial"/>
                <w:sz w:val="9"/>
                <w:szCs w:val="9"/>
                <w:color w:val="auto"/>
                <w:w w:val="74"/>
              </w:rPr>
              <w:t>(11)</w:t>
            </w: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83,656</w:t>
            </w:r>
          </w:p>
        </w:tc>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36,926,177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7"/>
                <w:szCs w:val="17"/>
                <w:color w:val="auto"/>
                <w:w w:val="97"/>
              </w:rPr>
              <w:t>04/16/25 </w:t>
            </w:r>
          </w:p>
        </w:tc>
        <w:tc>
          <w:tcPr>
            <w:tcW w:w="160" w:type="dxa"/>
            <w:vAlign w:val="bottom"/>
          </w:tcPr>
          <w:p>
            <w:pPr>
              <w:spacing w:after="0"/>
              <w:rPr>
                <w:sz w:val="20"/>
                <w:szCs w:val="20"/>
                <w:color w:val="auto"/>
              </w:rPr>
            </w:pPr>
            <w:r>
              <w:rPr>
                <w:rFonts w:ascii="Arial" w:cs="Arial" w:eastAsia="Arial" w:hAnsi="Arial"/>
                <w:sz w:val="9"/>
                <w:szCs w:val="9"/>
                <w:color w:val="auto"/>
                <w:w w:val="74"/>
              </w:rPr>
              <w:t>(12)</w:t>
            </w:r>
          </w:p>
        </w:tc>
        <w:tc>
          <w:tcPr>
            <w:tcW w:w="700" w:type="dxa"/>
            <w:vAlign w:val="bottom"/>
            <w:tcBorders>
              <w:left w:val="single" w:sz="8" w:color="E5E5E5"/>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E5E5E5"/>
            </w:tcBorders>
            <w:shd w:val="clear" w:color="auto" w:fill="E5E5E5"/>
          </w:tcPr>
          <w:p>
            <w:pPr>
              <w:jc w:val="center"/>
              <w:ind w:left="37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E5E5E5"/>
            </w:tcBorders>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- 33,986</w:t>
            </w:r>
          </w:p>
        </w:tc>
        <w:tc>
          <w:tcPr>
            <w:tcW w:w="8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15,001,590</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E5E5E5"/>
            </w:tcBorders>
            <w:shd w:val="clear" w:color="auto" w:fill="E5E5E5"/>
          </w:tcPr>
          <w:p>
            <w:pPr>
              <w:spacing w:after="0"/>
              <w:rPr>
                <w:sz w:val="20"/>
                <w:szCs w:val="20"/>
                <w:color w:val="auto"/>
              </w:rPr>
            </w:pP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line="162" w:lineRule="exact"/>
              <w:rPr>
                <w:sz w:val="20"/>
                <w:szCs w:val="20"/>
                <w:color w:val="auto"/>
              </w:rPr>
            </w:pPr>
            <w:r>
              <w:rPr>
                <w:rFonts w:ascii="Arial" w:cs="Arial" w:eastAsia="Arial" w:hAnsi="Arial"/>
                <w:sz w:val="17"/>
                <w:szCs w:val="17"/>
                <w:b w:val="1"/>
                <w:bCs w:val="1"/>
                <w:color w:val="auto"/>
              </w:rPr>
              <w:t>Burt Podbere</w:t>
            </w:r>
          </w:p>
        </w:tc>
        <w:tc>
          <w:tcPr>
            <w:tcW w:w="720" w:type="dxa"/>
            <w:vAlign w:val="bottom"/>
          </w:tcPr>
          <w:p>
            <w:pPr>
              <w:ind w:left="20"/>
              <w:spacing w:after="0" w:line="162" w:lineRule="exact"/>
              <w:rPr>
                <w:sz w:val="20"/>
                <w:szCs w:val="20"/>
                <w:color w:val="auto"/>
              </w:rPr>
            </w:pPr>
            <w:r>
              <w:rPr>
                <w:rFonts w:ascii="Arial" w:cs="Arial" w:eastAsia="Arial" w:hAnsi="Arial"/>
                <w:sz w:val="17"/>
                <w:szCs w:val="17"/>
                <w:color w:val="auto"/>
                <w:w w:val="97"/>
              </w:rPr>
              <w:t>01/12/22 </w:t>
            </w:r>
          </w:p>
        </w:tc>
        <w:tc>
          <w:tcPr>
            <w:tcW w:w="160" w:type="dxa"/>
            <w:vAlign w:val="bottom"/>
          </w:tcPr>
          <w:p>
            <w:pPr>
              <w:spacing w:after="0" w:line="115" w:lineRule="exact"/>
              <w:rPr>
                <w:sz w:val="20"/>
                <w:szCs w:val="20"/>
                <w:color w:val="auto"/>
              </w:rPr>
            </w:pPr>
            <w:r>
              <w:rPr>
                <w:rFonts w:ascii="Arial" w:cs="Arial" w:eastAsia="Arial" w:hAnsi="Arial"/>
                <w:sz w:val="11"/>
                <w:szCs w:val="11"/>
                <w:color w:val="auto"/>
                <w:w w:val="88"/>
              </w:rPr>
              <w:t>(4)</w:t>
            </w:r>
          </w:p>
        </w:tc>
        <w:tc>
          <w:tcPr>
            <w:tcW w:w="70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20" w:type="dxa"/>
            <w:vAlign w:val="bottom"/>
          </w:tcPr>
          <w:p>
            <w:pPr>
              <w:jc w:val="center"/>
              <w:ind w:left="375"/>
              <w:spacing w:after="0" w:line="162"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line="162" w:lineRule="exact"/>
              <w:rPr>
                <w:sz w:val="20"/>
                <w:szCs w:val="20"/>
                <w:color w:val="auto"/>
              </w:rPr>
            </w:pPr>
            <w:r>
              <w:rPr>
                <w:rFonts w:ascii="Arial" w:cs="Arial" w:eastAsia="Arial" w:hAnsi="Arial"/>
                <w:sz w:val="17"/>
                <w:szCs w:val="17"/>
                <w:color w:val="auto"/>
              </w:rPr>
              <w:t>3,594</w:t>
            </w:r>
          </w:p>
        </w:tc>
        <w:tc>
          <w:tcPr>
            <w:tcW w:w="880" w:type="dxa"/>
            <w:vAlign w:val="bottom"/>
          </w:tcPr>
          <w:p>
            <w:pPr>
              <w:jc w:val="right"/>
              <w:spacing w:after="0" w:line="162" w:lineRule="exact"/>
              <w:rPr>
                <w:sz w:val="20"/>
                <w:szCs w:val="20"/>
                <w:color w:val="auto"/>
              </w:rPr>
            </w:pPr>
            <w:r>
              <w:rPr>
                <w:rFonts w:ascii="Arial" w:cs="Arial" w:eastAsia="Arial" w:hAnsi="Arial"/>
                <w:sz w:val="17"/>
                <w:szCs w:val="17"/>
                <w:color w:val="auto"/>
              </w:rPr>
              <w:t>1,586,410</w:t>
            </w:r>
          </w:p>
        </w:tc>
        <w:tc>
          <w:tcPr>
            <w:tcW w:w="720" w:type="dxa"/>
            <w:vAlign w:val="bottom"/>
          </w:tcPr>
          <w:p>
            <w:pPr>
              <w:jc w:val="right"/>
              <w:spacing w:after="0" w:line="162" w:lineRule="exact"/>
              <w:rPr>
                <w:sz w:val="20"/>
                <w:szCs w:val="20"/>
                <w:color w:val="auto"/>
              </w:rPr>
            </w:pPr>
            <w:r>
              <w:rPr>
                <w:rFonts w:ascii="Arial" w:cs="Arial" w:eastAsia="Arial" w:hAnsi="Arial"/>
                <w:sz w:val="17"/>
                <w:szCs w:val="17"/>
                <w:color w:val="auto"/>
              </w:rPr>
              <w:t>28,750</w:t>
            </w:r>
          </w:p>
        </w:tc>
        <w:tc>
          <w:tcPr>
            <w:tcW w:w="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7"/>
                <w:szCs w:val="17"/>
                <w:color w:val="auto"/>
              </w:rPr>
              <w:t>12,690,394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880" w:type="dxa"/>
            <w:vAlign w:val="bottom"/>
            <w:gridSpan w:val="2"/>
          </w:tcPr>
          <w:p>
            <w:pPr>
              <w:ind w:left="20"/>
              <w:spacing w:after="0" w:line="230"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3,686</w:t>
            </w:r>
          </w:p>
        </w:tc>
        <w:tc>
          <w:tcPr>
            <w:tcW w:w="880" w:type="dxa"/>
            <w:vAlign w:val="bottom"/>
          </w:tcPr>
          <w:p>
            <w:pPr>
              <w:jc w:val="right"/>
              <w:spacing w:after="0"/>
              <w:rPr>
                <w:sz w:val="20"/>
                <w:szCs w:val="20"/>
                <w:color w:val="auto"/>
              </w:rPr>
            </w:pPr>
            <w:r>
              <w:rPr>
                <w:rFonts w:ascii="Arial" w:cs="Arial" w:eastAsia="Arial" w:hAnsi="Arial"/>
                <w:sz w:val="17"/>
                <w:szCs w:val="17"/>
                <w:color w:val="auto"/>
              </w:rPr>
              <w:t>1,627,019</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(6)</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2,343</w:t>
            </w:r>
          </w:p>
        </w:tc>
        <w:tc>
          <w:tcPr>
            <w:tcW w:w="880" w:type="dxa"/>
            <w:vAlign w:val="bottom"/>
          </w:tcPr>
          <w:p>
            <w:pPr>
              <w:jc w:val="right"/>
              <w:spacing w:after="0"/>
              <w:rPr>
                <w:sz w:val="20"/>
                <w:szCs w:val="20"/>
                <w:color w:val="auto"/>
              </w:rPr>
            </w:pPr>
            <w:r>
              <w:rPr>
                <w:rFonts w:ascii="Arial" w:cs="Arial" w:eastAsia="Arial" w:hAnsi="Arial"/>
                <w:sz w:val="17"/>
                <w:szCs w:val="17"/>
                <w:color w:val="auto"/>
              </w:rPr>
              <w:t>1,034,212</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- 28,076</w:t>
            </w:r>
          </w:p>
        </w:tc>
        <w:tc>
          <w:tcPr>
            <w:tcW w:w="880" w:type="dxa"/>
            <w:vAlign w:val="bottom"/>
          </w:tcPr>
          <w:p>
            <w:pPr>
              <w:jc w:val="right"/>
              <w:spacing w:after="0"/>
              <w:rPr>
                <w:sz w:val="20"/>
                <w:szCs w:val="20"/>
                <w:color w:val="auto"/>
              </w:rPr>
            </w:pPr>
            <w:r>
              <w:rPr>
                <w:rFonts w:ascii="Arial" w:cs="Arial" w:eastAsia="Arial" w:hAnsi="Arial"/>
                <w:sz w:val="17"/>
                <w:szCs w:val="17"/>
                <w:color w:val="auto"/>
              </w:rPr>
              <w:t>12,392,887</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04/19/23 </w:t>
            </w:r>
            <w:r>
              <w:rPr>
                <w:rFonts w:ascii="Arial" w:cs="Arial" w:eastAsia="Arial" w:hAnsi="Arial"/>
                <w:sz w:val="22"/>
                <w:szCs w:val="22"/>
                <w:color w:val="auto"/>
                <w:w w:val="93"/>
                <w:vertAlign w:val="superscript"/>
              </w:rPr>
              <w:t>(8)</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- 18,182</w:t>
            </w:r>
          </w:p>
        </w:tc>
        <w:tc>
          <w:tcPr>
            <w:tcW w:w="880" w:type="dxa"/>
            <w:vAlign w:val="bottom"/>
          </w:tcPr>
          <w:p>
            <w:pPr>
              <w:jc w:val="right"/>
              <w:spacing w:after="0"/>
              <w:rPr>
                <w:sz w:val="20"/>
                <w:szCs w:val="20"/>
                <w:color w:val="auto"/>
              </w:rPr>
            </w:pPr>
            <w:r>
              <w:rPr>
                <w:rFonts w:ascii="Arial" w:cs="Arial" w:eastAsia="Arial" w:hAnsi="Arial"/>
                <w:sz w:val="17"/>
                <w:szCs w:val="17"/>
                <w:color w:val="auto"/>
              </w:rPr>
              <w:t>8,025,626</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93"/>
              </w:rPr>
              <w:t>04/17/24 </w:t>
            </w:r>
            <w:r>
              <w:rPr>
                <w:rFonts w:ascii="Arial" w:cs="Arial" w:eastAsia="Arial" w:hAnsi="Arial"/>
                <w:sz w:val="22"/>
                <w:szCs w:val="22"/>
                <w:color w:val="auto"/>
                <w:w w:val="93"/>
                <w:vertAlign w:val="superscript"/>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9,876</w:t>
            </w:r>
          </w:p>
        </w:tc>
        <w:tc>
          <w:tcPr>
            <w:tcW w:w="880" w:type="dxa"/>
            <w:vAlign w:val="bottom"/>
          </w:tcPr>
          <w:p>
            <w:pPr>
              <w:jc w:val="right"/>
              <w:spacing w:after="0"/>
              <w:rPr>
                <w:sz w:val="20"/>
                <w:szCs w:val="20"/>
                <w:color w:val="auto"/>
              </w:rPr>
            </w:pPr>
            <w:r>
              <w:rPr>
                <w:rFonts w:ascii="Arial" w:cs="Arial" w:eastAsia="Arial" w:hAnsi="Arial"/>
                <w:sz w:val="17"/>
                <w:szCs w:val="17"/>
                <w:color w:val="auto"/>
              </w:rPr>
              <w:t>4,359,316</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04/17/24 </w:t>
            </w:r>
            <w:r>
              <w:rPr>
                <w:rFonts w:ascii="Arial" w:cs="Arial" w:eastAsia="Arial" w:hAnsi="Arial"/>
                <w:sz w:val="22"/>
                <w:szCs w:val="22"/>
                <w:color w:val="auto"/>
                <w:w w:val="85"/>
                <w:vertAlign w:val="superscript"/>
              </w:rPr>
              <w:t>(10)</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13,072</w:t>
            </w:r>
          </w:p>
        </w:tc>
        <w:tc>
          <w:tcPr>
            <w:tcW w:w="880" w:type="dxa"/>
            <w:vAlign w:val="bottom"/>
          </w:tcPr>
          <w:p>
            <w:pPr>
              <w:jc w:val="right"/>
              <w:spacing w:after="0"/>
              <w:rPr>
                <w:sz w:val="20"/>
                <w:szCs w:val="20"/>
                <w:color w:val="auto"/>
              </w:rPr>
            </w:pPr>
            <w:r>
              <w:rPr>
                <w:rFonts w:ascii="Arial" w:cs="Arial" w:eastAsia="Arial" w:hAnsi="Arial"/>
                <w:sz w:val="17"/>
                <w:szCs w:val="17"/>
                <w:color w:val="auto"/>
              </w:rPr>
              <w:t>5,770,046</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880" w:type="dxa"/>
            <w:vAlign w:val="bottom"/>
            <w:gridSpan w:val="2"/>
          </w:tcPr>
          <w:p>
            <w:pPr>
              <w:ind w:left="20"/>
              <w:spacing w:after="0" w:line="222" w:lineRule="exact"/>
              <w:rPr>
                <w:sz w:val="20"/>
                <w:szCs w:val="20"/>
                <w:color w:val="auto"/>
              </w:rPr>
            </w:pPr>
            <w:r>
              <w:rPr>
                <w:rFonts w:ascii="Arial" w:cs="Arial" w:eastAsia="Arial" w:hAnsi="Arial"/>
                <w:sz w:val="17"/>
                <w:szCs w:val="17"/>
                <w:color w:val="auto"/>
                <w:w w:val="85"/>
              </w:rPr>
              <w:t>04/16/25 </w:t>
            </w:r>
            <w:r>
              <w:rPr>
                <w:rFonts w:ascii="Arial" w:cs="Arial" w:eastAsia="Arial" w:hAnsi="Arial"/>
                <w:sz w:val="22"/>
                <w:szCs w:val="22"/>
                <w:color w:val="auto"/>
                <w:w w:val="85"/>
                <w:vertAlign w:val="superscript"/>
              </w:rPr>
              <w:t>(11)</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41,828</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18,463,088</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880" w:type="dxa"/>
            <w:vAlign w:val="bottom"/>
            <w:gridSpan w:val="2"/>
          </w:tcPr>
          <w:p>
            <w:pPr>
              <w:ind w:left="20"/>
              <w:spacing w:after="0" w:line="227" w:lineRule="exact"/>
              <w:rPr>
                <w:sz w:val="20"/>
                <w:szCs w:val="20"/>
                <w:color w:val="auto"/>
              </w:rPr>
            </w:pPr>
            <w:r>
              <w:rPr>
                <w:rFonts w:ascii="Arial" w:cs="Arial" w:eastAsia="Arial" w:hAnsi="Arial"/>
                <w:sz w:val="17"/>
                <w:szCs w:val="17"/>
                <w:color w:val="auto"/>
                <w:w w:val="85"/>
              </w:rPr>
              <w:t>04/16/25 </w:t>
            </w:r>
            <w:r>
              <w:rPr>
                <w:rFonts w:ascii="Arial" w:cs="Arial" w:eastAsia="Arial" w:hAnsi="Arial"/>
                <w:sz w:val="22"/>
                <w:szCs w:val="22"/>
                <w:color w:val="auto"/>
                <w:w w:val="85"/>
                <w:vertAlign w:val="superscript"/>
              </w:rPr>
              <w:t>(12)</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- 16,993</w:t>
            </w:r>
          </w:p>
        </w:tc>
        <w:tc>
          <w:tcPr>
            <w:tcW w:w="880" w:type="dxa"/>
            <w:vAlign w:val="bottom"/>
          </w:tcPr>
          <w:p>
            <w:pPr>
              <w:jc w:val="right"/>
              <w:spacing w:after="0"/>
              <w:rPr>
                <w:sz w:val="20"/>
                <w:szCs w:val="20"/>
                <w:color w:val="auto"/>
              </w:rPr>
            </w:pPr>
            <w:r>
              <w:rPr>
                <w:rFonts w:ascii="Arial" w:cs="Arial" w:eastAsia="Arial" w:hAnsi="Arial"/>
                <w:sz w:val="17"/>
                <w:szCs w:val="17"/>
                <w:color w:val="auto"/>
              </w:rPr>
              <w:t>7,500,795</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
        </w:trPr>
        <w:tc>
          <w:tcPr>
            <w:tcW w:w="1620" w:type="dxa"/>
            <w:vAlign w:val="bottom"/>
          </w:tcPr>
          <w:p>
            <w:pPr>
              <w:spacing w:after="0"/>
              <w:rPr>
                <w:sz w:val="2"/>
                <w:szCs w:val="2"/>
                <w:color w:val="auto"/>
              </w:rPr>
            </w:pPr>
          </w:p>
        </w:tc>
        <w:tc>
          <w:tcPr>
            <w:tcW w:w="880" w:type="dxa"/>
            <w:vAlign w:val="bottom"/>
            <w:gridSpan w:val="2"/>
            <w:vMerge w:val="restart"/>
          </w:tcPr>
          <w:p>
            <w:pPr>
              <w:ind w:left="20"/>
              <w:spacing w:after="0" w:line="195" w:lineRule="exact"/>
              <w:rPr>
                <w:sz w:val="20"/>
                <w:szCs w:val="20"/>
                <w:color w:val="auto"/>
              </w:rPr>
            </w:pPr>
            <w:r>
              <w:rPr>
                <w:rFonts w:ascii="Arial" w:cs="Arial" w:eastAsia="Arial" w:hAnsi="Arial"/>
                <w:sz w:val="17"/>
                <w:szCs w:val="17"/>
                <w:color w:val="auto"/>
                <w:w w:val="93"/>
              </w:rPr>
              <w:t>04/06/22 </w:t>
            </w:r>
            <w:r>
              <w:rPr>
                <w:rFonts w:ascii="Arial" w:cs="Arial" w:eastAsia="Arial" w:hAnsi="Arial"/>
                <w:sz w:val="22"/>
                <w:szCs w:val="22"/>
                <w:color w:val="auto"/>
                <w:w w:val="93"/>
                <w:vertAlign w:val="superscript"/>
              </w:rPr>
              <w:t>(5)</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
                <w:szCs w:val="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2,458</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1,084,973</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20" w:type="dxa"/>
            <w:vAlign w:val="bottom"/>
            <w:shd w:val="clear" w:color="auto" w:fill="E5E5E5"/>
          </w:tcPr>
          <w:p>
            <w:pPr>
              <w:spacing w:after="0" w:line="162" w:lineRule="exact"/>
              <w:rPr>
                <w:sz w:val="20"/>
                <w:szCs w:val="20"/>
                <w:color w:val="auto"/>
              </w:rPr>
            </w:pPr>
            <w:r>
              <w:rPr>
                <w:rFonts w:ascii="Arial" w:cs="Arial" w:eastAsia="Arial" w:hAnsi="Arial"/>
                <w:sz w:val="17"/>
                <w:szCs w:val="17"/>
                <w:b w:val="1"/>
                <w:bCs w:val="1"/>
                <w:color w:val="auto"/>
              </w:rPr>
              <w:t>Shawn Henry</w:t>
            </w:r>
          </w:p>
        </w:tc>
        <w:tc>
          <w:tcPr>
            <w:tcW w:w="8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20" w:type="dxa"/>
            <w:vAlign w:val="bottom"/>
            <w:shd w:val="clear" w:color="auto" w:fill="E5E5E5"/>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vMerge w:val="restart"/>
          </w:tcPr>
          <w:p>
            <w:pPr>
              <w:spacing w:after="0"/>
              <w:rPr>
                <w:sz w:val="20"/>
                <w:szCs w:val="20"/>
                <w:color w:val="auto"/>
              </w:rPr>
            </w:pPr>
            <w:r>
              <w:rPr>
                <w:rFonts w:ascii="Arial" w:cs="Arial" w:eastAsia="Arial" w:hAnsi="Arial"/>
                <w:sz w:val="11"/>
                <w:szCs w:val="11"/>
                <w:color w:val="auto"/>
                <w:w w:val="88"/>
              </w:rPr>
              <w:t>(6)</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4"/>
                <w:szCs w:val="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9"/>
              <w:spacing w:after="0"/>
              <w:rPr>
                <w:sz w:val="20"/>
                <w:szCs w:val="20"/>
                <w:color w:val="auto"/>
              </w:rPr>
            </w:pPr>
            <w:r>
              <w:rPr>
                <w:rFonts w:ascii="Arial" w:cs="Arial" w:eastAsia="Arial" w:hAnsi="Arial"/>
                <w:sz w:val="17"/>
                <w:szCs w:val="17"/>
                <w:color w:val="auto"/>
              </w:rPr>
              <w:t>1,562</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689,475</w:t>
            </w: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E5E5E5"/>
          </w:tcPr>
          <w:p>
            <w:pPr>
              <w:spacing w:after="0"/>
              <w:rPr>
                <w:sz w:val="15"/>
                <w:szCs w:val="15"/>
                <w:color w:val="auto"/>
              </w:rPr>
            </w:pPr>
          </w:p>
        </w:tc>
        <w:tc>
          <w:tcPr>
            <w:tcW w:w="720" w:type="dxa"/>
            <w:vAlign w:val="bottom"/>
            <w:shd w:val="clear" w:color="auto" w:fill="E5E5E5"/>
          </w:tcPr>
          <w:p>
            <w:pPr>
              <w:ind w:left="20"/>
              <w:spacing w:after="0" w:line="183" w:lineRule="exact"/>
              <w:rPr>
                <w:sz w:val="20"/>
                <w:szCs w:val="20"/>
                <w:color w:val="auto"/>
              </w:rPr>
            </w:pPr>
            <w:r>
              <w:rPr>
                <w:rFonts w:ascii="Arial" w:cs="Arial" w:eastAsia="Arial" w:hAnsi="Arial"/>
                <w:sz w:val="17"/>
                <w:szCs w:val="17"/>
                <w:color w:val="auto"/>
                <w:w w:val="97"/>
              </w:rPr>
              <w:t>04/06/22 </w:t>
            </w:r>
          </w:p>
        </w:tc>
        <w:tc>
          <w:tcPr>
            <w:tcW w:w="1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620" w:type="dxa"/>
            <w:vAlign w:val="bottom"/>
            <w:shd w:val="clear" w:color="auto" w:fill="E5E5E5"/>
          </w:tcPr>
          <w:p>
            <w:pPr>
              <w:spacing w:after="0"/>
              <w:rPr>
                <w:sz w:val="20"/>
                <w:szCs w:val="20"/>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tcPr>
          <w:p>
            <w:pPr>
              <w:spacing w:after="0"/>
              <w:rPr>
                <w:sz w:val="20"/>
                <w:szCs w:val="20"/>
                <w:color w:val="auto"/>
              </w:rPr>
            </w:pPr>
            <w:r>
              <w:rPr>
                <w:rFonts w:ascii="Arial" w:cs="Arial" w:eastAsia="Arial" w:hAnsi="Arial"/>
                <w:sz w:val="11"/>
                <w:szCs w:val="11"/>
                <w:color w:val="auto"/>
                <w:w w:val="88"/>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9"/>
              <w:spacing w:after="0"/>
              <w:rPr>
                <w:sz w:val="20"/>
                <w:szCs w:val="20"/>
                <w:color w:val="auto"/>
              </w:rPr>
            </w:pPr>
            <w:r>
              <w:rPr>
                <w:rFonts w:ascii="Arial" w:cs="Arial" w:eastAsia="Arial" w:hAnsi="Arial"/>
                <w:sz w:val="17"/>
                <w:szCs w:val="17"/>
                <w:color w:val="auto"/>
              </w:rPr>
              <w:t>- 18,719</w:t>
            </w:r>
          </w:p>
        </w:tc>
        <w:tc>
          <w:tcPr>
            <w:tcW w:w="880" w:type="dxa"/>
            <w:vAlign w:val="bottom"/>
          </w:tcPr>
          <w:p>
            <w:pPr>
              <w:jc w:val="right"/>
              <w:spacing w:after="0"/>
              <w:rPr>
                <w:sz w:val="20"/>
                <w:szCs w:val="20"/>
                <w:color w:val="auto"/>
              </w:rPr>
            </w:pPr>
            <w:r>
              <w:rPr>
                <w:rFonts w:ascii="Arial" w:cs="Arial" w:eastAsia="Arial" w:hAnsi="Arial"/>
                <w:sz w:val="17"/>
                <w:szCs w:val="17"/>
                <w:color w:val="auto"/>
              </w:rPr>
              <w:t>8,262,660</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620" w:type="dxa"/>
            <w:vAlign w:val="bottom"/>
            <w:shd w:val="clear" w:color="auto" w:fill="E5E5E5"/>
          </w:tcPr>
          <w:p>
            <w:pPr>
              <w:spacing w:after="0" w:line="20" w:lineRule="exact"/>
              <w:rPr>
                <w:sz w:val="1"/>
                <w:szCs w:val="1"/>
                <w:color w:val="auto"/>
              </w:rPr>
            </w:pPr>
          </w:p>
        </w:tc>
        <w:tc>
          <w:tcPr>
            <w:tcW w:w="720" w:type="dxa"/>
            <w:vAlign w:val="bottom"/>
            <w:vMerge w:val="restart"/>
            <w:shd w:val="clear" w:color="auto" w:fill="E5E5E5"/>
          </w:tcPr>
          <w:p>
            <w:pPr>
              <w:ind w:left="20"/>
              <w:spacing w:after="0"/>
              <w:rPr>
                <w:sz w:val="20"/>
                <w:szCs w:val="20"/>
                <w:color w:val="auto"/>
              </w:rPr>
            </w:pPr>
            <w:r>
              <w:rPr>
                <w:rFonts w:ascii="Arial" w:cs="Arial" w:eastAsia="Arial" w:hAnsi="Arial"/>
                <w:sz w:val="17"/>
                <w:szCs w:val="17"/>
                <w:color w:val="auto"/>
                <w:w w:val="97"/>
              </w:rPr>
              <w:t>04/19/23 </w:t>
            </w:r>
          </w:p>
        </w:tc>
        <w:tc>
          <w:tcPr>
            <w:tcW w:w="160" w:type="dxa"/>
            <w:vAlign w:val="bottom"/>
            <w:vMerge w:val="restart"/>
          </w:tcPr>
          <w:p>
            <w:pPr>
              <w:spacing w:after="0"/>
              <w:rPr>
                <w:sz w:val="20"/>
                <w:szCs w:val="20"/>
                <w:color w:val="auto"/>
              </w:rPr>
            </w:pPr>
            <w:r>
              <w:rPr>
                <w:rFonts w:ascii="Arial" w:cs="Arial" w:eastAsia="Arial" w:hAnsi="Arial"/>
                <w:sz w:val="11"/>
                <w:szCs w:val="11"/>
                <w:color w:val="auto"/>
                <w:w w:val="88"/>
              </w:rPr>
              <w:t>(8)</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620" w:type="dxa"/>
            <w:vAlign w:val="bottom"/>
            <w:shd w:val="clear" w:color="auto" w:fill="E5E5E5"/>
          </w:tcPr>
          <w:p>
            <w:pPr>
              <w:spacing w:after="0"/>
              <w:rPr>
                <w:sz w:val="23"/>
                <w:szCs w:val="23"/>
                <w:color w:val="auto"/>
              </w:rPr>
            </w:pPr>
          </w:p>
        </w:tc>
        <w:tc>
          <w:tcPr>
            <w:tcW w:w="720" w:type="dxa"/>
            <w:vAlign w:val="bottom"/>
            <w:vMerge w:val="continue"/>
            <w:shd w:val="clear" w:color="auto" w:fill="E5E5E5"/>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tcBorders>
              <w:left w:val="single" w:sz="8" w:color="E5E5E5"/>
            </w:tcBorders>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3"/>
                <w:szCs w:val="23"/>
                <w:color w:val="auto"/>
              </w:rPr>
            </w:pP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E5E5"/>
          </w:tcPr>
          <w:p>
            <w:pPr>
              <w:jc w:val="right"/>
              <w:ind w:right="19"/>
              <w:spacing w:after="0"/>
              <w:rPr>
                <w:sz w:val="20"/>
                <w:szCs w:val="20"/>
                <w:color w:val="auto"/>
              </w:rPr>
            </w:pPr>
            <w:r>
              <w:rPr>
                <w:rFonts w:ascii="Arial" w:cs="Arial" w:eastAsia="Arial" w:hAnsi="Arial"/>
                <w:sz w:val="17"/>
                <w:szCs w:val="17"/>
                <w:color w:val="auto"/>
              </w:rPr>
              <w:t>- 12,122</w:t>
            </w:r>
          </w:p>
        </w:tc>
        <w:tc>
          <w:tcPr>
            <w:tcW w:w="880" w:type="dxa"/>
            <w:vAlign w:val="bottom"/>
            <w:shd w:val="clear" w:color="auto" w:fill="E5E5E5"/>
          </w:tcPr>
          <w:p>
            <w:pPr>
              <w:jc w:val="right"/>
              <w:spacing w:after="0"/>
              <w:rPr>
                <w:sz w:val="20"/>
                <w:szCs w:val="20"/>
                <w:color w:val="auto"/>
              </w:rPr>
            </w:pPr>
            <w:r>
              <w:rPr>
                <w:rFonts w:ascii="Arial" w:cs="Arial" w:eastAsia="Arial" w:hAnsi="Arial"/>
                <w:sz w:val="17"/>
                <w:szCs w:val="17"/>
                <w:color w:val="auto"/>
              </w:rPr>
              <w:t>5,350,711</w:t>
            </w:r>
          </w:p>
        </w:tc>
        <w:tc>
          <w:tcPr>
            <w:tcW w:w="7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E5E5E5"/>
          </w:tcPr>
          <w:p>
            <w:pPr>
              <w:spacing w:after="0"/>
              <w:rPr>
                <w:sz w:val="23"/>
                <w:szCs w:val="23"/>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1620" w:type="dxa"/>
            <w:vAlign w:val="bottom"/>
            <w:shd w:val="clear" w:color="auto" w:fill="E5E5E5"/>
          </w:tcPr>
          <w:p>
            <w:pPr>
              <w:spacing w:after="0"/>
              <w:rPr>
                <w:sz w:val="4"/>
                <w:szCs w:val="4"/>
                <w:color w:val="auto"/>
              </w:rPr>
            </w:pPr>
          </w:p>
        </w:tc>
        <w:tc>
          <w:tcPr>
            <w:tcW w:w="720" w:type="dxa"/>
            <w:vAlign w:val="bottom"/>
            <w:shd w:val="clear" w:color="auto" w:fill="E5E5E5"/>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left w:val="single" w:sz="8" w:color="E5E5E5"/>
            </w:tcBorders>
            <w:shd w:val="clear" w:color="auto" w:fill="E5E5E5"/>
          </w:tcPr>
          <w:p>
            <w:pPr>
              <w:spacing w:after="0"/>
              <w:rPr>
                <w:sz w:val="4"/>
                <w:szCs w:val="4"/>
                <w:color w:val="auto"/>
              </w:rPr>
            </w:pPr>
          </w:p>
        </w:tc>
        <w:tc>
          <w:tcPr>
            <w:tcW w:w="80" w:type="dxa"/>
            <w:vAlign w:val="bottom"/>
            <w:shd w:val="clear" w:color="auto" w:fill="E5E5E5"/>
          </w:tcPr>
          <w:p>
            <w:pPr>
              <w:spacing w:after="0"/>
              <w:rPr>
                <w:sz w:val="4"/>
                <w:szCs w:val="4"/>
                <w:color w:val="auto"/>
              </w:rPr>
            </w:pPr>
          </w:p>
        </w:tc>
        <w:tc>
          <w:tcPr>
            <w:tcW w:w="520" w:type="dxa"/>
            <w:vAlign w:val="bottom"/>
            <w:shd w:val="clear" w:color="auto" w:fill="E5E5E5"/>
          </w:tcPr>
          <w:p>
            <w:pPr>
              <w:spacing w:after="0"/>
              <w:rPr>
                <w:sz w:val="4"/>
                <w:szCs w:val="4"/>
                <w:color w:val="auto"/>
              </w:rPr>
            </w:pPr>
          </w:p>
        </w:tc>
        <w:tc>
          <w:tcPr>
            <w:tcW w:w="440" w:type="dxa"/>
            <w:vAlign w:val="bottom"/>
            <w:shd w:val="clear" w:color="auto" w:fill="E5E5E5"/>
          </w:tcPr>
          <w:p>
            <w:pPr>
              <w:spacing w:after="0"/>
              <w:rPr>
                <w:sz w:val="4"/>
                <w:szCs w:val="4"/>
                <w:color w:val="auto"/>
              </w:rPr>
            </w:pPr>
          </w:p>
        </w:tc>
        <w:tc>
          <w:tcPr>
            <w:tcW w:w="820" w:type="dxa"/>
            <w:vAlign w:val="bottom"/>
            <w:shd w:val="clear" w:color="auto" w:fill="E5E5E5"/>
          </w:tcPr>
          <w:p>
            <w:pPr>
              <w:spacing w:after="0"/>
              <w:rPr>
                <w:sz w:val="4"/>
                <w:szCs w:val="4"/>
                <w:color w:val="auto"/>
              </w:rPr>
            </w:pPr>
          </w:p>
        </w:tc>
        <w:tc>
          <w:tcPr>
            <w:tcW w:w="600" w:type="dxa"/>
            <w:vAlign w:val="bottom"/>
            <w:shd w:val="clear" w:color="auto" w:fill="E5E5E5"/>
          </w:tcPr>
          <w:p>
            <w:pPr>
              <w:spacing w:after="0"/>
              <w:rPr>
                <w:sz w:val="4"/>
                <w:szCs w:val="4"/>
                <w:color w:val="auto"/>
              </w:rPr>
            </w:pPr>
          </w:p>
        </w:tc>
        <w:tc>
          <w:tcPr>
            <w:tcW w:w="800" w:type="dxa"/>
            <w:vAlign w:val="bottom"/>
            <w:shd w:val="clear" w:color="auto" w:fill="E5E5E5"/>
          </w:tcPr>
          <w:p>
            <w:pPr>
              <w:spacing w:after="0"/>
              <w:rPr>
                <w:sz w:val="4"/>
                <w:szCs w:val="4"/>
                <w:color w:val="auto"/>
              </w:rPr>
            </w:pPr>
          </w:p>
        </w:tc>
        <w:tc>
          <w:tcPr>
            <w:tcW w:w="700" w:type="dxa"/>
            <w:vAlign w:val="bottom"/>
            <w:shd w:val="clear" w:color="auto" w:fill="E5E5E5"/>
          </w:tcPr>
          <w:p>
            <w:pPr>
              <w:spacing w:after="0"/>
              <w:rPr>
                <w:sz w:val="4"/>
                <w:szCs w:val="4"/>
                <w:color w:val="auto"/>
              </w:rPr>
            </w:pPr>
          </w:p>
        </w:tc>
        <w:tc>
          <w:tcPr>
            <w:tcW w:w="880" w:type="dxa"/>
            <w:vAlign w:val="bottom"/>
            <w:shd w:val="clear" w:color="auto" w:fill="E5E5E5"/>
          </w:tcPr>
          <w:p>
            <w:pPr>
              <w:spacing w:after="0"/>
              <w:rPr>
                <w:sz w:val="4"/>
                <w:szCs w:val="4"/>
                <w:color w:val="auto"/>
              </w:rPr>
            </w:pPr>
          </w:p>
        </w:tc>
        <w:tc>
          <w:tcPr>
            <w:tcW w:w="720" w:type="dxa"/>
            <w:vAlign w:val="bottom"/>
            <w:shd w:val="clear" w:color="auto" w:fill="E5E5E5"/>
          </w:tcPr>
          <w:p>
            <w:pPr>
              <w:spacing w:after="0"/>
              <w:rPr>
                <w:sz w:val="4"/>
                <w:szCs w:val="4"/>
                <w:color w:val="auto"/>
              </w:rPr>
            </w:pPr>
          </w:p>
        </w:tc>
        <w:tc>
          <w:tcPr>
            <w:tcW w:w="60" w:type="dxa"/>
            <w:vAlign w:val="bottom"/>
            <w:shd w:val="clear" w:color="auto" w:fill="E5E5E5"/>
          </w:tcPr>
          <w:p>
            <w:pPr>
              <w:spacing w:after="0"/>
              <w:rPr>
                <w:sz w:val="4"/>
                <w:szCs w:val="4"/>
                <w:color w:val="auto"/>
              </w:rPr>
            </w:pPr>
          </w:p>
        </w:tc>
        <w:tc>
          <w:tcPr>
            <w:tcW w:w="940" w:type="dxa"/>
            <w:vAlign w:val="bottom"/>
            <w:shd w:val="clear" w:color="auto" w:fill="E5E5E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-3559175</wp:posOffset>
            </wp:positionV>
            <wp:extent cx="5260975" cy="1684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60975" cy="168465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-613410</wp:posOffset>
            </wp:positionV>
            <wp:extent cx="5260975" cy="614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60975" cy="614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68" w:lineRule="exact"/>
        <w:rPr>
          <w:sz w:val="20"/>
          <w:szCs w:val="20"/>
          <w:color w:val="auto"/>
        </w:rPr>
      </w:pPr>
    </w:p>
    <w:p>
      <w:pPr>
        <w:ind w:left="1140" w:hanging="347"/>
        <w:spacing w:after="0"/>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2011 Plan or 2019 Plan.</w:t>
      </w:r>
    </w:p>
    <w:p>
      <w:pPr>
        <w:spacing w:after="0" w:line="200" w:lineRule="exact"/>
        <w:rPr>
          <w:sz w:val="20"/>
          <w:szCs w:val="20"/>
          <w:color w:val="auto"/>
        </w:rPr>
      </w:pPr>
    </w:p>
    <w:p>
      <w:pPr>
        <w:spacing w:after="0" w:line="233"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560"/>
          </w:cols>
          <w:pgMar w:left="760" w:top="94" w:right="5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4" w:lineRule="exact"/>
        <w:rPr>
          <w:sz w:val="20"/>
          <w:szCs w:val="20"/>
          <w:color w:val="auto"/>
        </w:rPr>
      </w:pPr>
    </w:p>
    <w:p>
      <w:pPr>
        <w:ind w:left="1140" w:right="319" w:hanging="347"/>
        <w:spacing w:after="0" w:line="267"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market values of the awards were calculated by multiplying the number of shares underlying the awards by $441.41, which was the last closing price per share of our common stock as of January 30, 2026.</w:t>
      </w:r>
    </w:p>
    <w:p>
      <w:pPr>
        <w:spacing w:after="0" w:line="34" w:lineRule="exact"/>
        <w:rPr>
          <w:rFonts w:ascii="Arial" w:cs="Arial" w:eastAsia="Arial" w:hAnsi="Arial"/>
          <w:sz w:val="16"/>
          <w:szCs w:val="16"/>
          <w:color w:val="auto"/>
        </w:rPr>
      </w:pPr>
    </w:p>
    <w:p>
      <w:pPr>
        <w:ind w:left="1140" w:right="259" w:hanging="347"/>
        <w:spacing w:after="0" w:line="261"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option is subject to an early exercise provision and is immediately exercisable. Shares subject to the option vest in 24 equal monthly installments beginning on November 1, 2022, subject to continued service through the applicable vesting date.</w:t>
      </w:r>
    </w:p>
    <w:p>
      <w:pPr>
        <w:spacing w:after="0" w:line="27" w:lineRule="exact"/>
        <w:rPr>
          <w:rFonts w:ascii="Arial" w:cs="Arial" w:eastAsia="Arial" w:hAnsi="Arial"/>
          <w:sz w:val="16"/>
          <w:szCs w:val="16"/>
          <w:color w:val="auto"/>
        </w:rPr>
      </w:pPr>
    </w:p>
    <w:p>
      <w:pPr>
        <w:ind w:left="1140" w:right="199" w:hanging="347"/>
        <w:spacing w:after="0" w:line="261"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See the discussion under “Executive Compensation Discussion and Analysis — Long-Term Equity Incentive Compensation — Multi-Year PSU Awards” included in our proxy statement filed with the SEC on May 6, 2022 for a description of the vesting terms of these PSUs.</w:t>
      </w:r>
    </w:p>
    <w:p>
      <w:pPr>
        <w:spacing w:after="0" w:line="27"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25% of the PSUs vest on March 20, 2023, and 1/16 of the PSUs vest quarterly thereafter subject to continued service through the applicable vesting date and achievement of the applicable performance goal for fiscal 2023. Following the end of fiscal 2023, the Compensation Committee determined that the performance goal applicable to the PSUs was achieved at 157% of target as of January 31, 2023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84"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2022, subject to continued service through the applicable vesting date.</w:t>
      </w:r>
    </w:p>
    <w:p>
      <w:pPr>
        <w:spacing w:after="0" w:line="8"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25% of the PSUs vest on March 20, 2024, and 1/16 of the PSUs vest quarterly thereafter subject to continued service through the applicable vesting date and achievement of the applicable performance goal for fiscal 2024. Following the end of fiscal 2024, the Compensation Committee determined that the performance goal applicable to the PSUs was achieved at 154.4% of target as of January 31, 2024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67"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2023, subject to continued service through the applicable vesting date.</w:t>
      </w:r>
    </w:p>
    <w:p>
      <w:pPr>
        <w:spacing w:after="0" w:line="21"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25% of the PSUs vest on March 20, 2025, and 1/16 of the PSUs vest quarterly thereafter subject to continued service through the applicable vesting date and achievement of the applicable performance goal for fiscal 2025. Following the end of fiscal 2025, the Compensation Committee determined that the performance goal applicable to the PSUs was achieved at 75.6% of target as of January 31, 2025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84"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2024, subject to continued service through the applicable vesting date.</w:t>
      </w:r>
    </w:p>
    <w:p>
      <w:pPr>
        <w:spacing w:after="0" w:line="8"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25% of the PSUs vest on March 20, 2026, and 1/16 of the PSUs vest quarterly thereafter subject to continued service through the applicable vesting date and achievement of the applicable performance goal for fiscal 2026. Following the end of fiscal 2026, the Compensation Committee determined that the performance goal applicable to the PSUs was achieved at 200% of target as of January 31, 2026 (which such achievement is reflected in this table).</w:t>
      </w:r>
    </w:p>
    <w:p>
      <w:pPr>
        <w:spacing w:after="0" w:line="29" w:lineRule="exact"/>
        <w:rPr>
          <w:rFonts w:ascii="Arial" w:cs="Arial" w:eastAsia="Arial" w:hAnsi="Arial"/>
          <w:sz w:val="16"/>
          <w:szCs w:val="16"/>
          <w:color w:val="auto"/>
        </w:rPr>
      </w:pPr>
    </w:p>
    <w:p>
      <w:pPr>
        <w:ind w:left="1140" w:right="459" w:hanging="347"/>
        <w:spacing w:after="0" w:line="267"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RSUs vest in 16 equal quarterly installments beginning on June 20, 2025, subject to continued service through the applicable vesting date.</w:t>
      </w:r>
    </w:p>
    <w:p>
      <w:pPr>
        <w:spacing w:after="0" w:line="21" w:lineRule="exact"/>
        <w:rPr>
          <w:rFonts w:ascii="Arial" w:cs="Arial" w:eastAsia="Arial" w:hAnsi="Arial"/>
          <w:sz w:val="16"/>
          <w:szCs w:val="16"/>
          <w:color w:val="auto"/>
        </w:rPr>
      </w:pPr>
    </w:p>
    <w:p>
      <w:pPr>
        <w:ind w:left="1140" w:right="199" w:hanging="347"/>
        <w:spacing w:after="0" w:line="284"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See the discussion under “Executive Compensation Discussion and Analysis — Long-Term Equity Incentive Compensation — TSR PSUs” included in this Proxy Statement for a description of the vesting terms of these PSUs.</w:t>
      </w:r>
    </w:p>
    <w:p>
      <w:pPr>
        <w:spacing w:after="0" w:line="8" w:lineRule="exact"/>
        <w:rPr>
          <w:rFonts w:ascii="Arial" w:cs="Arial" w:eastAsia="Arial" w:hAnsi="Arial"/>
          <w:sz w:val="16"/>
          <w:szCs w:val="16"/>
          <w:color w:val="auto"/>
        </w:rPr>
      </w:pPr>
    </w:p>
    <w:p>
      <w:pPr>
        <w:ind w:left="1140" w:right="239" w:hanging="347"/>
        <w:spacing w:after="0" w:line="267"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June 2, 2017, subject to continued service through the applicable vesting date.</w:t>
      </w:r>
    </w:p>
    <w:p>
      <w:pPr>
        <w:spacing w:after="0" w:line="21" w:lineRule="exact"/>
        <w:rPr>
          <w:rFonts w:ascii="Arial" w:cs="Arial" w:eastAsia="Arial" w:hAnsi="Arial"/>
          <w:sz w:val="16"/>
          <w:szCs w:val="16"/>
          <w:color w:val="auto"/>
        </w:rPr>
      </w:pPr>
    </w:p>
    <w:p>
      <w:pPr>
        <w:ind w:left="1140" w:right="459" w:hanging="347"/>
        <w:spacing w:after="0" w:line="284"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Shares subject to the option vest in 48 equal monthly installments beginning on October 25, 2018, subject to continued service through the applicable vesting date.</w:t>
      </w:r>
    </w:p>
    <w:p>
      <w:pPr>
        <w:spacing w:after="0" w:line="8" w:lineRule="exact"/>
        <w:rPr>
          <w:rFonts w:ascii="Arial" w:cs="Arial" w:eastAsia="Arial" w:hAnsi="Arial"/>
          <w:sz w:val="16"/>
          <w:szCs w:val="16"/>
          <w:color w:val="auto"/>
        </w:rPr>
      </w:pPr>
    </w:p>
    <w:p>
      <w:pPr>
        <w:ind w:left="1140" w:right="159" w:hanging="347"/>
        <w:spacing w:after="0" w:line="258"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RSUs vest as follows: (i) the first ten percent (10%) of the RSUs will vest in four equal quarterly installments starting on March 20, 2022; (ii) the next fifteen percent (15%) of the RSUs will vest in four equal quarterly installments starting on March 20, 2023; (iii) the next twenty-five percent (25%) of the RSUs will vest in four equal quarterly installments starting on March 20, 2024 and (iv) the final fifty percent (50%) of the RSUs will vest in four equal quarterly installments starting on March 20, 2025.</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Option Exercises and Stock Vested During Fiscal 2026</w:t>
      </w:r>
    </w:p>
    <w:p>
      <w:pPr>
        <w:spacing w:after="0" w:line="109" w:lineRule="exact"/>
        <w:rPr>
          <w:sz w:val="20"/>
          <w:szCs w:val="20"/>
          <w:color w:val="auto"/>
        </w:rPr>
      </w:pPr>
    </w:p>
    <w:p>
      <w:pPr>
        <w:ind w:left="800" w:right="359"/>
        <w:spacing w:after="0" w:line="269" w:lineRule="auto"/>
        <w:rPr>
          <w:sz w:val="20"/>
          <w:szCs w:val="20"/>
          <w:color w:val="auto"/>
        </w:rPr>
      </w:pPr>
      <w:r>
        <w:rPr>
          <w:rFonts w:ascii="Arial" w:cs="Arial" w:eastAsia="Arial" w:hAnsi="Arial"/>
          <w:sz w:val="17"/>
          <w:szCs w:val="17"/>
          <w:color w:val="auto"/>
        </w:rPr>
        <w:t>The following table presents, for each of our NEOs, the shares of our common stock that were acquired upon the exercise of vested stock options and the vesting of RSUs and PSUs and the related value realized during fiscal 2026.</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1640" w:type="dxa"/>
            <w:vAlign w:val="bottom"/>
          </w:tcPr>
          <w:p>
            <w:pPr>
              <w:ind w:left="1500"/>
              <w:spacing w:after="0"/>
              <w:rPr>
                <w:sz w:val="20"/>
                <w:szCs w:val="20"/>
                <w:color w:val="auto"/>
              </w:rPr>
            </w:pPr>
            <w:r>
              <w:rPr>
                <w:rFonts w:ascii="Arial" w:cs="Arial" w:eastAsia="Arial" w:hAnsi="Arial"/>
                <w:sz w:val="14"/>
                <w:szCs w:val="14"/>
                <w:b w:val="1"/>
                <w:bCs w:val="1"/>
                <w:color w:val="auto"/>
              </w:rPr>
              <w:t>​ ​</w:t>
            </w:r>
          </w:p>
        </w:tc>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20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Stock Awards</w:t>
            </w:r>
          </w:p>
        </w:tc>
      </w:tr>
      <w:tr>
        <w:trPr>
          <w:trHeight w:val="180"/>
        </w:trPr>
        <w:tc>
          <w:tcPr>
            <w:tcW w:w="2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Borders>
              <w:top w:val="single" w:sz="8" w:color="D6515D"/>
            </w:tcBorders>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Borders>
              <w:top w:val="single" w:sz="8" w:color="D6515D"/>
            </w:tcBorders>
          </w:tcPr>
          <w:p>
            <w:pPr>
              <w:spacing w:after="0"/>
              <w:rPr>
                <w:sz w:val="15"/>
                <w:szCs w:val="15"/>
                <w:color w:val="auto"/>
              </w:rPr>
            </w:pPr>
          </w:p>
        </w:tc>
        <w:tc>
          <w:tcPr>
            <w:tcW w:w="900" w:type="dxa"/>
            <w:vAlign w:val="bottom"/>
            <w:tcBorders>
              <w:top w:val="single" w:sz="8" w:color="D6515D"/>
            </w:tcBorders>
          </w:tcPr>
          <w:p>
            <w:pPr>
              <w:spacing w:after="0"/>
              <w:rPr>
                <w:sz w:val="15"/>
                <w:szCs w:val="15"/>
                <w:color w:val="auto"/>
              </w:rPr>
            </w:pPr>
          </w:p>
        </w:tc>
        <w:tc>
          <w:tcPr>
            <w:tcW w:w="80" w:type="dxa"/>
            <w:vAlign w:val="bottom"/>
            <w:tcBorders>
              <w:top w:val="single" w:sz="8" w:color="D6515D"/>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top w:val="single" w:sz="8" w:color="D6515D"/>
            </w:tcBorders>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Borders>
              <w:top w:val="single" w:sz="8" w:color="D6515D"/>
            </w:tcBorders>
          </w:tcPr>
          <w:p>
            <w:pPr>
              <w:spacing w:after="0"/>
              <w:rPr>
                <w:sz w:val="15"/>
                <w:szCs w:val="15"/>
                <w:color w:val="auto"/>
              </w:rPr>
            </w:pPr>
          </w:p>
        </w:tc>
        <w:tc>
          <w:tcPr>
            <w:tcW w:w="1000" w:type="dxa"/>
            <w:vAlign w:val="bottom"/>
            <w:tcBorders>
              <w:top w:val="single" w:sz="8" w:color="D6515D"/>
            </w:tcBorders>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0" w:type="dxa"/>
            <w:vAlign w:val="bottom"/>
            <w:gridSpan w:val="2"/>
          </w:tcPr>
          <w:p>
            <w:pPr>
              <w:jc w:val="center"/>
              <w:ind w:right="96"/>
              <w:spacing w:after="0" w:line="157" w:lineRule="exact"/>
              <w:rPr>
                <w:sz w:val="20"/>
                <w:szCs w:val="20"/>
                <w:color w:val="auto"/>
              </w:rPr>
            </w:pPr>
            <w:r>
              <w:rPr>
                <w:rFonts w:ascii="Arial" w:cs="Arial" w:eastAsia="Arial" w:hAnsi="Arial"/>
                <w:sz w:val="14"/>
                <w:szCs w:val="14"/>
                <w:b w:val="1"/>
                <w:bCs w:val="1"/>
                <w:color w:val="auto"/>
              </w:rPr>
              <w:t>Acquired on</w:t>
            </w:r>
          </w:p>
        </w:tc>
        <w:tc>
          <w:tcPr>
            <w:tcW w:w="1160" w:type="dxa"/>
            <w:vAlign w:val="bottom"/>
            <w:gridSpan w:val="3"/>
          </w:tcPr>
          <w:p>
            <w:pPr>
              <w:jc w:val="center"/>
              <w:ind w:right="110"/>
              <w:spacing w:after="0" w:line="157" w:lineRule="exact"/>
              <w:rPr>
                <w:sz w:val="20"/>
                <w:szCs w:val="20"/>
                <w:color w:val="auto"/>
              </w:rPr>
            </w:pPr>
            <w:r>
              <w:rPr>
                <w:rFonts w:ascii="Arial" w:cs="Arial" w:eastAsia="Arial" w:hAnsi="Arial"/>
                <w:sz w:val="14"/>
                <w:szCs w:val="14"/>
                <w:b w:val="1"/>
                <w:bCs w:val="1"/>
                <w:color w:val="auto"/>
                <w:w w:val="99"/>
              </w:rPr>
              <w:t>Value Realized</w:t>
            </w:r>
          </w:p>
        </w:tc>
        <w:tc>
          <w:tcPr>
            <w:tcW w:w="1020" w:type="dxa"/>
            <w:vAlign w:val="bottom"/>
            <w:gridSpan w:val="2"/>
          </w:tcPr>
          <w:p>
            <w:pPr>
              <w:jc w:val="center"/>
              <w:ind w:right="116"/>
              <w:spacing w:after="0" w:line="157" w:lineRule="exact"/>
              <w:rPr>
                <w:sz w:val="20"/>
                <w:szCs w:val="20"/>
                <w:color w:val="auto"/>
              </w:rPr>
            </w:pPr>
            <w:r>
              <w:rPr>
                <w:rFonts w:ascii="Arial" w:cs="Arial" w:eastAsia="Arial" w:hAnsi="Arial"/>
                <w:sz w:val="14"/>
                <w:szCs w:val="14"/>
                <w:b w:val="1"/>
                <w:bCs w:val="1"/>
                <w:color w:val="auto"/>
              </w:rPr>
              <w:t>Acquired on</w:t>
            </w:r>
          </w:p>
        </w:tc>
        <w:tc>
          <w:tcPr>
            <w:tcW w:w="10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7"/>
              </w:rPr>
              <w:t>Value Realized</w:t>
            </w:r>
          </w:p>
        </w:tc>
      </w:tr>
      <w:tr>
        <w:trPr>
          <w:trHeight w:val="157"/>
        </w:trPr>
        <w:tc>
          <w:tcPr>
            <w:tcW w:w="2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3"/>
                <w:szCs w:val="13"/>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on Exercise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Vesting</w:t>
            </w:r>
          </w:p>
        </w:tc>
        <w:tc>
          <w:tcPr>
            <w:tcW w:w="240" w:type="dxa"/>
            <w:vAlign w:val="bottom"/>
          </w:tcPr>
          <w:p>
            <w:pPr>
              <w:spacing w:after="0"/>
              <w:rPr>
                <w:sz w:val="13"/>
                <w:szCs w:val="13"/>
                <w:color w:val="auto"/>
              </w:rPr>
            </w:pPr>
          </w:p>
        </w:tc>
        <w:tc>
          <w:tcPr>
            <w:tcW w:w="1040" w:type="dxa"/>
            <w:vAlign w:val="bottom"/>
            <w:gridSpan w:val="2"/>
          </w:tcPr>
          <w:p>
            <w:pPr>
              <w:jc w:val="right"/>
              <w:ind w:right="113"/>
              <w:spacing w:after="0" w:line="157" w:lineRule="exact"/>
              <w:rPr>
                <w:sz w:val="20"/>
                <w:szCs w:val="20"/>
                <w:color w:val="auto"/>
              </w:rPr>
            </w:pPr>
            <w:r>
              <w:rPr>
                <w:rFonts w:ascii="Arial" w:cs="Arial" w:eastAsia="Arial" w:hAnsi="Arial"/>
                <w:sz w:val="14"/>
                <w:szCs w:val="14"/>
                <w:b w:val="1"/>
                <w:bCs w:val="1"/>
                <w:color w:val="auto"/>
              </w:rPr>
              <w:t>on Vesting</w:t>
            </w:r>
          </w:p>
        </w:tc>
      </w:tr>
      <w:tr>
        <w:trPr>
          <w:trHeight w:val="192"/>
        </w:trPr>
        <w:tc>
          <w:tcPr>
            <w:tcW w:w="296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D6515D"/>
            </w:tcBorders>
          </w:tcPr>
          <w:p>
            <w:pPr>
              <w:ind w:left="1500"/>
              <w:spacing w:after="0"/>
              <w:rPr>
                <w:sz w:val="20"/>
                <w:szCs w:val="20"/>
                <w:color w:val="auto"/>
              </w:rPr>
            </w:pPr>
            <w:r>
              <w:rPr>
                <w:rFonts w:ascii="Arial" w:cs="Arial" w:eastAsia="Arial" w:hAnsi="Arial"/>
                <w:sz w:val="14"/>
                <w:szCs w:val="14"/>
                <w:b w:val="1"/>
                <w:bCs w:val="1"/>
                <w:color w:val="auto"/>
              </w:rPr>
              <w:t>​ ​</w:t>
            </w:r>
          </w:p>
        </w:tc>
        <w:tc>
          <w:tcPr>
            <w:tcW w:w="760" w:type="dxa"/>
            <w:vAlign w:val="bottom"/>
            <w:tcBorders>
              <w:bottom w:val="single" w:sz="8" w:color="D6515D"/>
            </w:tcBorders>
          </w:tcPr>
          <w:p>
            <w:pPr>
              <w:ind w:left="32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jc w:val="right"/>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6515D"/>
            </w:tcBorders>
          </w:tcPr>
          <w:p>
            <w:pPr>
              <w:jc w:val="center"/>
              <w:spacing w:after="0" w:line="193"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17"/>
                <w:szCs w:val="17"/>
                <w:b w:val="1"/>
                <w:bCs w:val="1"/>
                <w:color w:val="auto"/>
                <w:w w:val="85"/>
                <w:vertAlign w:val="superscript"/>
              </w:rPr>
              <w:t>(1)</w:t>
            </w:r>
          </w:p>
        </w:tc>
        <w:tc>
          <w:tcPr>
            <w:tcW w:w="80" w:type="dxa"/>
            <w:vAlign w:val="bottom"/>
            <w:tcBorders>
              <w:bottom w:val="single" w:sz="8" w:color="D6515D"/>
            </w:tcBorders>
          </w:tcPr>
          <w:p>
            <w:pPr>
              <w:spacing w:after="0"/>
              <w:rPr>
                <w:sz w:val="16"/>
                <w:szCs w:val="16"/>
                <w:color w:val="auto"/>
              </w:rPr>
            </w:pPr>
          </w:p>
        </w:tc>
        <w:tc>
          <w:tcPr>
            <w:tcW w:w="180" w:type="dxa"/>
            <w:vAlign w:val="bottom"/>
            <w:tcBorders>
              <w:bottom w:val="single" w:sz="8" w:color="D6515D"/>
            </w:tcBorders>
          </w:tcPr>
          <w:p>
            <w:pPr>
              <w:ind w:left="40"/>
              <w:spacing w:after="0"/>
              <w:rPr>
                <w:sz w:val="20"/>
                <w:szCs w:val="20"/>
                <w:color w:val="auto"/>
              </w:rPr>
            </w:pPr>
            <w:r>
              <w:rPr>
                <w:rFonts w:ascii="Arial" w:cs="Arial" w:eastAsia="Arial" w:hAnsi="Arial"/>
                <w:sz w:val="14"/>
                <w:szCs w:val="14"/>
                <w:b w:val="1"/>
                <w:bCs w:val="1"/>
                <w:color w:val="auto"/>
              </w:rPr>
              <w:t>​ ​</w:t>
            </w:r>
          </w:p>
        </w:tc>
        <w:tc>
          <w:tcPr>
            <w:tcW w:w="7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6515D"/>
            </w:tcBorders>
          </w:tcPr>
          <w:p>
            <w:pPr>
              <w:ind w:left="100"/>
              <w:spacing w:after="0"/>
              <w:rPr>
                <w:sz w:val="20"/>
                <w:szCs w:val="20"/>
                <w:color w:val="auto"/>
              </w:rPr>
            </w:pPr>
            <w:r>
              <w:rPr>
                <w:rFonts w:ascii="Arial" w:cs="Arial" w:eastAsia="Arial" w:hAnsi="Arial"/>
                <w:sz w:val="14"/>
                <w:szCs w:val="14"/>
                <w:b w:val="1"/>
                <w:bCs w:val="1"/>
                <w:color w:val="auto"/>
              </w:rPr>
              <w:t>​ ​</w:t>
            </w:r>
          </w:p>
        </w:tc>
        <w:tc>
          <w:tcPr>
            <w:tcW w:w="1000" w:type="dxa"/>
            <w:vAlign w:val="bottom"/>
            <w:tcBorders>
              <w:bottom w:val="single" w:sz="8" w:color="D6515D"/>
            </w:tcBorders>
          </w:tcPr>
          <w:p>
            <w:pPr>
              <w:jc w:val="right"/>
              <w:ind w:right="290"/>
              <w:spacing w:after="0" w:line="19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vertAlign w:val="superscript"/>
              </w:rPr>
              <w:t>(2)</w:t>
            </w:r>
          </w:p>
        </w:tc>
        <w:tc>
          <w:tcPr>
            <w:tcW w:w="40" w:type="dxa"/>
            <w:vAlign w:val="bottom"/>
          </w:tcPr>
          <w:p>
            <w:pPr>
              <w:spacing w:after="0"/>
              <w:rPr>
                <w:sz w:val="16"/>
                <w:szCs w:val="16"/>
                <w:color w:val="auto"/>
              </w:rPr>
            </w:pPr>
          </w:p>
        </w:tc>
      </w:tr>
      <w:tr>
        <w:trPr>
          <w:trHeight w:val="254"/>
        </w:trPr>
        <w:tc>
          <w:tcPr>
            <w:tcW w:w="2960" w:type="dxa"/>
            <w:vAlign w:val="bottom"/>
          </w:tcPr>
          <w:p>
            <w:pPr>
              <w:spacing w:after="0"/>
              <w:rPr>
                <w:sz w:val="20"/>
                <w:szCs w:val="20"/>
                <w:color w:val="auto"/>
              </w:rPr>
            </w:pPr>
            <w:r>
              <w:rPr>
                <w:rFonts w:ascii="Arial" w:cs="Arial" w:eastAsia="Arial" w:hAnsi="Arial"/>
                <w:sz w:val="17"/>
                <w:szCs w:val="17"/>
                <w:b w:val="1"/>
                <w:bCs w:val="1"/>
                <w:color w:val="auto"/>
              </w:rPr>
              <w:t>George Kurtz</w:t>
            </w:r>
          </w:p>
        </w:tc>
        <w:tc>
          <w:tcPr>
            <w:tcW w:w="1640" w:type="dxa"/>
            <w:vAlign w:val="bottom"/>
          </w:tcPr>
          <w:p>
            <w:pPr>
              <w:ind w:left="1500"/>
              <w:spacing w:after="0"/>
              <w:rPr>
                <w:sz w:val="20"/>
                <w:szCs w:val="20"/>
                <w:color w:val="auto"/>
              </w:rPr>
            </w:pPr>
            <w:r>
              <w:rPr>
                <w:rFonts w:ascii="Arial" w:cs="Arial" w:eastAsia="Arial" w:hAnsi="Arial"/>
                <w:sz w:val="17"/>
                <w:szCs w:val="17"/>
                <w:color w:val="auto"/>
              </w:rPr>
              <w:t>​ ​</w:t>
            </w:r>
          </w:p>
        </w:tc>
        <w:tc>
          <w:tcPr>
            <w:tcW w:w="76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 ​ ​</w:t>
            </w:r>
          </w:p>
        </w:tc>
        <w:tc>
          <w:tcPr>
            <w:tcW w:w="900" w:type="dxa"/>
            <w:vAlign w:val="bottom"/>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40"/>
              <w:spacing w:after="0"/>
              <w:rPr>
                <w:sz w:val="20"/>
                <w:szCs w:val="20"/>
                <w:color w:val="auto"/>
              </w:rPr>
            </w:pPr>
            <w:r>
              <w:rPr>
                <w:rFonts w:ascii="Arial" w:cs="Arial" w:eastAsia="Arial" w:hAnsi="Arial"/>
                <w:sz w:val="17"/>
                <w:szCs w:val="17"/>
                <w:color w:val="auto"/>
              </w:rPr>
              <w:t>​ ​ ​ ​432,053</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 ​​195,532,390​</w:t>
            </w:r>
          </w:p>
        </w:tc>
      </w:tr>
      <w:tr>
        <w:trPr>
          <w:trHeight w:val="261"/>
        </w:trPr>
        <w:tc>
          <w:tcPr>
            <w:tcW w:w="29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Michael Sentonas</w:t>
            </w:r>
          </w:p>
        </w:tc>
        <w:tc>
          <w:tcPr>
            <w:tcW w:w="1640" w:type="dxa"/>
            <w:vAlign w:val="bottom"/>
            <w:shd w:val="clear" w:color="auto" w:fill="E5E5E5"/>
          </w:tcPr>
          <w:p>
            <w:pPr>
              <w:ind w:left="1500"/>
              <w:spacing w:after="0"/>
              <w:rPr>
                <w:sz w:val="20"/>
                <w:szCs w:val="20"/>
                <w:color w:val="auto"/>
              </w:rPr>
            </w:pPr>
            <w:r>
              <w:rPr>
                <w:rFonts w:ascii="Arial" w:cs="Arial" w:eastAsia="Arial" w:hAnsi="Arial"/>
                <w:sz w:val="17"/>
                <w:szCs w:val="17"/>
                <w:color w:val="auto"/>
              </w:rPr>
              <w:t>​ ​</w:t>
            </w:r>
          </w:p>
        </w:tc>
        <w:tc>
          <w:tcPr>
            <w:tcW w:w="760" w:type="dxa"/>
            <w:vAlign w:val="bottom"/>
            <w:shd w:val="clear" w:color="auto" w:fill="E5E5E5"/>
          </w:tcPr>
          <w:p>
            <w:pPr>
              <w:ind w:lef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 ​ ​</w:t>
            </w:r>
          </w:p>
        </w:tc>
        <w:tc>
          <w:tcPr>
            <w:tcW w:w="90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E5E5E5"/>
          </w:tcPr>
          <w:p>
            <w:pPr>
              <w:ind w:left="40"/>
              <w:spacing w:after="0"/>
              <w:rPr>
                <w:sz w:val="20"/>
                <w:szCs w:val="20"/>
                <w:color w:val="auto"/>
              </w:rPr>
            </w:pPr>
            <w:r>
              <w:rPr>
                <w:rFonts w:ascii="Arial" w:cs="Arial" w:eastAsia="Arial" w:hAnsi="Arial"/>
                <w:sz w:val="17"/>
                <w:szCs w:val="17"/>
                <w:color w:val="auto"/>
              </w:rPr>
              <w:t>​ ​ ​ ​121,365</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7"/>
                <w:szCs w:val="17"/>
                <w:color w:val="auto"/>
              </w:rPr>
              <w:t>​​ ​​ 55,014,301</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1"/>
        </w:trPr>
        <w:tc>
          <w:tcPr>
            <w:tcW w:w="296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1640" w:type="dxa"/>
            <w:vAlign w:val="bottom"/>
          </w:tcPr>
          <w:p>
            <w:pPr>
              <w:ind w:left="1500"/>
              <w:spacing w:after="0"/>
              <w:rPr>
                <w:sz w:val="20"/>
                <w:szCs w:val="20"/>
                <w:color w:val="auto"/>
              </w:rPr>
            </w:pPr>
            <w:r>
              <w:rPr>
                <w:rFonts w:ascii="Arial" w:cs="Arial" w:eastAsia="Arial" w:hAnsi="Arial"/>
                <w:sz w:val="17"/>
                <w:szCs w:val="17"/>
                <w:color w:val="auto"/>
              </w:rPr>
              <w:t>​ ​</w:t>
            </w:r>
          </w:p>
        </w:tc>
        <w:tc>
          <w:tcPr>
            <w:tcW w:w="760" w:type="dxa"/>
            <w:vAlign w:val="bottom"/>
          </w:tcPr>
          <w:p>
            <w:pPr>
              <w:ind w:left="32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 ​ ​</w:t>
            </w:r>
          </w:p>
        </w:tc>
        <w:tc>
          <w:tcPr>
            <w:tcW w:w="900" w:type="dxa"/>
            <w:vAlign w:val="bottom"/>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40"/>
              <w:spacing w:after="0"/>
              <w:rPr>
                <w:sz w:val="20"/>
                <w:szCs w:val="20"/>
                <w:color w:val="auto"/>
              </w:rPr>
            </w:pPr>
            <w:r>
              <w:rPr>
                <w:rFonts w:ascii="Arial" w:cs="Arial" w:eastAsia="Arial" w:hAnsi="Arial"/>
                <w:sz w:val="17"/>
                <w:szCs w:val="17"/>
                <w:color w:val="auto"/>
              </w:rPr>
              <w:t>​ ​ ​ ​135,837</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 ​​ 61,417,041​</w:t>
            </w:r>
          </w:p>
        </w:tc>
      </w:tr>
      <w:tr>
        <w:trPr>
          <w:trHeight w:val="314"/>
        </w:trPr>
        <w:tc>
          <w:tcPr>
            <w:tcW w:w="2960" w:type="dxa"/>
            <w:vAlign w:val="bottom"/>
            <w:shd w:val="clear" w:color="auto" w:fill="E5E5E5"/>
          </w:tcPr>
          <w:p>
            <w:pPr>
              <w:spacing w:after="0"/>
              <w:rPr>
                <w:sz w:val="20"/>
                <w:szCs w:val="20"/>
                <w:color w:val="auto"/>
              </w:rPr>
            </w:pPr>
            <w:r>
              <w:rPr>
                <w:rFonts w:ascii="Arial" w:cs="Arial" w:eastAsia="Arial" w:hAnsi="Arial"/>
                <w:sz w:val="17"/>
                <w:szCs w:val="17"/>
                <w:b w:val="1"/>
                <w:bCs w:val="1"/>
                <w:color w:val="auto"/>
              </w:rPr>
              <w:t>Shawn Henry</w:t>
            </w:r>
          </w:p>
        </w:tc>
        <w:tc>
          <w:tcPr>
            <w:tcW w:w="1640" w:type="dxa"/>
            <w:vAlign w:val="bottom"/>
            <w:shd w:val="clear" w:color="auto" w:fill="E5E5E5"/>
          </w:tcPr>
          <w:p>
            <w:pPr>
              <w:ind w:left="1500"/>
              <w:spacing w:after="0"/>
              <w:rPr>
                <w:sz w:val="20"/>
                <w:szCs w:val="20"/>
                <w:color w:val="auto"/>
              </w:rPr>
            </w:pPr>
            <w:r>
              <w:rPr>
                <w:rFonts w:ascii="Arial" w:cs="Arial" w:eastAsia="Arial" w:hAnsi="Arial"/>
                <w:sz w:val="17"/>
                <w:szCs w:val="17"/>
                <w:color w:val="auto"/>
              </w:rPr>
              <w:t>​ ​</w:t>
            </w:r>
          </w:p>
        </w:tc>
        <w:tc>
          <w:tcPr>
            <w:tcW w:w="760" w:type="dxa"/>
            <w:vAlign w:val="bottom"/>
            <w:shd w:val="clear" w:color="auto" w:fill="E5E5E5"/>
          </w:tcPr>
          <w:p>
            <w:pPr>
              <w:ind w:left="320"/>
              <w:spacing w:after="0" w:line="31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7"/>
                <w:szCs w:val="17"/>
                <w:color w:val="auto"/>
              </w:rPr>
              <w:t>​ ​ ​</w:t>
            </w:r>
          </w:p>
        </w:tc>
        <w:tc>
          <w:tcPr>
            <w:tcW w:w="900" w:type="dxa"/>
            <w:vAlign w:val="bottom"/>
            <w:shd w:val="clear" w:color="auto" w:fill="E5E5E5"/>
          </w:tcPr>
          <w:p>
            <w:pPr>
              <w:jc w:val="center"/>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E5E5E5"/>
          </w:tcPr>
          <w:p>
            <w:pPr>
              <w:ind w:left="40"/>
              <w:spacing w:after="0" w:line="313" w:lineRule="exact"/>
              <w:rPr>
                <w:sz w:val="20"/>
                <w:szCs w:val="20"/>
                <w:color w:val="auto"/>
              </w:rPr>
            </w:pPr>
            <w:r>
              <w:rPr>
                <w:rFonts w:ascii="Arial" w:cs="Arial" w:eastAsia="Arial" w:hAnsi="Arial"/>
                <w:sz w:val="34"/>
                <w:szCs w:val="34"/>
                <w:color w:val="auto"/>
                <w:vertAlign w:val="subscript"/>
              </w:rPr>
              <w:t>​ ​ ​ ​</w:t>
            </w:r>
            <w:r>
              <w:rPr>
                <w:rFonts w:ascii="Arial" w:cs="Arial" w:eastAsia="Arial" w:hAnsi="Arial"/>
                <w:sz w:val="17"/>
                <w:szCs w:val="17"/>
                <w:color w:val="auto"/>
              </w:rPr>
              <w:t xml:space="preserve"> 44,143</w:t>
            </w:r>
          </w:p>
        </w:tc>
        <w:tc>
          <w:tcPr>
            <w:tcW w:w="1240" w:type="dxa"/>
            <w:vAlign w:val="bottom"/>
            <w:gridSpan w:val="2"/>
            <w:shd w:val="clear" w:color="auto" w:fill="E5E5E5"/>
          </w:tcPr>
          <w:p>
            <w:pPr>
              <w:jc w:val="right"/>
              <w:spacing w:after="0" w:line="313"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7"/>
                <w:szCs w:val="17"/>
                <w:color w:val="auto"/>
              </w:rPr>
              <w:t xml:space="preserve"> 19,885,916</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140970</wp:posOffset>
            </wp:positionV>
            <wp:extent cx="1195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68" w:lineRule="exact"/>
        <w:rPr>
          <w:sz w:val="20"/>
          <w:szCs w:val="20"/>
          <w:color w:val="auto"/>
        </w:rPr>
      </w:pPr>
    </w:p>
    <w:p>
      <w:pPr>
        <w:ind w:left="1140" w:right="339" w:hanging="347"/>
        <w:spacing w:after="0" w:line="284"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Calculated by multiplying the number of corresponding shares acquired by the difference between the exercise price and the market price of the underlying common stock at the time of exercise.</w:t>
      </w:r>
    </w:p>
    <w:p>
      <w:pPr>
        <w:spacing w:after="0" w:line="8" w:lineRule="exact"/>
        <w:rPr>
          <w:rFonts w:ascii="Arial" w:cs="Arial" w:eastAsia="Arial" w:hAnsi="Arial"/>
          <w:sz w:val="16"/>
          <w:szCs w:val="16"/>
          <w:color w:val="auto"/>
        </w:rPr>
      </w:pPr>
    </w:p>
    <w:p>
      <w:pPr>
        <w:ind w:left="1140" w:right="459" w:hanging="347"/>
        <w:spacing w:after="0" w:line="261"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Calculated by multiplying the number of corresponding shares acquired by the closing price of our common stock as reported on Nasdaq on the vesting date (or on the last trading day prior to the vesting date if the vesting date was not a trading day).</w:t>
      </w:r>
    </w:p>
    <w:p>
      <w:pPr>
        <w:sectPr>
          <w:pgSz w:w="11900" w:h="16838" w:orient="portrait"/>
          <w:cols w:equalWidth="0" w:num="1">
            <w:col w:w="9699"/>
          </w:cols>
          <w:pgMar w:left="760" w:top="94" w:right="1440" w:bottom="887" w:gutter="0" w:footer="0" w:header="0"/>
        </w:sectPr>
      </w:pPr>
    </w:p>
    <w:p>
      <w:pPr>
        <w:spacing w:after="0" w:line="39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887"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109" w:lineRule="exact"/>
        <w:rPr>
          <w:sz w:val="20"/>
          <w:szCs w:val="20"/>
          <w:color w:val="auto"/>
        </w:rPr>
      </w:pPr>
    </w:p>
    <w:p>
      <w:pPr>
        <w:ind w:left="800" w:right="1060"/>
        <w:spacing w:after="0" w:line="260" w:lineRule="auto"/>
        <w:rPr>
          <w:sz w:val="20"/>
          <w:szCs w:val="20"/>
          <w:color w:val="auto"/>
        </w:rPr>
      </w:pPr>
      <w:r>
        <w:rPr>
          <w:rFonts w:ascii="Arial" w:cs="Arial" w:eastAsia="Arial" w:hAnsi="Arial"/>
          <w:sz w:val="17"/>
          <w:szCs w:val="17"/>
          <w:color w:val="auto"/>
        </w:rPr>
        <w:t>In the event of a qualifying termination of employment and/or the occurrence of a change in control of the Company, certain of our NEOs are entitled to certain payments and benefits under their employment agreements, offer letters and/or their outstanding equity incentive awards. For a detailed summary of these payments and benefits, see the narrative description that follows the table below.</w:t>
      </w:r>
    </w:p>
    <w:p>
      <w:pPr>
        <w:spacing w:after="0" w:line="159" w:lineRule="exact"/>
        <w:rPr>
          <w:sz w:val="20"/>
          <w:szCs w:val="20"/>
          <w:color w:val="auto"/>
        </w:rPr>
      </w:pPr>
    </w:p>
    <w:p>
      <w:pPr>
        <w:ind w:left="800" w:right="1060"/>
        <w:spacing w:after="0" w:line="253" w:lineRule="auto"/>
        <w:rPr>
          <w:sz w:val="20"/>
          <w:szCs w:val="20"/>
          <w:color w:val="auto"/>
        </w:rPr>
      </w:pPr>
      <w:r>
        <w:rPr>
          <w:rFonts w:ascii="Arial" w:cs="Arial" w:eastAsia="Arial" w:hAnsi="Arial"/>
          <w:sz w:val="17"/>
          <w:szCs w:val="17"/>
          <w:color w:val="auto"/>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January 31, 2026. The values reflected in the table below relating to the acceleration of equity awards are based on the last closing price of our common stock as reported on Nasdaq on January 30, 2026 ($441.41 per share) (in the case of options, minus the applicable exercise price) and, with respect to PSUs, are based on achievement of performance goals for the applicable period as determined by the Compensation Committee.</w:t>
      </w:r>
    </w:p>
    <w:p>
      <w:pPr>
        <w:spacing w:after="0" w:line="178" w:lineRule="exact"/>
        <w:rPr>
          <w:sz w:val="20"/>
          <w:szCs w:val="20"/>
          <w:color w:val="auto"/>
        </w:rPr>
      </w:pPr>
    </w:p>
    <w:p>
      <w:pPr>
        <w:ind w:left="800" w:right="1040"/>
        <w:spacing w:after="0" w:line="249" w:lineRule="auto"/>
        <w:rPr>
          <w:sz w:val="20"/>
          <w:szCs w:val="20"/>
          <w:color w:val="auto"/>
        </w:rPr>
      </w:pPr>
      <w:r>
        <w:rPr>
          <w:rFonts w:ascii="Arial" w:cs="Arial" w:eastAsia="Arial" w:hAnsi="Arial"/>
          <w:sz w:val="17"/>
          <w:szCs w:val="17"/>
          <w:color w:val="auto"/>
        </w:rPr>
        <w:t>In addition to the amounts set forth in the table below, upon any termination of employment, each executive would also be entitled to receive all payments generally provided to salaried employees on a non-discriminatory basis on termination, such as life insurance proceeds (for any termination caused by death) and 401(k) plan distributions. If the termination of employment is the result of the executive’s death or disability, then under the Company’s current policy, the Company will typically provide for incremental accelerated vesting of outstanding equity awards such that an additional 12 months of the participant’s awards will vest (with awards subject to performance conditions that have not yet been determined being deemed earned at target). Certain special awards, including the multi-year PSU awards granted to Mr. Kurtz and Mr. Podbere in fiscal 2022 and the TSR PSUs granted to Mr. Kurtz in December 2025, and certain specially targeted performance-based awards are excluded from this policy.</w:t>
      </w:r>
    </w:p>
    <w:p>
      <w:pPr>
        <w:spacing w:after="0" w:line="21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2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Termination without cause Termination without cause</w:t>
            </w:r>
          </w:p>
        </w:tc>
        <w:tc>
          <w:tcPr>
            <w:tcW w:w="1760" w:type="dxa"/>
            <w:vAlign w:val="bottom"/>
          </w:tcPr>
          <w:p>
            <w:pPr>
              <w:spacing w:after="0"/>
              <w:rPr>
                <w:sz w:val="14"/>
                <w:szCs w:val="14"/>
                <w:color w:val="auto"/>
              </w:rPr>
            </w:pP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30"/>
              <w:spacing w:after="0" w:line="157" w:lineRule="exact"/>
              <w:rPr>
                <w:sz w:val="20"/>
                <w:szCs w:val="20"/>
                <w:color w:val="auto"/>
              </w:rPr>
            </w:pPr>
            <w:r>
              <w:rPr>
                <w:rFonts w:ascii="Arial" w:cs="Arial" w:eastAsia="Arial" w:hAnsi="Arial"/>
                <w:sz w:val="14"/>
                <w:szCs w:val="14"/>
                <w:b w:val="1"/>
                <w:bCs w:val="1"/>
                <w:color w:val="auto"/>
                <w:w w:val="99"/>
              </w:rPr>
              <w:t>by Company or for</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by Company or for good</w:t>
            </w:r>
          </w:p>
        </w:tc>
        <w:tc>
          <w:tcPr>
            <w:tcW w:w="176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10"/>
              <w:spacing w:after="0" w:line="157" w:lineRule="exact"/>
              <w:rPr>
                <w:sz w:val="20"/>
                <w:szCs w:val="20"/>
                <w:color w:val="auto"/>
              </w:rPr>
            </w:pPr>
            <w:r>
              <w:rPr>
                <w:rFonts w:ascii="Arial" w:cs="Arial" w:eastAsia="Arial" w:hAnsi="Arial"/>
                <w:sz w:val="14"/>
                <w:szCs w:val="14"/>
                <w:b w:val="1"/>
                <w:bCs w:val="1"/>
                <w:color w:val="auto"/>
                <w:w w:val="98"/>
              </w:rPr>
              <w:t>good reason by executive</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reason by executive</w:t>
            </w:r>
          </w:p>
        </w:tc>
        <w:tc>
          <w:tcPr>
            <w:tcW w:w="1760" w:type="dxa"/>
            <w:vAlign w:val="bottom"/>
          </w:tcPr>
          <w:p>
            <w:pPr>
              <w:spacing w:after="0"/>
              <w:rPr>
                <w:sz w:val="13"/>
                <w:szCs w:val="13"/>
                <w:color w:val="auto"/>
              </w:rPr>
            </w:pP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10"/>
              <w:spacing w:after="0" w:line="157" w:lineRule="exact"/>
              <w:rPr>
                <w:sz w:val="20"/>
                <w:szCs w:val="20"/>
                <w:color w:val="auto"/>
              </w:rPr>
            </w:pPr>
            <w:r>
              <w:rPr>
                <w:rFonts w:ascii="Arial" w:cs="Arial" w:eastAsia="Arial" w:hAnsi="Arial"/>
                <w:sz w:val="14"/>
                <w:szCs w:val="14"/>
                <w:b w:val="1"/>
                <w:bCs w:val="1"/>
                <w:color w:val="auto"/>
                <w:w w:val="98"/>
              </w:rPr>
              <w:t>NOT in connection with a</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in connection with a</w:t>
            </w:r>
          </w:p>
        </w:tc>
        <w:tc>
          <w:tcPr>
            <w:tcW w:w="1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Change in Control without</w:t>
            </w:r>
          </w:p>
        </w:tc>
      </w:tr>
      <w:tr>
        <w:trPr>
          <w:trHeight w:val="157"/>
        </w:trPr>
        <w:tc>
          <w:tcPr>
            <w:tcW w:w="13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40" w:type="dxa"/>
            <w:vAlign w:val="bottom"/>
          </w:tcPr>
          <w:p>
            <w:pPr>
              <w:jc w:val="center"/>
              <w:ind w:left="310"/>
              <w:spacing w:after="0" w:line="157" w:lineRule="exact"/>
              <w:rPr>
                <w:sz w:val="20"/>
                <w:szCs w:val="20"/>
                <w:color w:val="auto"/>
              </w:rPr>
            </w:pPr>
            <w:r>
              <w:rPr>
                <w:rFonts w:ascii="Arial" w:cs="Arial" w:eastAsia="Arial" w:hAnsi="Arial"/>
                <w:sz w:val="14"/>
                <w:szCs w:val="14"/>
                <w:b w:val="1"/>
                <w:bCs w:val="1"/>
                <w:color w:val="auto"/>
              </w:rPr>
              <w:t>Change in Control</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Change in Control</w:t>
            </w:r>
          </w:p>
        </w:tc>
        <w:tc>
          <w:tcPr>
            <w:tcW w:w="1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any termination event</w:t>
            </w:r>
          </w:p>
        </w:tc>
      </w:tr>
      <w:tr>
        <w:trPr>
          <w:trHeight w:val="192"/>
        </w:trPr>
        <w:tc>
          <w:tcPr>
            <w:tcW w:w="134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Borders>
              <w:bottom w:val="single" w:sz="8" w:color="D6515D"/>
            </w:tcBorders>
          </w:tcPr>
          <w:p>
            <w:pPr>
              <w:ind w:left="980"/>
              <w:spacing w:after="0"/>
              <w:rPr>
                <w:sz w:val="20"/>
                <w:szCs w:val="20"/>
                <w:color w:val="auto"/>
              </w:rPr>
            </w:pPr>
            <w:r>
              <w:rPr>
                <w:rFonts w:ascii="Arial" w:cs="Arial" w:eastAsia="Arial" w:hAnsi="Arial"/>
                <w:sz w:val="14"/>
                <w:szCs w:val="14"/>
                <w:b w:val="1"/>
                <w:bCs w:val="1"/>
                <w:color w:val="auto"/>
              </w:rPr>
              <w:t>Benefit Description</w:t>
            </w:r>
          </w:p>
        </w:tc>
        <w:tc>
          <w:tcPr>
            <w:tcW w:w="2240" w:type="dxa"/>
            <w:vAlign w:val="bottom"/>
            <w:tcBorders>
              <w:bottom w:val="single" w:sz="8" w:color="D6515D"/>
            </w:tcBorders>
          </w:tcPr>
          <w:p>
            <w:pPr>
              <w:jc w:val="center"/>
              <w:ind w:left="350"/>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D6515D"/>
            </w:tcBorders>
          </w:tcPr>
          <w:p>
            <w:pPr>
              <w:jc w:val="center"/>
              <w:spacing w:after="0"/>
              <w:rPr>
                <w:sz w:val="20"/>
                <w:szCs w:val="20"/>
                <w:color w:val="auto"/>
              </w:rPr>
            </w:pPr>
            <w:r>
              <w:rPr>
                <w:rFonts w:ascii="Arial" w:cs="Arial" w:eastAsia="Arial" w:hAnsi="Arial"/>
                <w:sz w:val="14"/>
                <w:szCs w:val="14"/>
                <w:b w:val="1"/>
                <w:bCs w:val="1"/>
                <w:color w:val="auto"/>
              </w:rPr>
              <w:t>($)</w:t>
            </w:r>
          </w:p>
        </w:tc>
      </w:tr>
    </w:tbl>
    <w:p>
      <w:pPr>
        <w:spacing w:after="0" w:line="33" w:lineRule="exact"/>
        <w:rPr>
          <w:sz w:val="20"/>
          <w:szCs w:val="20"/>
          <w:color w:val="auto"/>
        </w:rPr>
      </w:pPr>
    </w:p>
    <w:p>
      <w:pPr>
        <w:sectPr>
          <w:pgSz w:w="11900" w:h="16838" w:orient="portrait"/>
          <w:cols w:equalWidth="0" w:num="1">
            <w:col w:w="10600"/>
          </w:cols>
          <w:pgMar w:left="760" w:top="94" w:right="539" w:bottom="1440" w:gutter="0" w:footer="0" w:header="0"/>
        </w:sectPr>
      </w:pPr>
    </w:p>
    <w:p>
      <w:pPr>
        <w:ind w:left="800"/>
        <w:spacing w:after="0"/>
        <w:tabs>
          <w:tab w:leader="none" w:pos="2240" w:val="left"/>
        </w:tabs>
        <w:rPr>
          <w:sz w:val="20"/>
          <w:szCs w:val="20"/>
          <w:color w:val="auto"/>
        </w:rPr>
      </w:pPr>
      <w:r>
        <w:rPr>
          <w:rFonts w:ascii="Arial" w:cs="Arial" w:eastAsia="Arial" w:hAnsi="Arial"/>
          <w:sz w:val="17"/>
          <w:szCs w:val="17"/>
          <w:b w:val="1"/>
          <w:bCs w:val="1"/>
          <w:color w:val="auto"/>
        </w:rPr>
        <w:t>George Kurtz</w:t>
      </w:r>
      <w:r>
        <w:rPr>
          <w:sz w:val="20"/>
          <w:szCs w:val="20"/>
          <w:color w:val="auto"/>
        </w:rPr>
        <w:tab/>
      </w:r>
      <w:r>
        <w:rPr>
          <w:rFonts w:ascii="Arial" w:cs="Arial" w:eastAsia="Arial" w:hAnsi="Arial"/>
          <w:sz w:val="17"/>
          <w:szCs w:val="17"/>
          <w:color w:val="auto"/>
        </w:rPr>
        <w:t>Cash severance</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xml:space="preserve">Accelerated vesting of equity awards </w:t>
      </w:r>
      <w:r>
        <w:rPr>
          <w:rFonts w:ascii="Arial" w:cs="Arial" w:eastAsia="Arial" w:hAnsi="Arial"/>
          <w:sz w:val="20"/>
          <w:szCs w:val="20"/>
          <w:color w:val="auto"/>
          <w:vertAlign w:val="superscript"/>
        </w:rPr>
        <w:t>(3)</w:t>
      </w:r>
    </w:p>
    <w:p>
      <w:pPr>
        <w:spacing w:after="0" w:line="58"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 xml:space="preserve">Continuation of health benefits </w:t>
      </w:r>
      <w:r>
        <w:rPr>
          <w:rFonts w:ascii="Arial" w:cs="Arial" w:eastAsia="Arial" w:hAnsi="Arial"/>
          <w:sz w:val="22"/>
          <w:szCs w:val="22"/>
          <w:color w:val="auto"/>
          <w:vertAlign w:val="superscript"/>
        </w:rPr>
        <w:t>(4)</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Michael Sentonas</w:t>
      </w:r>
      <w:r>
        <w:rPr>
          <w:rFonts w:ascii="Arial" w:cs="Arial" w:eastAsia="Arial" w:hAnsi="Arial"/>
          <w:sz w:val="17"/>
          <w:szCs w:val="17"/>
          <w:color w:val="auto"/>
        </w:rPr>
        <w:t>N/A</w:t>
      </w:r>
    </w:p>
    <w:p>
      <w:pPr>
        <w:spacing w:after="0" w:line="40" w:lineRule="exact"/>
        <w:rPr>
          <w:sz w:val="20"/>
          <w:szCs w:val="20"/>
          <w:color w:val="auto"/>
        </w:rPr>
      </w:pPr>
    </w:p>
    <w:tbl>
      <w:tblPr>
        <w:tblLayout w:type="fixed"/>
        <w:tblInd w:w="800" w:type="dxa"/>
        <w:tblCellMar>
          <w:top w:w="0" w:type="dxa"/>
          <w:left w:w="0" w:type="dxa"/>
          <w:bottom w:w="0" w:type="dxa"/>
          <w:right w:w="0" w:type="dxa"/>
        </w:tblCellMar>
      </w:tblPr>
      <w:tr>
        <w:trPr>
          <w:trHeight w:val="274"/>
        </w:trPr>
        <w:tc>
          <w:tcPr>
            <w:tcW w:w="1280" w:type="dxa"/>
            <w:vAlign w:val="bottom"/>
          </w:tcPr>
          <w:p>
            <w:pPr>
              <w:spacing w:after="0"/>
              <w:rPr>
                <w:sz w:val="20"/>
                <w:szCs w:val="20"/>
                <w:color w:val="auto"/>
              </w:rPr>
            </w:pPr>
            <w:r>
              <w:rPr>
                <w:rFonts w:ascii="Arial" w:cs="Arial" w:eastAsia="Arial" w:hAnsi="Arial"/>
                <w:sz w:val="17"/>
                <w:szCs w:val="17"/>
                <w:b w:val="1"/>
                <w:bCs w:val="1"/>
                <w:color w:val="auto"/>
              </w:rPr>
              <w:t>Burt Podbere</w:t>
            </w:r>
          </w:p>
        </w:tc>
        <w:tc>
          <w:tcPr>
            <w:tcW w:w="1620" w:type="dxa"/>
            <w:vAlign w:val="bottom"/>
          </w:tcPr>
          <w:p>
            <w:pPr>
              <w:ind w:left="180"/>
              <w:spacing w:after="0"/>
              <w:rPr>
                <w:sz w:val="20"/>
                <w:szCs w:val="20"/>
                <w:color w:val="auto"/>
              </w:rPr>
            </w:pPr>
            <w:r>
              <w:rPr>
                <w:rFonts w:ascii="Arial" w:cs="Arial" w:eastAsia="Arial" w:hAnsi="Arial"/>
                <w:sz w:val="17"/>
                <w:szCs w:val="17"/>
                <w:color w:val="auto"/>
                <w:w w:val="97"/>
              </w:rPr>
              <w:t xml:space="preserve">Cash severance </w:t>
            </w:r>
            <w:r>
              <w:rPr>
                <w:rFonts w:ascii="Arial" w:cs="Arial" w:eastAsia="Arial" w:hAnsi="Arial"/>
                <w:sz w:val="22"/>
                <w:szCs w:val="22"/>
                <w:color w:val="auto"/>
                <w:w w:val="97"/>
                <w:vertAlign w:val="superscript"/>
              </w:rPr>
              <w:t>(5)</w:t>
            </w:r>
          </w:p>
        </w:tc>
      </w:tr>
      <w:tr>
        <w:trPr>
          <w:trHeight w:val="302"/>
        </w:trPr>
        <w:tc>
          <w:tcPr>
            <w:tcW w:w="1280" w:type="dxa"/>
            <w:vAlign w:val="bottom"/>
          </w:tcPr>
          <w:p>
            <w:pPr>
              <w:spacing w:after="0"/>
              <w:rPr>
                <w:sz w:val="20"/>
                <w:szCs w:val="20"/>
                <w:color w:val="auto"/>
              </w:rPr>
            </w:pPr>
            <w:r>
              <w:rPr>
                <w:rFonts w:ascii="Arial" w:cs="Arial" w:eastAsia="Arial" w:hAnsi="Arial"/>
                <w:sz w:val="17"/>
                <w:szCs w:val="17"/>
                <w:b w:val="1"/>
                <w:bCs w:val="1"/>
                <w:color w:val="auto"/>
              </w:rPr>
              <w:t>Shawn Henry</w:t>
            </w:r>
          </w:p>
        </w:tc>
        <w:tc>
          <w:tcPr>
            <w:tcW w:w="1620" w:type="dxa"/>
            <w:vAlign w:val="bottom"/>
          </w:tcPr>
          <w:p>
            <w:pPr>
              <w:ind w:left="180"/>
              <w:spacing w:after="0"/>
              <w:rPr>
                <w:sz w:val="20"/>
                <w:szCs w:val="20"/>
                <w:color w:val="auto"/>
              </w:rPr>
            </w:pPr>
            <w:r>
              <w:rPr>
                <w:rFonts w:ascii="Arial" w:cs="Arial" w:eastAsia="Arial" w:hAnsi="Arial"/>
                <w:sz w:val="17"/>
                <w:szCs w:val="17"/>
                <w:color w:val="auto"/>
                <w:w w:val="97"/>
              </w:rPr>
              <w:t xml:space="preserve">Cash severance </w:t>
            </w:r>
            <w:r>
              <w:rPr>
                <w:rFonts w:ascii="Arial" w:cs="Arial" w:eastAsia="Arial" w:hAnsi="Arial"/>
                <w:sz w:val="22"/>
                <w:szCs w:val="22"/>
                <w:color w:val="auto"/>
                <w:w w:val="97"/>
                <w:vertAlign w:val="superscript"/>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145415</wp:posOffset>
            </wp:positionV>
            <wp:extent cx="1195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1,650,000 </w:t>
            </w:r>
            <w:r>
              <w:rPr>
                <w:rFonts w:ascii="Arial" w:cs="Arial" w:eastAsia="Arial" w:hAnsi="Arial"/>
                <w:sz w:val="22"/>
                <w:szCs w:val="22"/>
                <w:color w:val="auto"/>
                <w:vertAlign w:val="superscript"/>
              </w:rPr>
              <w:t>(1)</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273"/>
              <w:spacing w:after="0"/>
              <w:rPr>
                <w:sz w:val="20"/>
                <w:szCs w:val="20"/>
                <w:color w:val="auto"/>
              </w:rPr>
            </w:pPr>
            <w:r>
              <w:rPr>
                <w:rFonts w:ascii="Arial" w:cs="Arial" w:eastAsia="Arial" w:hAnsi="Arial"/>
                <w:sz w:val="17"/>
                <w:szCs w:val="17"/>
                <w:color w:val="auto"/>
              </w:rPr>
              <w:t>3,877,500 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5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99,955,237</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294,678,447</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67"/>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52,971</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52,971</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5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7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175,000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175,000</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485"/>
        </w:trPr>
        <w:tc>
          <w:tcPr>
            <w:tcW w:w="30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34"/>
                <w:szCs w:val="34"/>
                <w:color w:val="auto"/>
                <w:vertAlign w:val="superscript"/>
              </w:rPr>
              <w:t>$</w:t>
            </w:r>
          </w:p>
        </w:tc>
        <w:tc>
          <w:tcPr>
            <w:tcW w:w="1200" w:type="dxa"/>
            <w:vAlign w:val="bottom"/>
          </w:tcPr>
          <w:p>
            <w:pPr>
              <w:jc w:val="right"/>
              <w:ind w:right="113"/>
              <w:spacing w:after="0"/>
              <w:rPr>
                <w:sz w:val="20"/>
                <w:szCs w:val="20"/>
                <w:color w:val="auto"/>
              </w:rPr>
            </w:pPr>
            <w:r>
              <w:rPr>
                <w:rFonts w:ascii="Arial" w:cs="Arial" w:eastAsia="Arial" w:hAnsi="Arial"/>
                <w:sz w:val="17"/>
                <w:szCs w:val="17"/>
                <w:color w:val="auto"/>
              </w:rPr>
              <w:t>200,000</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34"/>
                <w:szCs w:val="34"/>
                <w:color w:val="auto"/>
                <w:vertAlign w:val="superscript"/>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200,000</w:t>
            </w:r>
          </w:p>
        </w:tc>
        <w:tc>
          <w:tcPr>
            <w:tcW w:w="50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00" w:type="dxa"/>
            <w:vAlign w:val="bottom"/>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34"/>
                <w:szCs w:val="34"/>
                <w:color w:val="auto"/>
                <w:vertAlign w:val="superscript"/>
              </w:rPr>
              <w:t>-</w:t>
            </w:r>
          </w:p>
        </w:tc>
        <w:tc>
          <w:tcPr>
            <w:tcW w:w="420" w:type="dxa"/>
            <w:vAlign w:val="bottom"/>
          </w:tcPr>
          <w:p>
            <w:pPr>
              <w:ind w:left="38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-657860</wp:posOffset>
            </wp:positionV>
            <wp:extent cx="6231890" cy="157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31890" cy="157480"/>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-326390</wp:posOffset>
            </wp:positionV>
            <wp:extent cx="6231890" cy="2076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31890" cy="20764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5240" w:space="240"/>
            <w:col w:w="5120"/>
          </w:cols>
          <w:pgMar w:left="760" w:top="94" w:right="539" w:bottom="1440" w:gutter="0" w:footer="0" w:header="0"/>
          <w:type w:val="continuous"/>
        </w:sectPr>
      </w:pPr>
    </w:p>
    <w:p>
      <w:pPr>
        <w:ind w:left="1140" w:hanging="347"/>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 lump-sum cash severance payment of 1.5 times Mr. Kurtz’s annual base salary as of January 31, 2026.</w:t>
      </w:r>
    </w:p>
    <w:p>
      <w:pPr>
        <w:spacing w:after="0" w:line="77" w:lineRule="exact"/>
        <w:rPr>
          <w:rFonts w:ascii="Arial" w:cs="Arial" w:eastAsia="Arial" w:hAnsi="Arial"/>
          <w:sz w:val="16"/>
          <w:szCs w:val="16"/>
          <w:color w:val="auto"/>
        </w:rPr>
      </w:pPr>
    </w:p>
    <w:p>
      <w:pPr>
        <w:ind w:left="1140" w:right="1040" w:hanging="347"/>
        <w:spacing w:after="0" w:line="284" w:lineRule="auto"/>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 lump-sum cash severance payment of 1.5 times Mr. Kurtz’s annual base salary and annual target bonus as of January 31, 2026.</w:t>
      </w:r>
    </w:p>
    <w:p>
      <w:pPr>
        <w:spacing w:after="0" w:line="21" w:lineRule="exact"/>
        <w:rPr>
          <w:rFonts w:ascii="Arial" w:cs="Arial" w:eastAsia="Arial" w:hAnsi="Arial"/>
          <w:sz w:val="16"/>
          <w:szCs w:val="16"/>
          <w:color w:val="auto"/>
        </w:rPr>
      </w:pPr>
    </w:p>
    <w:p>
      <w:pPr>
        <w:ind w:left="1140" w:right="1020" w:hanging="347"/>
        <w:spacing w:after="0" w:line="274" w:lineRule="auto"/>
        <w:tabs>
          <w:tab w:leader="none" w:pos="11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Mr. Kurtz holds unvested restricted stock unit awards and performance-based stock units covering 667,592 shares of our common stock, in each case, which were outstanding as of January 31, 2026 and accelerate in full or in part pursuant to the terms of the corresponding award agreements granted to Mr. Kurtz and Mr. Kurtz’s Change in Control and Severance Agreement. For the TSR PSUs granted to Mr. Kurtz in December 2025, the amounts shown assume achievement of target performance as of January 31, 2026. Actual payouts, if any, will be based on the Company’s relative total stockholder return performance through the applicable measurement date and may be higher or lower than the amounts presented.</w:t>
      </w:r>
    </w:p>
    <w:p>
      <w:pPr>
        <w:spacing w:after="0" w:line="33" w:lineRule="exact"/>
        <w:rPr>
          <w:rFonts w:ascii="Arial" w:cs="Arial" w:eastAsia="Arial" w:hAnsi="Arial"/>
          <w:sz w:val="15"/>
          <w:szCs w:val="15"/>
          <w:color w:val="auto"/>
        </w:rPr>
      </w:pPr>
    </w:p>
    <w:p>
      <w:pPr>
        <w:ind w:left="1140" w:hanging="347"/>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the cost of 18 monthly COBRA premiums.</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Represents a lump-sum cash severance payment of three months of Mr. Podbere’s base salary as of January 31, 2026.</w:t>
      </w:r>
    </w:p>
    <w:p>
      <w:pPr>
        <w:spacing w:after="0" w:line="88" w:lineRule="exact"/>
        <w:rPr>
          <w:rFonts w:ascii="Arial" w:cs="Arial" w:eastAsia="Arial" w:hAnsi="Arial"/>
          <w:sz w:val="15"/>
          <w:szCs w:val="15"/>
          <w:color w:val="auto"/>
        </w:rPr>
      </w:pPr>
    </w:p>
    <w:p>
      <w:pPr>
        <w:ind w:left="1140" w:hanging="347"/>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a lump-sum cash severance payment of four months of Mr. Henry’s base salary as of January 31, 2026.</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Mr. Kurtz</w:t>
      </w:r>
    </w:p>
    <w:p>
      <w:pPr>
        <w:spacing w:after="0" w:line="118" w:lineRule="exact"/>
        <w:rPr>
          <w:sz w:val="20"/>
          <w:szCs w:val="20"/>
          <w:color w:val="auto"/>
        </w:rPr>
      </w:pPr>
    </w:p>
    <w:p>
      <w:pPr>
        <w:ind w:left="800" w:right="1020"/>
        <w:spacing w:after="0" w:line="247" w:lineRule="auto"/>
        <w:rPr>
          <w:sz w:val="20"/>
          <w:szCs w:val="20"/>
          <w:color w:val="auto"/>
        </w:rPr>
      </w:pPr>
      <w:r>
        <w:rPr>
          <w:rFonts w:ascii="Arial" w:cs="Arial" w:eastAsia="Arial" w:hAnsi="Arial"/>
          <w:sz w:val="17"/>
          <w:szCs w:val="17"/>
          <w:color w:val="auto"/>
        </w:rPr>
        <w:t>Pursuant to Mr. Kurtz’s Change in Control and Severance Agreement, if Mr. Kurtz’s employment is terminated (1) by us without “cause” (as​ defined in the Change in Control and Severance Agreement), other than due to death or disability, or (2) by Mr. Kurtz for “good reason” (as​ defined in the Change in Control and Severance Agreement), and Mr. Kurtz executes a release of claims that becomes effective and irrevocable, Mr. Kurtz will be entitled to (i) a lump sum amount equal to 1.5 times his then-current base salary, (ii) a lump sum amount equal to the</w:t>
      </w:r>
    </w:p>
    <w:p>
      <w:pPr>
        <w:spacing w:after="0" w:line="3" w:lineRule="exact"/>
        <w:rPr>
          <w:sz w:val="20"/>
          <w:szCs w:val="20"/>
          <w:color w:val="auto"/>
        </w:rPr>
      </w:pPr>
    </w:p>
    <w:p>
      <w:pPr>
        <w:ind w:left="800" w:right="1060"/>
        <w:spacing w:after="0" w:line="251" w:lineRule="auto"/>
        <w:rPr>
          <w:sz w:val="20"/>
          <w:szCs w:val="20"/>
          <w:color w:val="auto"/>
        </w:rPr>
      </w:pPr>
      <w:r>
        <w:rPr>
          <w:rFonts w:ascii="Arial" w:cs="Arial" w:eastAsia="Arial" w:hAnsi="Arial"/>
          <w:sz w:val="17"/>
          <w:szCs w:val="17"/>
          <w:color w:val="auto"/>
        </w:rPr>
        <w:t>“applicable percentage” of the cost of 18 monthly COBRA premiums for the level of coverage that Mr. Kurtz had as of the date of termination (with the “applicable percentage” being the percentage of Mr. Kurtz’s health care premium costs covered by us as of the date of termination) (the “COBRA Payment”), (iii) any earned but unpaid bonus in respect of the most recent bonus performance period ending prior to such termination, and (iv) unless otherwise set forth in an award agreement, accelerated vesting of the portion of Mr. Kurtz’s then-outstanding equity awards that would have vested during the 12-month period immediately following the date of termination (with vesting in</w:t>
      </w:r>
    </w:p>
    <w:p>
      <w:pPr>
        <w:spacing w:after="0" w:line="385"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600"/>
          </w:cols>
          <w:pgMar w:left="760" w:top="94" w:right="53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980"/>
        <w:spacing w:after="0" w:line="268" w:lineRule="auto"/>
        <w:rPr>
          <w:sz w:val="20"/>
          <w:szCs w:val="20"/>
          <w:color w:val="auto"/>
        </w:rPr>
      </w:pPr>
      <w:r>
        <w:rPr>
          <w:rFonts w:ascii="Arial" w:cs="Arial" w:eastAsia="Arial" w:hAnsi="Arial"/>
          <w:sz w:val="17"/>
          <w:szCs w:val="17"/>
          <w:color w:val="auto"/>
        </w:rPr>
        <w:t>respect of any awards subject to performance conditions based on actual performance as determined by the Compensation Committee). In the event of Mr. Kurtz’s termination by us without “cause” or by Mr. Kurtz for “good reason” within the three-month period prior to or 24-month period following a change in control of the Company, Mr. Kurtz will be entitled to, subject to his execution of the release, (i) a lump sum amount equal to 1.5 times his then-current base salary, (ii) a lump sum amount equal to 1.5 times Mr. Kurtz’s annual target bonus for the bonus period during which his employment terminates, pro-rated for the number of days during such performance period during which Mr. Kurtz was employed, (iii) the COBRA Payment, (iv) any earned but unpaid bonus in respect of the most recent bonus performance period ending prior to such termination and (v) unless otherwise set forth in an award agreement (including the award agreement with respect to Mr. Kurtz’s multi-year PSU award, the terms of which are described above under “Fiscal 2022 Multi-Year Awards,” and the award agreement with respect to</w:t>
      </w:r>
    </w:p>
    <w:p>
      <w:pPr>
        <w:spacing w:after="0" w:line="3" w:lineRule="exact"/>
        <w:rPr>
          <w:sz w:val="20"/>
          <w:szCs w:val="20"/>
          <w:color w:val="auto"/>
        </w:rPr>
      </w:pPr>
    </w:p>
    <w:p>
      <w:pPr>
        <w:ind w:left="800" w:right="1440"/>
        <w:spacing w:after="0" w:line="295" w:lineRule="auto"/>
        <w:rPr>
          <w:sz w:val="20"/>
          <w:szCs w:val="20"/>
          <w:color w:val="auto"/>
        </w:rPr>
      </w:pPr>
      <w:r>
        <w:rPr>
          <w:rFonts w:ascii="Arial" w:cs="Arial" w:eastAsia="Arial" w:hAnsi="Arial"/>
          <w:sz w:val="17"/>
          <w:szCs w:val="17"/>
          <w:color w:val="auto"/>
        </w:rPr>
        <w:t>Mr. Kurtz’s TSR PSU award, the terms of which are described above under “TSR PSUs”), full vesting of all of Mr. Kurtz’s then-outstanding equity awards (with performance awards deemed earned at target).</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Mr. Podbere</w:t>
      </w:r>
    </w:p>
    <w:p>
      <w:pPr>
        <w:spacing w:after="0" w:line="118" w:lineRule="exact"/>
        <w:rPr>
          <w:sz w:val="20"/>
          <w:szCs w:val="20"/>
          <w:color w:val="auto"/>
        </w:rPr>
      </w:pPr>
    </w:p>
    <w:p>
      <w:pPr>
        <w:ind w:left="800" w:right="1060"/>
        <w:spacing w:after="0" w:line="279" w:lineRule="auto"/>
        <w:rPr>
          <w:sz w:val="20"/>
          <w:szCs w:val="20"/>
          <w:color w:val="auto"/>
        </w:rPr>
      </w:pPr>
      <w:r>
        <w:rPr>
          <w:rFonts w:ascii="Arial" w:cs="Arial" w:eastAsia="Arial" w:hAnsi="Arial"/>
          <w:sz w:val="17"/>
          <w:szCs w:val="17"/>
          <w:color w:val="auto"/>
        </w:rPr>
        <w:t>Pursuant to Mr. Podbere’s employment letter dated as of August 10, 2015, if Mr. Podbere is terminated without “cause” (as​ defined in his employment letter) or he terminates his employment for “good reason” (as​ defined in his employment letter), Mr. Podbere will be entitled to receive three months’ base salary as severance and, if the termination occurs within 12 months after a change in control of the Company, Mr. Podbere will also receive full vesting of any unvested options, in each case subject to his execution and non-revocation of a release of claims.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Mr. Henry</w:t>
      </w:r>
    </w:p>
    <w:p>
      <w:pPr>
        <w:spacing w:after="0" w:line="118" w:lineRule="exact"/>
        <w:rPr>
          <w:sz w:val="20"/>
          <w:szCs w:val="20"/>
          <w:color w:val="auto"/>
        </w:rPr>
      </w:pPr>
    </w:p>
    <w:p>
      <w:pPr>
        <w:ind w:left="800" w:right="900"/>
        <w:spacing w:after="0" w:line="279" w:lineRule="auto"/>
        <w:rPr>
          <w:sz w:val="20"/>
          <w:szCs w:val="20"/>
          <w:color w:val="auto"/>
        </w:rPr>
      </w:pPr>
      <w:r>
        <w:rPr>
          <w:rFonts w:ascii="Arial" w:cs="Arial" w:eastAsia="Arial" w:hAnsi="Arial"/>
          <w:sz w:val="17"/>
          <w:szCs w:val="17"/>
          <w:color w:val="auto"/>
        </w:rPr>
        <w:t>Pursuant to Mr. Henry’s employment letter dated as of March 4, 2012, if Mr. Henry is terminated without cause or he terminates his employment for good reason, Mr. Henry will be entitled to receive four months’ base salary as severance and, if the termination occurs within 12 months after a change in control, Mr. Henry will also be entitled to receive full vesting of any unvested options, in each case subject to his execution and non-revocation of a release of claims.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Pay versus Performance</w:t>
      </w:r>
    </w:p>
    <w:p>
      <w:pPr>
        <w:spacing w:after="0" w:line="122" w:lineRule="exact"/>
        <w:rPr>
          <w:sz w:val="20"/>
          <w:szCs w:val="20"/>
          <w:color w:val="auto"/>
        </w:rPr>
      </w:pPr>
    </w:p>
    <w:p>
      <w:pPr>
        <w:ind w:left="800" w:right="940"/>
        <w:spacing w:after="0" w:line="275" w:lineRule="auto"/>
        <w:rPr>
          <w:sz w:val="20"/>
          <w:szCs w:val="20"/>
          <w:color w:val="auto"/>
        </w:rPr>
      </w:pPr>
      <w:r>
        <w:rPr>
          <w:rFonts w:ascii="Arial" w:cs="Arial" w:eastAsia="Arial" w:hAnsi="Arial"/>
          <w:sz w:val="17"/>
          <w:szCs w:val="17"/>
          <w:color w:val="auto"/>
        </w:rPr>
        <w:t>The following table sets forth the compensation for our Principal Executive Officer (the “PEO”) and the average compensation for our other named executive officers, both as reported in the Summary Compensation Table and with certain adjustments to reflect the “compensation actually paid” to such individuals, as defined under SEC rules, for each of fiscal 2026, fiscal 2025, fiscal 2024, fiscal 2023 and fiscal 2022. The table also provides information on our cumulative TSR, the cumulative TSR of our peer group, net income and 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6619240</wp:posOffset>
            </wp:positionH>
            <wp:positionV relativeFrom="paragraph">
              <wp:posOffset>137795</wp:posOffset>
            </wp:positionV>
            <wp:extent cx="8255" cy="16262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162623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137795</wp:posOffset>
            </wp:positionV>
            <wp:extent cx="8255" cy="16262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6262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137795</wp:posOffset>
            </wp:positionV>
            <wp:extent cx="8255" cy="16262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62623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137795</wp:posOffset>
            </wp:positionV>
            <wp:extent cx="8255" cy="16262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626235"/>
                    </a:xfrm>
                    <a:prstGeom prst="rect">
                      <a:avLst/>
                    </a:prstGeom>
                    <a:noFill/>
                  </pic:spPr>
                </pic:pic>
              </a:graphicData>
            </a:graphic>
          </wp:anchor>
        </w:drawing>
      </w:r>
    </w:p>
    <w:p>
      <w:pPr>
        <w:spacing w:after="0" w:line="177" w:lineRule="exact"/>
        <w:rPr>
          <w:sz w:val="20"/>
          <w:szCs w:val="20"/>
          <w:color w:val="auto"/>
        </w:rPr>
      </w:pPr>
    </w:p>
    <w:tbl>
      <w:tblPr>
        <w:tblLayout w:type="fixed"/>
        <w:tblInd w:w="810" w:type="dxa"/>
        <w:tblCellMar>
          <w:top w:w="0" w:type="dxa"/>
          <w:left w:w="0" w:type="dxa"/>
          <w:bottom w:w="0" w:type="dxa"/>
          <w:right w:w="0" w:type="dxa"/>
        </w:tblCellMar>
      </w:tblPr>
      <w:tr>
        <w:trPr>
          <w:trHeight w:val="200"/>
        </w:trPr>
        <w:tc>
          <w:tcPr>
            <w:tcW w:w="640" w:type="dxa"/>
            <w:vAlign w:val="bottom"/>
            <w:tcBorders>
              <w:top w:val="single" w:sz="8" w:color="auto"/>
              <w:left w:val="single" w:sz="8" w:color="auto"/>
              <w:right w:val="single" w:sz="8" w:color="auto"/>
            </w:tcBorders>
            <w:shd w:val="clear" w:color="auto" w:fill="D6515D"/>
          </w:tcPr>
          <w:p>
            <w:pPr>
              <w:spacing w:after="0"/>
              <w:rPr>
                <w:sz w:val="17"/>
                <w:szCs w:val="17"/>
                <w:color w:val="auto"/>
              </w:rPr>
            </w:pPr>
          </w:p>
        </w:tc>
        <w:tc>
          <w:tcPr>
            <w:tcW w:w="120" w:type="dxa"/>
            <w:vAlign w:val="bottom"/>
            <w:tcBorders>
              <w:top w:val="single" w:sz="8" w:color="auto"/>
            </w:tcBorders>
            <w:shd w:val="clear" w:color="auto" w:fill="D6515D"/>
          </w:tcPr>
          <w:p>
            <w:pPr>
              <w:spacing w:after="0"/>
              <w:rPr>
                <w:sz w:val="17"/>
                <w:szCs w:val="17"/>
                <w:color w:val="auto"/>
              </w:rPr>
            </w:pPr>
          </w:p>
        </w:tc>
        <w:tc>
          <w:tcPr>
            <w:tcW w:w="1000" w:type="dxa"/>
            <w:vAlign w:val="bottom"/>
            <w:tcBorders>
              <w:top w:val="single" w:sz="8" w:color="auto"/>
              <w:right w:val="single" w:sz="8" w:color="auto"/>
            </w:tcBorders>
            <w:shd w:val="clear" w:color="auto" w:fill="D6515D"/>
          </w:tcPr>
          <w:p>
            <w:pPr>
              <w:spacing w:after="0"/>
              <w:rPr>
                <w:sz w:val="17"/>
                <w:szCs w:val="17"/>
                <w:color w:val="auto"/>
              </w:rPr>
            </w:pPr>
          </w:p>
        </w:tc>
        <w:tc>
          <w:tcPr>
            <w:tcW w:w="320" w:type="dxa"/>
            <w:vAlign w:val="bottom"/>
            <w:tcBorders>
              <w:top w:val="single" w:sz="8" w:color="auto"/>
            </w:tcBorders>
            <w:shd w:val="clear" w:color="auto" w:fill="D6515D"/>
          </w:tcPr>
          <w:p>
            <w:pPr>
              <w:spacing w:after="0"/>
              <w:rPr>
                <w:sz w:val="17"/>
                <w:szCs w:val="17"/>
                <w:color w:val="auto"/>
              </w:rPr>
            </w:pPr>
          </w:p>
        </w:tc>
        <w:tc>
          <w:tcPr>
            <w:tcW w:w="1220" w:type="dxa"/>
            <w:vAlign w:val="bottom"/>
            <w:tcBorders>
              <w:top w:val="single" w:sz="8" w:color="auto"/>
            </w:tcBorders>
            <w:shd w:val="clear" w:color="auto" w:fill="D6515D"/>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shd w:val="clear" w:color="auto" w:fill="D6515D"/>
          </w:tcPr>
          <w:p>
            <w:pPr>
              <w:spacing w:after="0"/>
              <w:rPr>
                <w:sz w:val="17"/>
                <w:szCs w:val="17"/>
                <w:color w:val="auto"/>
              </w:rPr>
            </w:pPr>
          </w:p>
        </w:tc>
        <w:tc>
          <w:tcPr>
            <w:tcW w:w="900" w:type="dxa"/>
            <w:vAlign w:val="bottom"/>
            <w:tcBorders>
              <w:top w:val="single" w:sz="8" w:color="auto"/>
              <w:right w:val="single" w:sz="8" w:color="auto"/>
            </w:tcBorders>
            <w:vMerge w:val="restart"/>
            <w:shd w:val="clear" w:color="auto" w:fill="D6515D"/>
          </w:tcPr>
          <w:p>
            <w:pPr>
              <w:jc w:val="center"/>
              <w:ind w:right="43"/>
              <w:spacing w:after="0"/>
              <w:rPr>
                <w:sz w:val="20"/>
                <w:szCs w:val="20"/>
                <w:color w:val="auto"/>
              </w:rPr>
            </w:pPr>
            <w:r>
              <w:rPr>
                <w:rFonts w:ascii="Arial" w:cs="Arial" w:eastAsia="Arial" w:hAnsi="Arial"/>
                <w:sz w:val="14"/>
                <w:szCs w:val="14"/>
                <w:b w:val="1"/>
                <w:bCs w:val="1"/>
                <w:color w:val="FFFFFF"/>
                <w:w w:val="97"/>
              </w:rPr>
              <w:t>Average</w:t>
            </w:r>
          </w:p>
        </w:tc>
        <w:tc>
          <w:tcPr>
            <w:tcW w:w="320" w:type="dxa"/>
            <w:vAlign w:val="bottom"/>
            <w:tcBorders>
              <w:top w:val="single" w:sz="8" w:color="auto"/>
            </w:tcBorders>
            <w:shd w:val="clear" w:color="auto" w:fill="D6515D"/>
          </w:tcPr>
          <w:p>
            <w:pPr>
              <w:spacing w:after="0"/>
              <w:rPr>
                <w:sz w:val="17"/>
                <w:szCs w:val="17"/>
                <w:color w:val="auto"/>
              </w:rPr>
            </w:pPr>
          </w:p>
        </w:tc>
        <w:tc>
          <w:tcPr>
            <w:tcW w:w="1060" w:type="dxa"/>
            <w:vAlign w:val="bottom"/>
            <w:tcBorders>
              <w:top w:val="single" w:sz="8" w:color="auto"/>
            </w:tcBorders>
            <w:shd w:val="clear" w:color="auto" w:fill="D6515D"/>
          </w:tcPr>
          <w:p>
            <w:pPr>
              <w:spacing w:after="0"/>
              <w:rPr>
                <w:sz w:val="17"/>
                <w:szCs w:val="17"/>
                <w:color w:val="auto"/>
              </w:rPr>
            </w:pPr>
          </w:p>
        </w:tc>
        <w:tc>
          <w:tcPr>
            <w:tcW w:w="80" w:type="dxa"/>
            <w:vAlign w:val="bottom"/>
            <w:tcBorders>
              <w:top w:val="single" w:sz="8" w:color="auto"/>
              <w:right w:val="single" w:sz="8" w:color="D6515D"/>
            </w:tcBorders>
          </w:tcPr>
          <w:p>
            <w:pPr>
              <w:spacing w:after="0"/>
              <w:rPr>
                <w:sz w:val="17"/>
                <w:szCs w:val="17"/>
                <w:color w:val="auto"/>
              </w:rPr>
            </w:pPr>
          </w:p>
        </w:tc>
        <w:tc>
          <w:tcPr>
            <w:tcW w:w="1880" w:type="dxa"/>
            <w:vAlign w:val="bottom"/>
            <w:tcBorders>
              <w:top w:val="single" w:sz="8" w:color="auto"/>
              <w:right w:val="single" w:sz="8" w:color="D6515D"/>
            </w:tcBorders>
            <w:gridSpan w:val="5"/>
            <w:shd w:val="clear" w:color="auto" w:fill="D6515D"/>
          </w:tcPr>
          <w:p>
            <w:pPr>
              <w:jc w:val="center"/>
              <w:spacing w:after="0"/>
              <w:rPr>
                <w:sz w:val="20"/>
                <w:szCs w:val="20"/>
                <w:color w:val="auto"/>
              </w:rPr>
            </w:pPr>
            <w:r>
              <w:rPr>
                <w:rFonts w:ascii="Arial" w:cs="Arial" w:eastAsia="Arial" w:hAnsi="Arial"/>
                <w:sz w:val="14"/>
                <w:szCs w:val="14"/>
                <w:b w:val="1"/>
                <w:bCs w:val="1"/>
                <w:color w:val="FFFFFF"/>
                <w:w w:val="99"/>
              </w:rPr>
              <w:t>Value of Initial Fixed $100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D6515D"/>
          </w:tcPr>
          <w:p>
            <w:pPr>
              <w:spacing w:after="0"/>
              <w:rPr>
                <w:sz w:val="17"/>
                <w:szCs w:val="17"/>
                <w:color w:val="auto"/>
              </w:rPr>
            </w:pPr>
          </w:p>
        </w:tc>
        <w:tc>
          <w:tcPr>
            <w:tcW w:w="100" w:type="dxa"/>
            <w:vAlign w:val="bottom"/>
            <w:tcBorders>
              <w:top w:val="single" w:sz="8" w:color="auto"/>
            </w:tcBorders>
            <w:shd w:val="clear" w:color="auto" w:fill="D6515D"/>
          </w:tcPr>
          <w:p>
            <w:pPr>
              <w:spacing w:after="0"/>
              <w:rPr>
                <w:sz w:val="17"/>
                <w:szCs w:val="17"/>
                <w:color w:val="auto"/>
              </w:rPr>
            </w:pPr>
          </w:p>
        </w:tc>
        <w:tc>
          <w:tcPr>
            <w:tcW w:w="800" w:type="dxa"/>
            <w:vAlign w:val="bottom"/>
            <w:tcBorders>
              <w:top w:val="single" w:sz="8" w:color="auto"/>
              <w:right w:val="single" w:sz="8" w:color="auto"/>
            </w:tcBorders>
            <w:shd w:val="clear" w:color="auto" w:fill="D6515D"/>
          </w:tcPr>
          <w:p>
            <w:pPr>
              <w:spacing w:after="0"/>
              <w:rPr>
                <w:sz w:val="17"/>
                <w:szCs w:val="17"/>
                <w:color w:val="auto"/>
              </w:rPr>
            </w:pPr>
          </w:p>
        </w:tc>
        <w:tc>
          <w:tcPr>
            <w:tcW w:w="140" w:type="dxa"/>
            <w:vAlign w:val="bottom"/>
            <w:tcBorders>
              <w:top w:val="single" w:sz="8" w:color="auto"/>
            </w:tcBorders>
            <w:shd w:val="clear" w:color="auto" w:fill="D6515D"/>
          </w:tcPr>
          <w:p>
            <w:pPr>
              <w:spacing w:after="0"/>
              <w:rPr>
                <w:sz w:val="17"/>
                <w:szCs w:val="17"/>
                <w:color w:val="auto"/>
              </w:rPr>
            </w:pPr>
          </w:p>
        </w:tc>
        <w:tc>
          <w:tcPr>
            <w:tcW w:w="820" w:type="dxa"/>
            <w:vAlign w:val="bottom"/>
            <w:tcBorders>
              <w:top w:val="single" w:sz="8" w:color="auto"/>
            </w:tcBorders>
            <w:shd w:val="clear" w:color="auto" w:fill="D6515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640" w:type="dxa"/>
            <w:vAlign w:val="bottom"/>
            <w:tcBorders>
              <w:left w:val="single" w:sz="8" w:color="auto"/>
              <w:right w:val="single" w:sz="8" w:color="auto"/>
            </w:tcBorders>
            <w:shd w:val="clear" w:color="auto" w:fill="D6515D"/>
          </w:tcPr>
          <w:p>
            <w:pPr>
              <w:spacing w:after="0"/>
              <w:rPr>
                <w:sz w:val="5"/>
                <w:szCs w:val="5"/>
                <w:color w:val="auto"/>
              </w:rPr>
            </w:pPr>
          </w:p>
        </w:tc>
        <w:tc>
          <w:tcPr>
            <w:tcW w:w="120" w:type="dxa"/>
            <w:vAlign w:val="bottom"/>
            <w:shd w:val="clear" w:color="auto" w:fill="D6515D"/>
          </w:tcPr>
          <w:p>
            <w:pPr>
              <w:spacing w:after="0"/>
              <w:rPr>
                <w:sz w:val="5"/>
                <w:szCs w:val="5"/>
                <w:color w:val="auto"/>
              </w:rPr>
            </w:pPr>
          </w:p>
        </w:tc>
        <w:tc>
          <w:tcPr>
            <w:tcW w:w="1000" w:type="dxa"/>
            <w:vAlign w:val="bottom"/>
            <w:tcBorders>
              <w:right w:val="single" w:sz="8" w:color="auto"/>
            </w:tcBorders>
            <w:shd w:val="clear" w:color="auto" w:fill="D6515D"/>
          </w:tcPr>
          <w:p>
            <w:pPr>
              <w:spacing w:after="0"/>
              <w:rPr>
                <w:sz w:val="5"/>
                <w:szCs w:val="5"/>
                <w:color w:val="auto"/>
              </w:rPr>
            </w:pPr>
          </w:p>
        </w:tc>
        <w:tc>
          <w:tcPr>
            <w:tcW w:w="320" w:type="dxa"/>
            <w:vAlign w:val="bottom"/>
            <w:shd w:val="clear" w:color="auto" w:fill="D6515D"/>
          </w:tcPr>
          <w:p>
            <w:pPr>
              <w:spacing w:after="0"/>
              <w:rPr>
                <w:sz w:val="5"/>
                <w:szCs w:val="5"/>
                <w:color w:val="auto"/>
              </w:rPr>
            </w:pPr>
          </w:p>
        </w:tc>
        <w:tc>
          <w:tcPr>
            <w:tcW w:w="1220" w:type="dxa"/>
            <w:vAlign w:val="bottom"/>
            <w:shd w:val="clear" w:color="auto" w:fill="D6515D"/>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D6515D"/>
          </w:tcPr>
          <w:p>
            <w:pPr>
              <w:spacing w:after="0"/>
              <w:rPr>
                <w:sz w:val="5"/>
                <w:szCs w:val="5"/>
                <w:color w:val="auto"/>
              </w:rPr>
            </w:pPr>
          </w:p>
        </w:tc>
        <w:tc>
          <w:tcPr>
            <w:tcW w:w="900" w:type="dxa"/>
            <w:vAlign w:val="bottom"/>
            <w:tcBorders>
              <w:right w:val="single" w:sz="8" w:color="auto"/>
            </w:tcBorders>
            <w:vMerge w:val="continue"/>
            <w:shd w:val="clear" w:color="auto" w:fill="D6515D"/>
          </w:tcPr>
          <w:p>
            <w:pPr>
              <w:spacing w:after="0"/>
              <w:rPr>
                <w:sz w:val="5"/>
                <w:szCs w:val="5"/>
                <w:color w:val="auto"/>
              </w:rPr>
            </w:pPr>
          </w:p>
        </w:tc>
        <w:tc>
          <w:tcPr>
            <w:tcW w:w="320" w:type="dxa"/>
            <w:vAlign w:val="bottom"/>
            <w:shd w:val="clear" w:color="auto" w:fill="D6515D"/>
          </w:tcPr>
          <w:p>
            <w:pPr>
              <w:spacing w:after="0"/>
              <w:rPr>
                <w:sz w:val="5"/>
                <w:szCs w:val="5"/>
                <w:color w:val="auto"/>
              </w:rPr>
            </w:pPr>
          </w:p>
        </w:tc>
        <w:tc>
          <w:tcPr>
            <w:tcW w:w="1060" w:type="dxa"/>
            <w:vAlign w:val="bottom"/>
            <w:shd w:val="clear" w:color="auto" w:fill="D6515D"/>
          </w:tcPr>
          <w:p>
            <w:pPr>
              <w:spacing w:after="0"/>
              <w:rPr>
                <w:sz w:val="5"/>
                <w:szCs w:val="5"/>
                <w:color w:val="auto"/>
              </w:rPr>
            </w:pPr>
          </w:p>
        </w:tc>
        <w:tc>
          <w:tcPr>
            <w:tcW w:w="80" w:type="dxa"/>
            <w:vAlign w:val="bottom"/>
            <w:tcBorders>
              <w:right w:val="single" w:sz="8" w:color="D6515D"/>
            </w:tcBorders>
          </w:tcPr>
          <w:p>
            <w:pPr>
              <w:spacing w:after="0"/>
              <w:rPr>
                <w:sz w:val="5"/>
                <w:szCs w:val="5"/>
                <w:color w:val="auto"/>
              </w:rPr>
            </w:pPr>
          </w:p>
        </w:tc>
        <w:tc>
          <w:tcPr>
            <w:tcW w:w="100" w:type="dxa"/>
            <w:vAlign w:val="bottom"/>
            <w:shd w:val="clear" w:color="auto" w:fill="D6515D"/>
          </w:tcPr>
          <w:p>
            <w:pPr>
              <w:spacing w:after="0"/>
              <w:rPr>
                <w:sz w:val="5"/>
                <w:szCs w:val="5"/>
                <w:color w:val="auto"/>
              </w:rPr>
            </w:pPr>
          </w:p>
        </w:tc>
        <w:tc>
          <w:tcPr>
            <w:tcW w:w="1780" w:type="dxa"/>
            <w:vAlign w:val="bottom"/>
            <w:tcBorders>
              <w:right w:val="single" w:sz="8" w:color="D6515D"/>
            </w:tcBorders>
            <w:gridSpan w:val="4"/>
            <w:vMerge w:val="restart"/>
            <w:shd w:val="clear" w:color="auto" w:fill="D6515D"/>
          </w:tcPr>
          <w:p>
            <w:pPr>
              <w:jc w:val="center"/>
              <w:ind w:right="88"/>
              <w:spacing w:after="0"/>
              <w:rPr>
                <w:sz w:val="20"/>
                <w:szCs w:val="20"/>
                <w:color w:val="auto"/>
              </w:rPr>
            </w:pPr>
            <w:r>
              <w:rPr>
                <w:rFonts w:ascii="Arial" w:cs="Arial" w:eastAsia="Arial" w:hAnsi="Arial"/>
                <w:sz w:val="14"/>
                <w:szCs w:val="14"/>
                <w:b w:val="1"/>
                <w:bCs w:val="1"/>
                <w:color w:val="FFFFFF"/>
              </w:rPr>
              <w:t>Investment Based on:</w:t>
            </w:r>
          </w:p>
        </w:tc>
        <w:tc>
          <w:tcPr>
            <w:tcW w:w="20" w:type="dxa"/>
            <w:vAlign w:val="bottom"/>
          </w:tcPr>
          <w:p>
            <w:pPr>
              <w:spacing w:after="0"/>
              <w:rPr>
                <w:sz w:val="5"/>
                <w:szCs w:val="5"/>
                <w:color w:val="auto"/>
              </w:rPr>
            </w:pPr>
          </w:p>
        </w:tc>
        <w:tc>
          <w:tcPr>
            <w:tcW w:w="80" w:type="dxa"/>
            <w:vAlign w:val="bottom"/>
            <w:shd w:val="clear" w:color="auto" w:fill="D6515D"/>
          </w:tcPr>
          <w:p>
            <w:pPr>
              <w:spacing w:after="0"/>
              <w:rPr>
                <w:sz w:val="5"/>
                <w:szCs w:val="5"/>
                <w:color w:val="auto"/>
              </w:rPr>
            </w:pPr>
          </w:p>
        </w:tc>
        <w:tc>
          <w:tcPr>
            <w:tcW w:w="100" w:type="dxa"/>
            <w:vAlign w:val="bottom"/>
            <w:shd w:val="clear" w:color="auto" w:fill="D6515D"/>
          </w:tcPr>
          <w:p>
            <w:pPr>
              <w:spacing w:after="0"/>
              <w:rPr>
                <w:sz w:val="5"/>
                <w:szCs w:val="5"/>
                <w:color w:val="auto"/>
              </w:rPr>
            </w:pPr>
          </w:p>
        </w:tc>
        <w:tc>
          <w:tcPr>
            <w:tcW w:w="800" w:type="dxa"/>
            <w:vAlign w:val="bottom"/>
            <w:tcBorders>
              <w:right w:val="single" w:sz="8" w:color="auto"/>
            </w:tcBorders>
            <w:shd w:val="clear" w:color="auto" w:fill="D6515D"/>
          </w:tcPr>
          <w:p>
            <w:pPr>
              <w:spacing w:after="0"/>
              <w:rPr>
                <w:sz w:val="5"/>
                <w:szCs w:val="5"/>
                <w:color w:val="auto"/>
              </w:rPr>
            </w:pPr>
          </w:p>
        </w:tc>
        <w:tc>
          <w:tcPr>
            <w:tcW w:w="140" w:type="dxa"/>
            <w:vAlign w:val="bottom"/>
            <w:shd w:val="clear" w:color="auto" w:fill="D6515D"/>
          </w:tcPr>
          <w:p>
            <w:pPr>
              <w:spacing w:after="0"/>
              <w:rPr>
                <w:sz w:val="5"/>
                <w:szCs w:val="5"/>
                <w:color w:val="auto"/>
              </w:rPr>
            </w:pPr>
          </w:p>
        </w:tc>
        <w:tc>
          <w:tcPr>
            <w:tcW w:w="820" w:type="dxa"/>
            <w:vAlign w:val="bottom"/>
            <w:shd w:val="clear" w:color="auto" w:fill="D6515D"/>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40" w:type="dxa"/>
            <w:vAlign w:val="bottom"/>
            <w:tcBorders>
              <w:left w:val="single" w:sz="8" w:color="auto"/>
              <w:bottom w:val="single" w:sz="8" w:color="D6515D"/>
              <w:right w:val="single" w:sz="8" w:color="auto"/>
            </w:tcBorders>
            <w:shd w:val="clear" w:color="auto" w:fill="D6515D"/>
          </w:tcPr>
          <w:p>
            <w:pPr>
              <w:spacing w:after="0"/>
              <w:rPr>
                <w:sz w:val="11"/>
                <w:szCs w:val="11"/>
                <w:color w:val="auto"/>
              </w:rPr>
            </w:pPr>
          </w:p>
        </w:tc>
        <w:tc>
          <w:tcPr>
            <w:tcW w:w="120" w:type="dxa"/>
            <w:vAlign w:val="bottom"/>
            <w:tcBorders>
              <w:bottom w:val="single" w:sz="8" w:color="D6515D"/>
            </w:tcBorders>
            <w:shd w:val="clear" w:color="auto" w:fill="D6515D"/>
          </w:tcPr>
          <w:p>
            <w:pPr>
              <w:spacing w:after="0"/>
              <w:rPr>
                <w:sz w:val="11"/>
                <w:szCs w:val="11"/>
                <w:color w:val="auto"/>
              </w:rPr>
            </w:pPr>
          </w:p>
        </w:tc>
        <w:tc>
          <w:tcPr>
            <w:tcW w:w="1000" w:type="dxa"/>
            <w:vAlign w:val="bottom"/>
            <w:tcBorders>
              <w:bottom w:val="single" w:sz="8" w:color="D6515D"/>
              <w:right w:val="single" w:sz="8" w:color="auto"/>
            </w:tcBorders>
            <w:shd w:val="clear" w:color="auto" w:fill="D6515D"/>
          </w:tcPr>
          <w:p>
            <w:pPr>
              <w:spacing w:after="0"/>
              <w:rPr>
                <w:sz w:val="11"/>
                <w:szCs w:val="11"/>
                <w:color w:val="auto"/>
              </w:rPr>
            </w:pPr>
          </w:p>
        </w:tc>
        <w:tc>
          <w:tcPr>
            <w:tcW w:w="320" w:type="dxa"/>
            <w:vAlign w:val="bottom"/>
            <w:tcBorders>
              <w:bottom w:val="single" w:sz="8" w:color="D6515D"/>
            </w:tcBorders>
            <w:shd w:val="clear" w:color="auto" w:fill="D6515D"/>
          </w:tcPr>
          <w:p>
            <w:pPr>
              <w:spacing w:after="0"/>
              <w:rPr>
                <w:sz w:val="11"/>
                <w:szCs w:val="11"/>
                <w:color w:val="auto"/>
              </w:rPr>
            </w:pPr>
          </w:p>
        </w:tc>
        <w:tc>
          <w:tcPr>
            <w:tcW w:w="1220" w:type="dxa"/>
            <w:vAlign w:val="bottom"/>
            <w:tcBorders>
              <w:bottom w:val="single" w:sz="8" w:color="D6515D"/>
            </w:tcBorders>
            <w:shd w:val="clear" w:color="auto" w:fill="D6515D"/>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D6515D"/>
            </w:tcBorders>
            <w:shd w:val="clear" w:color="auto" w:fill="D6515D"/>
          </w:tcPr>
          <w:p>
            <w:pPr>
              <w:spacing w:after="0"/>
              <w:rPr>
                <w:sz w:val="11"/>
                <w:szCs w:val="11"/>
                <w:color w:val="auto"/>
              </w:rPr>
            </w:pPr>
          </w:p>
        </w:tc>
        <w:tc>
          <w:tcPr>
            <w:tcW w:w="900" w:type="dxa"/>
            <w:vAlign w:val="bottom"/>
            <w:tcBorders>
              <w:bottom w:val="single" w:sz="8" w:color="D6515D"/>
              <w:right w:val="single" w:sz="8" w:color="auto"/>
            </w:tcBorders>
            <w:shd w:val="clear" w:color="auto" w:fill="D6515D"/>
          </w:tcPr>
          <w:p>
            <w:pPr>
              <w:jc w:val="center"/>
              <w:ind w:right="43"/>
              <w:spacing w:after="0" w:line="120" w:lineRule="exact"/>
              <w:rPr>
                <w:sz w:val="20"/>
                <w:szCs w:val="20"/>
                <w:color w:val="auto"/>
              </w:rPr>
            </w:pPr>
            <w:r>
              <w:rPr>
                <w:rFonts w:ascii="Arial" w:cs="Arial" w:eastAsia="Arial" w:hAnsi="Arial"/>
                <w:sz w:val="13"/>
                <w:szCs w:val="13"/>
                <w:b w:val="1"/>
                <w:bCs w:val="1"/>
                <w:color w:val="FFFFFF"/>
              </w:rPr>
              <w:t>Summary</w:t>
            </w:r>
          </w:p>
        </w:tc>
        <w:tc>
          <w:tcPr>
            <w:tcW w:w="320" w:type="dxa"/>
            <w:vAlign w:val="bottom"/>
            <w:tcBorders>
              <w:bottom w:val="single" w:sz="8" w:color="D6515D"/>
            </w:tcBorders>
            <w:shd w:val="clear" w:color="auto" w:fill="D6515D"/>
          </w:tcPr>
          <w:p>
            <w:pPr>
              <w:spacing w:after="0"/>
              <w:rPr>
                <w:sz w:val="11"/>
                <w:szCs w:val="11"/>
                <w:color w:val="auto"/>
              </w:rPr>
            </w:pPr>
          </w:p>
        </w:tc>
        <w:tc>
          <w:tcPr>
            <w:tcW w:w="1060" w:type="dxa"/>
            <w:vAlign w:val="bottom"/>
            <w:tcBorders>
              <w:bottom w:val="single" w:sz="8" w:color="D6515D"/>
            </w:tcBorders>
            <w:shd w:val="clear" w:color="auto" w:fill="D6515D"/>
          </w:tcPr>
          <w:p>
            <w:pPr>
              <w:spacing w:after="0"/>
              <w:rPr>
                <w:sz w:val="11"/>
                <w:szCs w:val="11"/>
                <w:color w:val="auto"/>
              </w:rPr>
            </w:pPr>
          </w:p>
        </w:tc>
        <w:tc>
          <w:tcPr>
            <w:tcW w:w="80" w:type="dxa"/>
            <w:vAlign w:val="bottom"/>
            <w:tcBorders>
              <w:bottom w:val="single" w:sz="8" w:color="auto"/>
              <w:right w:val="single" w:sz="8" w:color="D6515D"/>
            </w:tcBorders>
          </w:tcPr>
          <w:p>
            <w:pPr>
              <w:spacing w:after="0"/>
              <w:rPr>
                <w:sz w:val="11"/>
                <w:szCs w:val="11"/>
                <w:color w:val="auto"/>
              </w:rPr>
            </w:pPr>
          </w:p>
        </w:tc>
        <w:tc>
          <w:tcPr>
            <w:tcW w:w="100" w:type="dxa"/>
            <w:vAlign w:val="bottom"/>
            <w:tcBorders>
              <w:bottom w:val="single" w:sz="8" w:color="auto"/>
            </w:tcBorders>
            <w:shd w:val="clear" w:color="auto" w:fill="D6515D"/>
          </w:tcPr>
          <w:p>
            <w:pPr>
              <w:spacing w:after="0"/>
              <w:rPr>
                <w:sz w:val="11"/>
                <w:szCs w:val="11"/>
                <w:color w:val="auto"/>
              </w:rPr>
            </w:pPr>
          </w:p>
        </w:tc>
        <w:tc>
          <w:tcPr>
            <w:tcW w:w="1780" w:type="dxa"/>
            <w:vAlign w:val="bottom"/>
            <w:tcBorders>
              <w:bottom w:val="single" w:sz="8" w:color="auto"/>
              <w:right w:val="single" w:sz="8" w:color="D6515D"/>
            </w:tcBorders>
            <w:gridSpan w:val="4"/>
            <w:vMerge w:val="continue"/>
            <w:shd w:val="clear" w:color="auto" w:fill="D6515D"/>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D6515D"/>
            </w:tcBorders>
            <w:shd w:val="clear" w:color="auto" w:fill="D6515D"/>
          </w:tcPr>
          <w:p>
            <w:pPr>
              <w:spacing w:after="0"/>
              <w:rPr>
                <w:sz w:val="11"/>
                <w:szCs w:val="11"/>
                <w:color w:val="auto"/>
              </w:rPr>
            </w:pPr>
          </w:p>
        </w:tc>
        <w:tc>
          <w:tcPr>
            <w:tcW w:w="100" w:type="dxa"/>
            <w:vAlign w:val="bottom"/>
            <w:tcBorders>
              <w:bottom w:val="single" w:sz="8" w:color="D6515D"/>
            </w:tcBorders>
            <w:shd w:val="clear" w:color="auto" w:fill="D6515D"/>
          </w:tcPr>
          <w:p>
            <w:pPr>
              <w:spacing w:after="0"/>
              <w:rPr>
                <w:sz w:val="11"/>
                <w:szCs w:val="11"/>
                <w:color w:val="auto"/>
              </w:rPr>
            </w:pPr>
          </w:p>
        </w:tc>
        <w:tc>
          <w:tcPr>
            <w:tcW w:w="800" w:type="dxa"/>
            <w:vAlign w:val="bottom"/>
            <w:tcBorders>
              <w:bottom w:val="single" w:sz="8" w:color="D6515D"/>
              <w:right w:val="single" w:sz="8" w:color="auto"/>
            </w:tcBorders>
            <w:shd w:val="clear" w:color="auto" w:fill="D6515D"/>
          </w:tcPr>
          <w:p>
            <w:pPr>
              <w:spacing w:after="0"/>
              <w:rPr>
                <w:sz w:val="11"/>
                <w:szCs w:val="11"/>
                <w:color w:val="auto"/>
              </w:rPr>
            </w:pPr>
          </w:p>
        </w:tc>
        <w:tc>
          <w:tcPr>
            <w:tcW w:w="140" w:type="dxa"/>
            <w:vAlign w:val="bottom"/>
            <w:tcBorders>
              <w:bottom w:val="single" w:sz="8" w:color="D6515D"/>
            </w:tcBorders>
            <w:shd w:val="clear" w:color="auto" w:fill="D6515D"/>
          </w:tcPr>
          <w:p>
            <w:pPr>
              <w:spacing w:after="0"/>
              <w:rPr>
                <w:sz w:val="11"/>
                <w:szCs w:val="11"/>
                <w:color w:val="auto"/>
              </w:rPr>
            </w:pPr>
          </w:p>
        </w:tc>
        <w:tc>
          <w:tcPr>
            <w:tcW w:w="820" w:type="dxa"/>
            <w:vAlign w:val="bottom"/>
            <w:tcBorders>
              <w:bottom w:val="single" w:sz="8" w:color="D6515D"/>
            </w:tcBorders>
            <w:shd w:val="clear" w:color="auto" w:fill="D6515D"/>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0" w:type="dxa"/>
            <w:vAlign w:val="bottom"/>
            <w:tcBorders>
              <w:left w:val="single" w:sz="8" w:color="auto"/>
              <w:right w:val="single" w:sz="8" w:color="auto"/>
            </w:tcBorders>
            <w:shd w:val="clear" w:color="auto" w:fill="D6515D"/>
          </w:tcPr>
          <w:p>
            <w:pPr>
              <w:spacing w:after="0"/>
              <w:rPr>
                <w:sz w:val="14"/>
                <w:szCs w:val="14"/>
                <w:color w:val="auto"/>
              </w:rPr>
            </w:pPr>
          </w:p>
        </w:tc>
        <w:tc>
          <w:tcPr>
            <w:tcW w:w="120" w:type="dxa"/>
            <w:vAlign w:val="bottom"/>
            <w:shd w:val="clear" w:color="auto" w:fill="D6515D"/>
          </w:tcPr>
          <w:p>
            <w:pPr>
              <w:spacing w:after="0"/>
              <w:rPr>
                <w:sz w:val="14"/>
                <w:szCs w:val="14"/>
                <w:color w:val="auto"/>
              </w:rPr>
            </w:pPr>
          </w:p>
        </w:tc>
        <w:tc>
          <w:tcPr>
            <w:tcW w:w="1000" w:type="dxa"/>
            <w:vAlign w:val="bottom"/>
            <w:tcBorders>
              <w:right w:val="single" w:sz="8" w:color="auto"/>
            </w:tcBorders>
            <w:shd w:val="clear" w:color="auto" w:fill="D6515D"/>
          </w:tcPr>
          <w:p>
            <w:pPr>
              <w:jc w:val="center"/>
              <w:ind w:right="80"/>
              <w:spacing w:after="0"/>
              <w:rPr>
                <w:sz w:val="20"/>
                <w:szCs w:val="20"/>
                <w:color w:val="auto"/>
              </w:rPr>
            </w:pPr>
            <w:r>
              <w:rPr>
                <w:rFonts w:ascii="Arial" w:cs="Arial" w:eastAsia="Arial" w:hAnsi="Arial"/>
                <w:sz w:val="14"/>
                <w:szCs w:val="14"/>
                <w:b w:val="1"/>
                <w:bCs w:val="1"/>
                <w:color w:val="FFFFFF"/>
              </w:rPr>
              <w:t>Summary</w:t>
            </w:r>
          </w:p>
        </w:tc>
        <w:tc>
          <w:tcPr>
            <w:tcW w:w="320" w:type="dxa"/>
            <w:vAlign w:val="bottom"/>
            <w:shd w:val="clear" w:color="auto" w:fill="D6515D"/>
          </w:tcPr>
          <w:p>
            <w:pPr>
              <w:spacing w:after="0"/>
              <w:rPr>
                <w:sz w:val="14"/>
                <w:szCs w:val="14"/>
                <w:color w:val="auto"/>
              </w:rPr>
            </w:pPr>
          </w:p>
        </w:tc>
        <w:tc>
          <w:tcPr>
            <w:tcW w:w="1220" w:type="dxa"/>
            <w:vAlign w:val="bottom"/>
            <w:shd w:val="clear" w:color="auto" w:fill="D6515D"/>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gridSpan w:val="2"/>
            <w:shd w:val="clear" w:color="auto" w:fill="D6515D"/>
          </w:tcPr>
          <w:p>
            <w:pPr>
              <w:jc w:val="center"/>
              <w:spacing w:after="0"/>
              <w:rPr>
                <w:sz w:val="20"/>
                <w:szCs w:val="20"/>
                <w:color w:val="auto"/>
              </w:rPr>
            </w:pPr>
            <w:r>
              <w:rPr>
                <w:rFonts w:ascii="Arial" w:cs="Arial" w:eastAsia="Arial" w:hAnsi="Arial"/>
                <w:sz w:val="14"/>
                <w:szCs w:val="14"/>
                <w:b w:val="1"/>
                <w:bCs w:val="1"/>
                <w:color w:val="FFFFFF"/>
              </w:rPr>
              <w:t>Compensation</w:t>
            </w:r>
          </w:p>
        </w:tc>
        <w:tc>
          <w:tcPr>
            <w:tcW w:w="320" w:type="dxa"/>
            <w:vAlign w:val="bottom"/>
            <w:shd w:val="clear" w:color="auto" w:fill="D6515D"/>
          </w:tcPr>
          <w:p>
            <w:pPr>
              <w:spacing w:after="0"/>
              <w:rPr>
                <w:sz w:val="14"/>
                <w:szCs w:val="14"/>
                <w:color w:val="auto"/>
              </w:rPr>
            </w:pPr>
          </w:p>
        </w:tc>
        <w:tc>
          <w:tcPr>
            <w:tcW w:w="1060" w:type="dxa"/>
            <w:vAlign w:val="bottom"/>
            <w:shd w:val="clear" w:color="auto" w:fill="D6515D"/>
          </w:tcPr>
          <w:p>
            <w:pPr>
              <w:jc w:val="center"/>
              <w:ind w:right="242"/>
              <w:spacing w:after="0"/>
              <w:rPr>
                <w:sz w:val="20"/>
                <w:szCs w:val="20"/>
                <w:color w:val="auto"/>
              </w:rPr>
            </w:pPr>
            <w:r>
              <w:rPr>
                <w:rFonts w:ascii="Arial" w:cs="Arial" w:eastAsia="Arial" w:hAnsi="Arial"/>
                <w:sz w:val="14"/>
                <w:szCs w:val="14"/>
                <w:b w:val="1"/>
                <w:bCs w:val="1"/>
                <w:color w:val="FFFFFF"/>
                <w:w w:val="97"/>
              </w:rPr>
              <w:t>Average</w:t>
            </w:r>
          </w:p>
        </w:tc>
        <w:tc>
          <w:tcPr>
            <w:tcW w:w="80" w:type="dxa"/>
            <w:vAlign w:val="bottom"/>
            <w:tcBorders>
              <w:right w:val="single" w:sz="8" w:color="D6515D"/>
            </w:tcBorders>
          </w:tcPr>
          <w:p>
            <w:pPr>
              <w:spacing w:after="0"/>
              <w:rPr>
                <w:sz w:val="14"/>
                <w:szCs w:val="14"/>
                <w:color w:val="auto"/>
              </w:rPr>
            </w:pPr>
          </w:p>
        </w:tc>
        <w:tc>
          <w:tcPr>
            <w:tcW w:w="100" w:type="dxa"/>
            <w:vAlign w:val="bottom"/>
            <w:shd w:val="clear" w:color="auto" w:fill="D6515D"/>
          </w:tcPr>
          <w:p>
            <w:pPr>
              <w:spacing w:after="0"/>
              <w:rPr>
                <w:sz w:val="14"/>
                <w:szCs w:val="14"/>
                <w:color w:val="auto"/>
              </w:rPr>
            </w:pPr>
          </w:p>
        </w:tc>
        <w:tc>
          <w:tcPr>
            <w:tcW w:w="640" w:type="dxa"/>
            <w:vAlign w:val="bottom"/>
            <w:shd w:val="clear" w:color="auto" w:fill="D6515D"/>
          </w:tcPr>
          <w:p>
            <w:pPr>
              <w:jc w:val="center"/>
              <w:ind w:right="83"/>
              <w:spacing w:after="0"/>
              <w:rPr>
                <w:sz w:val="20"/>
                <w:szCs w:val="20"/>
                <w:color w:val="auto"/>
              </w:rPr>
            </w:pPr>
            <w:r>
              <w:rPr>
                <w:rFonts w:ascii="Arial" w:cs="Arial" w:eastAsia="Arial" w:hAnsi="Arial"/>
                <w:sz w:val="14"/>
                <w:szCs w:val="14"/>
                <w:b w:val="1"/>
                <w:bCs w:val="1"/>
                <w:color w:val="FFFFFF"/>
                <w:w w:val="95"/>
              </w:rPr>
              <w:t>Total</w:t>
            </w:r>
          </w:p>
        </w:tc>
        <w:tc>
          <w:tcPr>
            <w:tcW w:w="20" w:type="dxa"/>
            <w:vAlign w:val="bottom"/>
          </w:tcPr>
          <w:p>
            <w:pPr>
              <w:spacing w:after="0"/>
              <w:rPr>
                <w:sz w:val="14"/>
                <w:szCs w:val="14"/>
                <w:color w:val="auto"/>
              </w:rPr>
            </w:pPr>
          </w:p>
        </w:tc>
        <w:tc>
          <w:tcPr>
            <w:tcW w:w="1120" w:type="dxa"/>
            <w:vAlign w:val="bottom"/>
            <w:tcBorders>
              <w:right w:val="single" w:sz="8" w:color="D6515D"/>
            </w:tcBorders>
            <w:gridSpan w:val="2"/>
            <w:shd w:val="clear" w:color="auto" w:fill="D6515D"/>
          </w:tcPr>
          <w:p>
            <w:pPr>
              <w:spacing w:after="0"/>
              <w:rPr>
                <w:sz w:val="20"/>
                <w:szCs w:val="20"/>
                <w:color w:val="auto"/>
              </w:rPr>
            </w:pPr>
            <w:r>
              <w:rPr>
                <w:rFonts w:ascii="Arial" w:cs="Arial" w:eastAsia="Arial" w:hAnsi="Arial"/>
                <w:sz w:val="14"/>
                <w:szCs w:val="14"/>
                <w:b w:val="1"/>
                <w:bCs w:val="1"/>
                <w:color w:val="FFFFFF"/>
                <w:w w:val="95"/>
              </w:rPr>
              <w:t>Peer Group Total</w:t>
            </w:r>
          </w:p>
        </w:tc>
        <w:tc>
          <w:tcPr>
            <w:tcW w:w="20" w:type="dxa"/>
            <w:vAlign w:val="bottom"/>
          </w:tcPr>
          <w:p>
            <w:pPr>
              <w:spacing w:after="0"/>
              <w:rPr>
                <w:sz w:val="14"/>
                <w:szCs w:val="14"/>
                <w:color w:val="auto"/>
              </w:rPr>
            </w:pPr>
          </w:p>
        </w:tc>
        <w:tc>
          <w:tcPr>
            <w:tcW w:w="80" w:type="dxa"/>
            <w:vAlign w:val="bottom"/>
            <w:shd w:val="clear" w:color="auto" w:fill="D6515D"/>
          </w:tcPr>
          <w:p>
            <w:pPr>
              <w:spacing w:after="0"/>
              <w:rPr>
                <w:sz w:val="14"/>
                <w:szCs w:val="14"/>
                <w:color w:val="auto"/>
              </w:rPr>
            </w:pPr>
          </w:p>
        </w:tc>
        <w:tc>
          <w:tcPr>
            <w:tcW w:w="100" w:type="dxa"/>
            <w:vAlign w:val="bottom"/>
            <w:shd w:val="clear" w:color="auto" w:fill="D6515D"/>
          </w:tcPr>
          <w:p>
            <w:pPr>
              <w:spacing w:after="0"/>
              <w:rPr>
                <w:sz w:val="14"/>
                <w:szCs w:val="14"/>
                <w:color w:val="auto"/>
              </w:rPr>
            </w:pPr>
          </w:p>
        </w:tc>
        <w:tc>
          <w:tcPr>
            <w:tcW w:w="800" w:type="dxa"/>
            <w:vAlign w:val="bottom"/>
            <w:tcBorders>
              <w:right w:val="single" w:sz="8" w:color="auto"/>
            </w:tcBorders>
            <w:shd w:val="clear" w:color="auto" w:fill="D6515D"/>
          </w:tcPr>
          <w:p>
            <w:pPr>
              <w:spacing w:after="0"/>
              <w:rPr>
                <w:sz w:val="14"/>
                <w:szCs w:val="14"/>
                <w:color w:val="auto"/>
              </w:rPr>
            </w:pPr>
          </w:p>
        </w:tc>
        <w:tc>
          <w:tcPr>
            <w:tcW w:w="960" w:type="dxa"/>
            <w:vAlign w:val="bottom"/>
            <w:gridSpan w:val="2"/>
            <w:shd w:val="clear" w:color="auto" w:fill="D6515D"/>
          </w:tcPr>
          <w:p>
            <w:pPr>
              <w:jc w:val="center"/>
              <w:spacing w:after="0"/>
              <w:rPr>
                <w:sz w:val="20"/>
                <w:szCs w:val="20"/>
                <w:color w:val="auto"/>
              </w:rPr>
            </w:pPr>
            <w:r>
              <w:rPr>
                <w:rFonts w:ascii="Arial" w:cs="Arial" w:eastAsia="Arial" w:hAnsi="Arial"/>
                <w:sz w:val="14"/>
                <w:szCs w:val="14"/>
                <w:b w:val="1"/>
                <w:bCs w:val="1"/>
                <w:color w:val="FFFFFF"/>
                <w:w w:val="99"/>
              </w:rPr>
              <w:t>Non-GAAP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6515D"/>
          </w:tcPr>
          <w:p>
            <w:pPr>
              <w:spacing w:after="0"/>
              <w:rPr>
                <w:sz w:val="13"/>
                <w:szCs w:val="13"/>
                <w:color w:val="auto"/>
              </w:rPr>
            </w:pPr>
          </w:p>
        </w:tc>
        <w:tc>
          <w:tcPr>
            <w:tcW w:w="1120" w:type="dxa"/>
            <w:vAlign w:val="bottom"/>
            <w:tcBorders>
              <w:right w:val="single" w:sz="8" w:color="auto"/>
            </w:tcBorders>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8"/>
              </w:rPr>
              <w:t>Compensation</w:t>
            </w:r>
          </w:p>
        </w:tc>
        <w:tc>
          <w:tcPr>
            <w:tcW w:w="320" w:type="dxa"/>
            <w:vAlign w:val="bottom"/>
            <w:shd w:val="clear" w:color="auto" w:fill="D6515D"/>
          </w:tcPr>
          <w:p>
            <w:pPr>
              <w:spacing w:after="0"/>
              <w:rPr>
                <w:sz w:val="13"/>
                <w:szCs w:val="13"/>
                <w:color w:val="auto"/>
              </w:rPr>
            </w:pPr>
          </w:p>
        </w:tc>
        <w:tc>
          <w:tcPr>
            <w:tcW w:w="1220" w:type="dxa"/>
            <w:vAlign w:val="bottom"/>
            <w:shd w:val="clear" w:color="auto" w:fill="D6515D"/>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right w:val="single" w:sz="8" w:color="auto"/>
            </w:tcBorders>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Table Total for</w:t>
            </w:r>
          </w:p>
        </w:tc>
        <w:tc>
          <w:tcPr>
            <w:tcW w:w="138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rPr>
              <w:t>Compensation</w:t>
            </w:r>
          </w:p>
        </w:tc>
        <w:tc>
          <w:tcPr>
            <w:tcW w:w="80" w:type="dxa"/>
            <w:vAlign w:val="bottom"/>
            <w:tcBorders>
              <w:right w:val="single" w:sz="8" w:color="D6515D"/>
            </w:tcBorders>
          </w:tcPr>
          <w:p>
            <w:pPr>
              <w:spacing w:after="0"/>
              <w:rPr>
                <w:sz w:val="13"/>
                <w:szCs w:val="13"/>
                <w:color w:val="auto"/>
              </w:rPr>
            </w:pPr>
          </w:p>
        </w:tc>
        <w:tc>
          <w:tcPr>
            <w:tcW w:w="740" w:type="dxa"/>
            <w:vAlign w:val="bottom"/>
            <w:gridSpan w:val="2"/>
            <w:shd w:val="clear" w:color="auto" w:fill="D6515D"/>
          </w:tcPr>
          <w:p>
            <w:pPr>
              <w:spacing w:after="0" w:line="157" w:lineRule="exact"/>
              <w:rPr>
                <w:sz w:val="20"/>
                <w:szCs w:val="20"/>
                <w:color w:val="auto"/>
              </w:rPr>
            </w:pPr>
            <w:r>
              <w:rPr>
                <w:rFonts w:ascii="Arial" w:cs="Arial" w:eastAsia="Arial" w:hAnsi="Arial"/>
                <w:sz w:val="14"/>
                <w:szCs w:val="14"/>
                <w:b w:val="1"/>
                <w:bCs w:val="1"/>
                <w:color w:val="FFFFFF"/>
                <w:w w:val="88"/>
              </w:rPr>
              <w:t>Stockholder</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1020" w:type="dxa"/>
            <w:vAlign w:val="bottom"/>
            <w:tcBorders>
              <w:right w:val="single" w:sz="8" w:color="D6515D"/>
            </w:tcBorders>
            <w:shd w:val="clear" w:color="auto" w:fill="D6515D"/>
          </w:tcPr>
          <w:p>
            <w:pPr>
              <w:jc w:val="center"/>
              <w:ind w:right="28"/>
              <w:spacing w:after="0" w:line="157" w:lineRule="exact"/>
              <w:rPr>
                <w:sz w:val="20"/>
                <w:szCs w:val="20"/>
                <w:color w:val="auto"/>
              </w:rPr>
            </w:pPr>
            <w:r>
              <w:rPr>
                <w:rFonts w:ascii="Arial" w:cs="Arial" w:eastAsia="Arial" w:hAnsi="Arial"/>
                <w:sz w:val="14"/>
                <w:szCs w:val="14"/>
                <w:b w:val="1"/>
                <w:bCs w:val="1"/>
                <w:color w:val="FFFFFF"/>
                <w:w w:val="98"/>
              </w:rPr>
              <w:t>Stockholder</w:t>
            </w:r>
          </w:p>
        </w:tc>
        <w:tc>
          <w:tcPr>
            <w:tcW w:w="20" w:type="dxa"/>
            <w:vAlign w:val="bottom"/>
          </w:tcPr>
          <w:p>
            <w:pPr>
              <w:spacing w:after="0"/>
              <w:rPr>
                <w:sz w:val="13"/>
                <w:szCs w:val="13"/>
                <w:color w:val="auto"/>
              </w:rPr>
            </w:pPr>
          </w:p>
        </w:tc>
        <w:tc>
          <w:tcPr>
            <w:tcW w:w="80" w:type="dxa"/>
            <w:vAlign w:val="bottom"/>
            <w:shd w:val="clear" w:color="auto" w:fill="D6515D"/>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800" w:type="dxa"/>
            <w:vAlign w:val="bottom"/>
            <w:tcBorders>
              <w:right w:val="single" w:sz="8" w:color="auto"/>
            </w:tcBorders>
            <w:shd w:val="clear" w:color="auto" w:fill="D6515D"/>
          </w:tcPr>
          <w:p>
            <w:pPr>
              <w:spacing w:after="0"/>
              <w:rPr>
                <w:sz w:val="13"/>
                <w:szCs w:val="13"/>
                <w:color w:val="auto"/>
              </w:rPr>
            </w:pPr>
          </w:p>
        </w:tc>
        <w:tc>
          <w:tcPr>
            <w:tcW w:w="140" w:type="dxa"/>
            <w:vAlign w:val="bottom"/>
            <w:shd w:val="clear" w:color="auto" w:fill="D6515D"/>
          </w:tcPr>
          <w:p>
            <w:pPr>
              <w:spacing w:after="0"/>
              <w:rPr>
                <w:sz w:val="13"/>
                <w:szCs w:val="13"/>
                <w:color w:val="auto"/>
              </w:rPr>
            </w:pPr>
          </w:p>
        </w:tc>
        <w:tc>
          <w:tcPr>
            <w:tcW w:w="820" w:type="dxa"/>
            <w:vAlign w:val="bottom"/>
            <w:shd w:val="clear" w:color="auto" w:fill="D6515D"/>
          </w:tcPr>
          <w:p>
            <w:pPr>
              <w:jc w:val="center"/>
              <w:ind w:right="45"/>
              <w:spacing w:after="0" w:line="157" w:lineRule="exact"/>
              <w:rPr>
                <w:sz w:val="20"/>
                <w:szCs w:val="20"/>
                <w:color w:val="auto"/>
              </w:rPr>
            </w:pPr>
            <w:r>
              <w:rPr>
                <w:rFonts w:ascii="Arial" w:cs="Arial" w:eastAsia="Arial" w:hAnsi="Arial"/>
                <w:sz w:val="14"/>
                <w:szCs w:val="14"/>
                <w:b w:val="1"/>
                <w:bCs w:val="1"/>
                <w:color w:val="FFFFFF"/>
                <w:w w:val="99"/>
              </w:rPr>
              <w:t>Operating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6515D"/>
          </w:tcPr>
          <w:p>
            <w:pPr>
              <w:spacing w:after="0"/>
              <w:rPr>
                <w:sz w:val="13"/>
                <w:szCs w:val="13"/>
                <w:color w:val="auto"/>
              </w:rPr>
            </w:pPr>
          </w:p>
        </w:tc>
        <w:tc>
          <w:tcPr>
            <w:tcW w:w="1120" w:type="dxa"/>
            <w:vAlign w:val="bottom"/>
            <w:tcBorders>
              <w:right w:val="single" w:sz="8" w:color="auto"/>
            </w:tcBorders>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Table Total for</w:t>
            </w:r>
          </w:p>
        </w:tc>
        <w:tc>
          <w:tcPr>
            <w:tcW w:w="154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8"/>
              </w:rPr>
              <w:t>Compensation Actually</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900" w:type="dxa"/>
            <w:vAlign w:val="bottom"/>
            <w:tcBorders>
              <w:right w:val="single" w:sz="8" w:color="auto"/>
            </w:tcBorders>
            <w:shd w:val="clear" w:color="auto" w:fill="D6515D"/>
          </w:tcPr>
          <w:p>
            <w:pPr>
              <w:jc w:val="center"/>
              <w:ind w:right="83"/>
              <w:spacing w:after="0" w:line="157" w:lineRule="exact"/>
              <w:rPr>
                <w:sz w:val="20"/>
                <w:szCs w:val="20"/>
                <w:color w:val="auto"/>
              </w:rPr>
            </w:pPr>
            <w:r>
              <w:rPr>
                <w:rFonts w:ascii="Arial" w:cs="Arial" w:eastAsia="Arial" w:hAnsi="Arial"/>
                <w:sz w:val="14"/>
                <w:szCs w:val="14"/>
                <w:b w:val="1"/>
                <w:bCs w:val="1"/>
                <w:color w:val="FFFFFF"/>
              </w:rPr>
              <w:t>Non-PEO</w:t>
            </w:r>
          </w:p>
        </w:tc>
        <w:tc>
          <w:tcPr>
            <w:tcW w:w="138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rPr>
              <w:t>Actually Paid to</w:t>
            </w:r>
          </w:p>
        </w:tc>
        <w:tc>
          <w:tcPr>
            <w:tcW w:w="80" w:type="dxa"/>
            <w:vAlign w:val="bottom"/>
            <w:tcBorders>
              <w:right w:val="single" w:sz="8" w:color="D6515D"/>
            </w:tcBorders>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640" w:type="dxa"/>
            <w:vAlign w:val="bottom"/>
            <w:shd w:val="clear" w:color="auto" w:fill="D6515D"/>
          </w:tcPr>
          <w:p>
            <w:pPr>
              <w:jc w:val="center"/>
              <w:ind w:right="83"/>
              <w:spacing w:after="0" w:line="157" w:lineRule="exact"/>
              <w:rPr>
                <w:sz w:val="20"/>
                <w:szCs w:val="20"/>
                <w:color w:val="auto"/>
              </w:rPr>
            </w:pPr>
            <w:r>
              <w:rPr>
                <w:rFonts w:ascii="Arial" w:cs="Arial" w:eastAsia="Arial" w:hAnsi="Arial"/>
                <w:sz w:val="14"/>
                <w:szCs w:val="14"/>
                <w:b w:val="1"/>
                <w:bCs w:val="1"/>
                <w:color w:val="FFFFFF"/>
                <w:w w:val="97"/>
              </w:rPr>
              <w:t>Return</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1020" w:type="dxa"/>
            <w:vAlign w:val="bottom"/>
            <w:tcBorders>
              <w:right w:val="single" w:sz="8" w:color="D6515D"/>
            </w:tcBorders>
            <w:shd w:val="clear" w:color="auto" w:fill="D6515D"/>
          </w:tcPr>
          <w:p>
            <w:pPr>
              <w:jc w:val="center"/>
              <w:ind w:right="28"/>
              <w:spacing w:after="0" w:line="157" w:lineRule="exact"/>
              <w:rPr>
                <w:sz w:val="20"/>
                <w:szCs w:val="20"/>
                <w:color w:val="auto"/>
              </w:rPr>
            </w:pPr>
            <w:r>
              <w:rPr>
                <w:rFonts w:ascii="Arial" w:cs="Arial" w:eastAsia="Arial" w:hAnsi="Arial"/>
                <w:sz w:val="14"/>
                <w:szCs w:val="14"/>
                <w:b w:val="1"/>
                <w:bCs w:val="1"/>
                <w:color w:val="FFFFFF"/>
                <w:w w:val="97"/>
              </w:rPr>
              <w:t>Return</w:t>
            </w:r>
          </w:p>
        </w:tc>
        <w:tc>
          <w:tcPr>
            <w:tcW w:w="20" w:type="dxa"/>
            <w:vAlign w:val="bottom"/>
          </w:tcPr>
          <w:p>
            <w:pPr>
              <w:spacing w:after="0"/>
              <w:rPr>
                <w:sz w:val="13"/>
                <w:szCs w:val="13"/>
                <w:color w:val="auto"/>
              </w:rPr>
            </w:pPr>
          </w:p>
        </w:tc>
        <w:tc>
          <w:tcPr>
            <w:tcW w:w="980" w:type="dxa"/>
            <w:vAlign w:val="bottom"/>
            <w:tcBorders>
              <w:right w:val="single" w:sz="8" w:color="auto"/>
            </w:tcBorders>
            <w:gridSpan w:val="3"/>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9"/>
              </w:rPr>
              <w:t>Net Income ($)</w:t>
            </w:r>
          </w:p>
        </w:tc>
        <w:tc>
          <w:tcPr>
            <w:tcW w:w="140" w:type="dxa"/>
            <w:vAlign w:val="bottom"/>
            <w:shd w:val="clear" w:color="auto" w:fill="D6515D"/>
          </w:tcPr>
          <w:p>
            <w:pPr>
              <w:spacing w:after="0"/>
              <w:rPr>
                <w:sz w:val="13"/>
                <w:szCs w:val="13"/>
                <w:color w:val="auto"/>
              </w:rPr>
            </w:pPr>
          </w:p>
        </w:tc>
        <w:tc>
          <w:tcPr>
            <w:tcW w:w="820" w:type="dxa"/>
            <w:vAlign w:val="bottom"/>
            <w:shd w:val="clear" w:color="auto" w:fill="D6515D"/>
          </w:tcPr>
          <w:p>
            <w:pPr>
              <w:jc w:val="center"/>
              <w:ind w:right="65"/>
              <w:spacing w:after="0" w:line="157" w:lineRule="exact"/>
              <w:rPr>
                <w:sz w:val="20"/>
                <w:szCs w:val="20"/>
                <w:color w:val="auto"/>
              </w:rPr>
            </w:pPr>
            <w:r>
              <w:rPr>
                <w:rFonts w:ascii="Arial" w:cs="Arial" w:eastAsia="Arial" w:hAnsi="Arial"/>
                <w:sz w:val="14"/>
                <w:szCs w:val="14"/>
                <w:b w:val="1"/>
                <w:bCs w:val="1"/>
                <w:color w:val="FFFFFF"/>
                <w:w w:val="97"/>
              </w:rPr>
              <w:t>Income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Borders>
              <w:left w:val="single" w:sz="8" w:color="auto"/>
              <w:right w:val="single" w:sz="8" w:color="auto"/>
            </w:tcBorders>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8"/>
              </w:rPr>
              <w:t>Year</w:t>
            </w:r>
          </w:p>
        </w:tc>
        <w:tc>
          <w:tcPr>
            <w:tcW w:w="120" w:type="dxa"/>
            <w:vAlign w:val="bottom"/>
            <w:shd w:val="clear" w:color="auto" w:fill="D6515D"/>
          </w:tcPr>
          <w:p>
            <w:pPr>
              <w:spacing w:after="0"/>
              <w:rPr>
                <w:sz w:val="13"/>
                <w:szCs w:val="13"/>
                <w:color w:val="auto"/>
              </w:rPr>
            </w:pPr>
          </w:p>
        </w:tc>
        <w:tc>
          <w:tcPr>
            <w:tcW w:w="1000" w:type="dxa"/>
            <w:vAlign w:val="bottom"/>
            <w:tcBorders>
              <w:right w:val="single" w:sz="8" w:color="auto"/>
            </w:tcBorders>
            <w:shd w:val="clear" w:color="auto" w:fill="D6515D"/>
          </w:tcPr>
          <w:p>
            <w:pPr>
              <w:jc w:val="center"/>
              <w:ind w:right="80"/>
              <w:spacing w:after="0" w:line="157" w:lineRule="exact"/>
              <w:rPr>
                <w:sz w:val="20"/>
                <w:szCs w:val="20"/>
                <w:color w:val="auto"/>
              </w:rPr>
            </w:pPr>
            <w:r>
              <w:rPr>
                <w:rFonts w:ascii="Arial" w:cs="Arial" w:eastAsia="Arial" w:hAnsi="Arial"/>
                <w:sz w:val="14"/>
                <w:szCs w:val="14"/>
                <w:b w:val="1"/>
                <w:bCs w:val="1"/>
                <w:color w:val="FFFFFF"/>
                <w:w w:val="93"/>
              </w:rPr>
              <w:t xml:space="preserve">PEO ($) </w:t>
            </w:r>
            <w:r>
              <w:rPr>
                <w:rFonts w:ascii="Arial" w:cs="Arial" w:eastAsia="Arial" w:hAnsi="Arial"/>
                <w:sz w:val="17"/>
                <w:szCs w:val="17"/>
                <w:b w:val="1"/>
                <w:bCs w:val="1"/>
                <w:color w:val="FFFFFF"/>
                <w:w w:val="93"/>
                <w:vertAlign w:val="superscript"/>
              </w:rPr>
              <w:t>(1)</w:t>
            </w:r>
          </w:p>
        </w:tc>
        <w:tc>
          <w:tcPr>
            <w:tcW w:w="154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 xml:space="preserve">Paid to PEO ($) </w:t>
            </w:r>
            <w:r>
              <w:rPr>
                <w:rFonts w:ascii="Arial" w:cs="Arial" w:eastAsia="Arial" w:hAnsi="Arial"/>
                <w:sz w:val="17"/>
                <w:szCs w:val="17"/>
                <w:b w:val="1"/>
                <w:bCs w:val="1"/>
                <w:color w:val="FFFFFF"/>
                <w:w w:val="97"/>
                <w:vertAlign w:val="superscript"/>
              </w:rPr>
              <w:t>(2)</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900" w:type="dxa"/>
            <w:vAlign w:val="bottom"/>
            <w:tcBorders>
              <w:right w:val="single" w:sz="8" w:color="auto"/>
            </w:tcBorders>
            <w:shd w:val="clear" w:color="auto" w:fill="D6515D"/>
          </w:tcPr>
          <w:p>
            <w:pPr>
              <w:jc w:val="center"/>
              <w:ind w:right="43"/>
              <w:spacing w:after="0" w:line="157" w:lineRule="exact"/>
              <w:rPr>
                <w:sz w:val="20"/>
                <w:szCs w:val="20"/>
                <w:color w:val="auto"/>
              </w:rPr>
            </w:pPr>
            <w:r>
              <w:rPr>
                <w:rFonts w:ascii="Arial" w:cs="Arial" w:eastAsia="Arial" w:hAnsi="Arial"/>
                <w:sz w:val="14"/>
                <w:szCs w:val="14"/>
                <w:b w:val="1"/>
                <w:bCs w:val="1"/>
                <w:color w:val="FFFFFF"/>
                <w:w w:val="96"/>
              </w:rPr>
              <w:t xml:space="preserve">NEOs ($) </w:t>
            </w:r>
            <w:r>
              <w:rPr>
                <w:rFonts w:ascii="Arial" w:cs="Arial" w:eastAsia="Arial" w:hAnsi="Arial"/>
                <w:sz w:val="17"/>
                <w:szCs w:val="17"/>
                <w:b w:val="1"/>
                <w:bCs w:val="1"/>
                <w:color w:val="FFFFFF"/>
                <w:w w:val="96"/>
                <w:vertAlign w:val="superscript"/>
              </w:rPr>
              <w:t>(1)</w:t>
            </w:r>
          </w:p>
        </w:tc>
        <w:tc>
          <w:tcPr>
            <w:tcW w:w="1380" w:type="dxa"/>
            <w:vAlign w:val="bottom"/>
            <w:gridSpan w:val="2"/>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7"/>
              </w:rPr>
              <w:t xml:space="preserve">Non-PEO NEOs ($) </w:t>
            </w:r>
            <w:r>
              <w:rPr>
                <w:rFonts w:ascii="Arial" w:cs="Arial" w:eastAsia="Arial" w:hAnsi="Arial"/>
                <w:sz w:val="17"/>
                <w:szCs w:val="17"/>
                <w:b w:val="1"/>
                <w:bCs w:val="1"/>
                <w:color w:val="FFFFFF"/>
                <w:w w:val="97"/>
                <w:vertAlign w:val="superscript"/>
              </w:rPr>
              <w:t>(2)</w:t>
            </w:r>
          </w:p>
        </w:tc>
        <w:tc>
          <w:tcPr>
            <w:tcW w:w="80" w:type="dxa"/>
            <w:vAlign w:val="bottom"/>
            <w:tcBorders>
              <w:right w:val="single" w:sz="8" w:color="D6515D"/>
            </w:tcBorders>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640" w:type="dxa"/>
            <w:vAlign w:val="bottom"/>
            <w:shd w:val="clear" w:color="auto" w:fill="D6515D"/>
          </w:tcPr>
          <w:p>
            <w:pPr>
              <w:jc w:val="center"/>
              <w:ind w:right="83"/>
              <w:spacing w:after="0" w:line="157" w:lineRule="exact"/>
              <w:rPr>
                <w:sz w:val="20"/>
                <w:szCs w:val="20"/>
                <w:color w:val="auto"/>
              </w:rPr>
            </w:pPr>
            <w:r>
              <w:rPr>
                <w:rFonts w:ascii="Arial" w:cs="Arial" w:eastAsia="Arial" w:hAnsi="Arial"/>
                <w:sz w:val="14"/>
                <w:szCs w:val="14"/>
                <w:b w:val="1"/>
                <w:bCs w:val="1"/>
                <w:color w:val="FFFFFF"/>
                <w:w w:val="91"/>
              </w:rPr>
              <w:t xml:space="preserve">($) </w:t>
            </w:r>
            <w:r>
              <w:rPr>
                <w:rFonts w:ascii="Arial" w:cs="Arial" w:eastAsia="Arial" w:hAnsi="Arial"/>
                <w:sz w:val="17"/>
                <w:szCs w:val="17"/>
                <w:b w:val="1"/>
                <w:bCs w:val="1"/>
                <w:color w:val="FFFFFF"/>
                <w:w w:val="91"/>
                <w:vertAlign w:val="superscript"/>
              </w:rPr>
              <w:t>(3)</w:t>
            </w:r>
          </w:p>
        </w:tc>
        <w:tc>
          <w:tcPr>
            <w:tcW w:w="20" w:type="dxa"/>
            <w:vAlign w:val="bottom"/>
          </w:tcPr>
          <w:p>
            <w:pPr>
              <w:spacing w:after="0"/>
              <w:rPr>
                <w:sz w:val="13"/>
                <w:szCs w:val="13"/>
                <w:color w:val="auto"/>
              </w:rPr>
            </w:pPr>
          </w:p>
        </w:tc>
        <w:tc>
          <w:tcPr>
            <w:tcW w:w="100" w:type="dxa"/>
            <w:vAlign w:val="bottom"/>
            <w:shd w:val="clear" w:color="auto" w:fill="D6515D"/>
          </w:tcPr>
          <w:p>
            <w:pPr>
              <w:spacing w:after="0"/>
              <w:rPr>
                <w:sz w:val="13"/>
                <w:szCs w:val="13"/>
                <w:color w:val="auto"/>
              </w:rPr>
            </w:pPr>
          </w:p>
        </w:tc>
        <w:tc>
          <w:tcPr>
            <w:tcW w:w="1020" w:type="dxa"/>
            <w:vAlign w:val="bottom"/>
            <w:tcBorders>
              <w:right w:val="single" w:sz="8" w:color="D6515D"/>
            </w:tcBorders>
            <w:shd w:val="clear" w:color="auto" w:fill="D6515D"/>
          </w:tcPr>
          <w:p>
            <w:pPr>
              <w:jc w:val="center"/>
              <w:ind w:right="28"/>
              <w:spacing w:after="0" w:line="157" w:lineRule="exact"/>
              <w:rPr>
                <w:sz w:val="20"/>
                <w:szCs w:val="20"/>
                <w:color w:val="auto"/>
              </w:rPr>
            </w:pPr>
            <w:r>
              <w:rPr>
                <w:rFonts w:ascii="Arial" w:cs="Arial" w:eastAsia="Arial" w:hAnsi="Arial"/>
                <w:sz w:val="14"/>
                <w:szCs w:val="14"/>
                <w:b w:val="1"/>
                <w:bCs w:val="1"/>
                <w:color w:val="FFFFFF"/>
                <w:w w:val="91"/>
              </w:rPr>
              <w:t xml:space="preserve">($) </w:t>
            </w:r>
            <w:r>
              <w:rPr>
                <w:rFonts w:ascii="Arial" w:cs="Arial" w:eastAsia="Arial" w:hAnsi="Arial"/>
                <w:sz w:val="17"/>
                <w:szCs w:val="17"/>
                <w:b w:val="1"/>
                <w:bCs w:val="1"/>
                <w:color w:val="FFFFFF"/>
                <w:w w:val="91"/>
                <w:vertAlign w:val="superscript"/>
              </w:rPr>
              <w:t>(3)</w:t>
            </w:r>
          </w:p>
        </w:tc>
        <w:tc>
          <w:tcPr>
            <w:tcW w:w="20" w:type="dxa"/>
            <w:vAlign w:val="bottom"/>
          </w:tcPr>
          <w:p>
            <w:pPr>
              <w:spacing w:after="0"/>
              <w:rPr>
                <w:sz w:val="13"/>
                <w:szCs w:val="13"/>
                <w:color w:val="auto"/>
              </w:rPr>
            </w:pPr>
          </w:p>
        </w:tc>
        <w:tc>
          <w:tcPr>
            <w:tcW w:w="980" w:type="dxa"/>
            <w:vAlign w:val="bottom"/>
            <w:tcBorders>
              <w:right w:val="single" w:sz="8" w:color="auto"/>
            </w:tcBorders>
            <w:gridSpan w:val="3"/>
            <w:shd w:val="clear" w:color="auto" w:fill="D6515D"/>
          </w:tcPr>
          <w:p>
            <w:pPr>
              <w:jc w:val="center"/>
              <w:spacing w:after="0" w:line="157" w:lineRule="exact"/>
              <w:rPr>
                <w:sz w:val="20"/>
                <w:szCs w:val="20"/>
                <w:color w:val="auto"/>
              </w:rPr>
            </w:pPr>
            <w:r>
              <w:rPr>
                <w:rFonts w:ascii="Arial" w:cs="Arial" w:eastAsia="Arial" w:hAnsi="Arial"/>
                <w:sz w:val="14"/>
                <w:szCs w:val="14"/>
                <w:b w:val="1"/>
                <w:bCs w:val="1"/>
                <w:color w:val="FFFFFF"/>
                <w:w w:val="99"/>
              </w:rPr>
              <w:t>(in thousands)</w:t>
            </w:r>
          </w:p>
        </w:tc>
        <w:tc>
          <w:tcPr>
            <w:tcW w:w="960" w:type="dxa"/>
            <w:vAlign w:val="bottom"/>
            <w:gridSpan w:val="2"/>
            <w:shd w:val="clear" w:color="auto" w:fill="D6515D"/>
          </w:tcPr>
          <w:p>
            <w:pPr>
              <w:spacing w:after="0" w:line="157" w:lineRule="exact"/>
              <w:rPr>
                <w:sz w:val="20"/>
                <w:szCs w:val="20"/>
                <w:color w:val="auto"/>
              </w:rPr>
            </w:pPr>
            <w:r>
              <w:rPr>
                <w:rFonts w:ascii="Arial" w:cs="Arial" w:eastAsia="Arial" w:hAnsi="Arial"/>
                <w:sz w:val="14"/>
                <w:szCs w:val="14"/>
                <w:b w:val="1"/>
                <w:bCs w:val="1"/>
                <w:color w:val="FFFFFF"/>
                <w:w w:val="95"/>
              </w:rPr>
              <w:t>(in 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40" w:type="dxa"/>
            <w:vAlign w:val="bottom"/>
            <w:tcBorders>
              <w:left w:val="single" w:sz="8" w:color="auto"/>
              <w:bottom w:val="single" w:sz="8" w:color="auto"/>
              <w:right w:val="single" w:sz="8" w:color="auto"/>
            </w:tcBorders>
            <w:shd w:val="clear" w:color="auto" w:fill="D6515D"/>
          </w:tcPr>
          <w:p>
            <w:pPr>
              <w:jc w:val="center"/>
              <w:spacing w:after="0"/>
              <w:rPr>
                <w:sz w:val="20"/>
                <w:szCs w:val="20"/>
                <w:color w:val="auto"/>
              </w:rPr>
            </w:pPr>
            <w:r>
              <w:rPr>
                <w:rFonts w:ascii="Arial" w:cs="Arial" w:eastAsia="Arial" w:hAnsi="Arial"/>
                <w:sz w:val="14"/>
                <w:szCs w:val="14"/>
                <w:b w:val="1"/>
                <w:bCs w:val="1"/>
                <w:color w:val="FFFFFF"/>
              </w:rPr>
              <w:t>(a)</w:t>
            </w:r>
          </w:p>
        </w:tc>
        <w:tc>
          <w:tcPr>
            <w:tcW w:w="120" w:type="dxa"/>
            <w:vAlign w:val="bottom"/>
            <w:tcBorders>
              <w:bottom w:val="single" w:sz="8" w:color="auto"/>
            </w:tcBorders>
            <w:shd w:val="clear" w:color="auto" w:fill="D6515D"/>
          </w:tcPr>
          <w:p>
            <w:pPr>
              <w:spacing w:after="0"/>
              <w:rPr>
                <w:sz w:val="16"/>
                <w:szCs w:val="16"/>
                <w:color w:val="auto"/>
              </w:rPr>
            </w:pPr>
          </w:p>
        </w:tc>
        <w:tc>
          <w:tcPr>
            <w:tcW w:w="1000" w:type="dxa"/>
            <w:vAlign w:val="bottom"/>
            <w:tcBorders>
              <w:bottom w:val="single" w:sz="8" w:color="auto"/>
              <w:right w:val="single" w:sz="8" w:color="auto"/>
            </w:tcBorders>
            <w:shd w:val="clear" w:color="auto" w:fill="D6515D"/>
          </w:tcPr>
          <w:p>
            <w:pPr>
              <w:jc w:val="center"/>
              <w:ind w:right="60"/>
              <w:spacing w:after="0"/>
              <w:rPr>
                <w:sz w:val="20"/>
                <w:szCs w:val="20"/>
                <w:color w:val="auto"/>
              </w:rPr>
            </w:pPr>
            <w:r>
              <w:rPr>
                <w:rFonts w:ascii="Arial" w:cs="Arial" w:eastAsia="Arial" w:hAnsi="Arial"/>
                <w:sz w:val="14"/>
                <w:szCs w:val="14"/>
                <w:b w:val="1"/>
                <w:bCs w:val="1"/>
                <w:color w:val="FFFFFF"/>
              </w:rPr>
              <w:t>(b)</w:t>
            </w:r>
          </w:p>
        </w:tc>
        <w:tc>
          <w:tcPr>
            <w:tcW w:w="320" w:type="dxa"/>
            <w:vAlign w:val="bottom"/>
            <w:tcBorders>
              <w:bottom w:val="single" w:sz="8" w:color="auto"/>
            </w:tcBorders>
            <w:shd w:val="clear" w:color="auto" w:fill="D6515D"/>
          </w:tcPr>
          <w:p>
            <w:pPr>
              <w:spacing w:after="0"/>
              <w:rPr>
                <w:sz w:val="16"/>
                <w:szCs w:val="16"/>
                <w:color w:val="auto"/>
              </w:rPr>
            </w:pPr>
          </w:p>
        </w:tc>
        <w:tc>
          <w:tcPr>
            <w:tcW w:w="1220" w:type="dxa"/>
            <w:vAlign w:val="bottom"/>
            <w:tcBorders>
              <w:bottom w:val="single" w:sz="8" w:color="auto"/>
            </w:tcBorders>
            <w:shd w:val="clear" w:color="auto" w:fill="D6515D"/>
          </w:tcPr>
          <w:p>
            <w:pPr>
              <w:jc w:val="center"/>
              <w:ind w:right="256"/>
              <w:spacing w:after="0"/>
              <w:rPr>
                <w:sz w:val="20"/>
                <w:szCs w:val="20"/>
                <w:color w:val="auto"/>
              </w:rPr>
            </w:pPr>
            <w:r>
              <w:rPr>
                <w:rFonts w:ascii="Arial" w:cs="Arial" w:eastAsia="Arial" w:hAnsi="Arial"/>
                <w:sz w:val="14"/>
                <w:szCs w:val="14"/>
                <w:b w:val="1"/>
                <w:bCs w:val="1"/>
                <w:color w:val="FFFFFF"/>
                <w:w w:val="93"/>
              </w:rPr>
              <w:t>(c)</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900" w:type="dxa"/>
            <w:vAlign w:val="bottom"/>
            <w:tcBorders>
              <w:bottom w:val="single" w:sz="8" w:color="auto"/>
              <w:right w:val="single" w:sz="8" w:color="auto"/>
            </w:tcBorders>
            <w:shd w:val="clear" w:color="auto" w:fill="D6515D"/>
          </w:tcPr>
          <w:p>
            <w:pPr>
              <w:jc w:val="center"/>
              <w:ind w:right="43"/>
              <w:spacing w:after="0"/>
              <w:rPr>
                <w:sz w:val="20"/>
                <w:szCs w:val="20"/>
                <w:color w:val="auto"/>
              </w:rPr>
            </w:pPr>
            <w:r>
              <w:rPr>
                <w:rFonts w:ascii="Arial" w:cs="Arial" w:eastAsia="Arial" w:hAnsi="Arial"/>
                <w:sz w:val="14"/>
                <w:szCs w:val="14"/>
                <w:b w:val="1"/>
                <w:bCs w:val="1"/>
                <w:color w:val="FFFFFF"/>
              </w:rPr>
              <w:t>(d)</w:t>
            </w:r>
          </w:p>
        </w:tc>
        <w:tc>
          <w:tcPr>
            <w:tcW w:w="320" w:type="dxa"/>
            <w:vAlign w:val="bottom"/>
            <w:tcBorders>
              <w:bottom w:val="single" w:sz="8" w:color="auto"/>
            </w:tcBorders>
            <w:shd w:val="clear" w:color="auto" w:fill="D6515D"/>
          </w:tcPr>
          <w:p>
            <w:pPr>
              <w:spacing w:after="0"/>
              <w:rPr>
                <w:sz w:val="16"/>
                <w:szCs w:val="16"/>
                <w:color w:val="auto"/>
              </w:rPr>
            </w:pPr>
          </w:p>
        </w:tc>
        <w:tc>
          <w:tcPr>
            <w:tcW w:w="1060" w:type="dxa"/>
            <w:vAlign w:val="bottom"/>
            <w:tcBorders>
              <w:bottom w:val="single" w:sz="8" w:color="auto"/>
            </w:tcBorders>
            <w:shd w:val="clear" w:color="auto" w:fill="D6515D"/>
          </w:tcPr>
          <w:p>
            <w:pPr>
              <w:jc w:val="center"/>
              <w:ind w:right="242"/>
              <w:spacing w:after="0"/>
              <w:rPr>
                <w:sz w:val="20"/>
                <w:szCs w:val="20"/>
                <w:color w:val="auto"/>
              </w:rPr>
            </w:pPr>
            <w:r>
              <w:rPr>
                <w:rFonts w:ascii="Arial" w:cs="Arial" w:eastAsia="Arial" w:hAnsi="Arial"/>
                <w:sz w:val="14"/>
                <w:szCs w:val="14"/>
                <w:b w:val="1"/>
                <w:bCs w:val="1"/>
                <w:color w:val="FFFFFF"/>
              </w:rPr>
              <w:t>(e)</w:t>
            </w:r>
          </w:p>
        </w:tc>
        <w:tc>
          <w:tcPr>
            <w:tcW w:w="80" w:type="dxa"/>
            <w:vAlign w:val="bottom"/>
            <w:tcBorders>
              <w:bottom w:val="single" w:sz="8" w:color="auto"/>
              <w:right w:val="single" w:sz="8" w:color="D6515D"/>
            </w:tcBorders>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640" w:type="dxa"/>
            <w:vAlign w:val="bottom"/>
            <w:tcBorders>
              <w:bottom w:val="single" w:sz="8" w:color="auto"/>
            </w:tcBorders>
            <w:shd w:val="clear" w:color="auto" w:fill="D6515D"/>
          </w:tcPr>
          <w:p>
            <w:pPr>
              <w:jc w:val="center"/>
              <w:ind w:right="63"/>
              <w:spacing w:after="0"/>
              <w:rPr>
                <w:sz w:val="20"/>
                <w:szCs w:val="20"/>
                <w:color w:val="auto"/>
              </w:rPr>
            </w:pPr>
            <w:r>
              <w:rPr>
                <w:rFonts w:ascii="Arial" w:cs="Arial" w:eastAsia="Arial" w:hAnsi="Arial"/>
                <w:sz w:val="14"/>
                <w:szCs w:val="14"/>
                <w:b w:val="1"/>
                <w:bCs w:val="1"/>
                <w:color w:val="FFFFFF"/>
                <w:w w:val="99"/>
              </w:rPr>
              <w:t>(f)</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1020" w:type="dxa"/>
            <w:vAlign w:val="bottom"/>
            <w:tcBorders>
              <w:bottom w:val="single" w:sz="8" w:color="auto"/>
              <w:right w:val="single" w:sz="8" w:color="D6515D"/>
            </w:tcBorders>
            <w:shd w:val="clear" w:color="auto" w:fill="D6515D"/>
          </w:tcPr>
          <w:p>
            <w:pPr>
              <w:jc w:val="center"/>
              <w:ind w:right="8"/>
              <w:spacing w:after="0"/>
              <w:rPr>
                <w:sz w:val="20"/>
                <w:szCs w:val="20"/>
                <w:color w:val="auto"/>
              </w:rPr>
            </w:pPr>
            <w:r>
              <w:rPr>
                <w:rFonts w:ascii="Arial" w:cs="Arial" w:eastAsia="Arial" w:hAnsi="Arial"/>
                <w:sz w:val="14"/>
                <w:szCs w:val="14"/>
                <w:b w:val="1"/>
                <w:bCs w:val="1"/>
                <w:color w:val="FFFFFF"/>
              </w:rPr>
              <w:t>(g)</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shd w:val="clear" w:color="auto" w:fill="D6515D"/>
          </w:tcPr>
          <w:p>
            <w:pPr>
              <w:spacing w:after="0"/>
              <w:rPr>
                <w:sz w:val="16"/>
                <w:szCs w:val="16"/>
                <w:color w:val="auto"/>
              </w:rPr>
            </w:pPr>
          </w:p>
        </w:tc>
        <w:tc>
          <w:tcPr>
            <w:tcW w:w="100" w:type="dxa"/>
            <w:vAlign w:val="bottom"/>
            <w:tcBorders>
              <w:bottom w:val="single" w:sz="8" w:color="auto"/>
            </w:tcBorders>
            <w:shd w:val="clear" w:color="auto" w:fill="D6515D"/>
          </w:tcPr>
          <w:p>
            <w:pPr>
              <w:spacing w:after="0"/>
              <w:rPr>
                <w:sz w:val="16"/>
                <w:szCs w:val="16"/>
                <w:color w:val="auto"/>
              </w:rPr>
            </w:pPr>
          </w:p>
        </w:tc>
        <w:tc>
          <w:tcPr>
            <w:tcW w:w="800" w:type="dxa"/>
            <w:vAlign w:val="bottom"/>
            <w:tcBorders>
              <w:bottom w:val="single" w:sz="8" w:color="auto"/>
              <w:right w:val="single" w:sz="8" w:color="auto"/>
            </w:tcBorders>
            <w:shd w:val="clear" w:color="auto" w:fill="D6515D"/>
          </w:tcPr>
          <w:p>
            <w:pPr>
              <w:jc w:val="center"/>
              <w:ind w:right="122"/>
              <w:spacing w:after="0" w:line="192" w:lineRule="exact"/>
              <w:rPr>
                <w:sz w:val="20"/>
                <w:szCs w:val="20"/>
                <w:color w:val="auto"/>
              </w:rPr>
            </w:pPr>
            <w:r>
              <w:rPr>
                <w:rFonts w:ascii="Arial" w:cs="Arial" w:eastAsia="Arial" w:hAnsi="Arial"/>
                <w:sz w:val="22"/>
                <w:szCs w:val="22"/>
                <w:b w:val="1"/>
                <w:bCs w:val="1"/>
                <w:color w:val="FFFFFF"/>
                <w:vertAlign w:val="subscript"/>
              </w:rPr>
              <w:t>(h)</w:t>
            </w:r>
            <w:r>
              <w:rPr>
                <w:rFonts w:ascii="Arial" w:cs="Arial" w:eastAsia="Arial" w:hAnsi="Arial"/>
                <w:sz w:val="8"/>
                <w:szCs w:val="8"/>
                <w:b w:val="1"/>
                <w:bCs w:val="1"/>
                <w:color w:val="FFFFFF"/>
              </w:rPr>
              <w:t xml:space="preserve"> (4)</w:t>
            </w:r>
          </w:p>
        </w:tc>
        <w:tc>
          <w:tcPr>
            <w:tcW w:w="140" w:type="dxa"/>
            <w:vAlign w:val="bottom"/>
            <w:tcBorders>
              <w:bottom w:val="single" w:sz="8" w:color="auto"/>
            </w:tcBorders>
            <w:shd w:val="clear" w:color="auto" w:fill="D6515D"/>
          </w:tcPr>
          <w:p>
            <w:pPr>
              <w:spacing w:after="0"/>
              <w:rPr>
                <w:sz w:val="16"/>
                <w:szCs w:val="16"/>
                <w:color w:val="auto"/>
              </w:rPr>
            </w:pPr>
          </w:p>
        </w:tc>
        <w:tc>
          <w:tcPr>
            <w:tcW w:w="820" w:type="dxa"/>
            <w:vAlign w:val="bottom"/>
            <w:tcBorders>
              <w:bottom w:val="single" w:sz="8" w:color="auto"/>
            </w:tcBorders>
            <w:shd w:val="clear" w:color="auto" w:fill="D6515D"/>
          </w:tcPr>
          <w:p>
            <w:pPr>
              <w:jc w:val="center"/>
              <w:ind w:right="65"/>
              <w:spacing w:after="0" w:line="192" w:lineRule="exact"/>
              <w:rPr>
                <w:sz w:val="20"/>
                <w:szCs w:val="20"/>
                <w:color w:val="auto"/>
              </w:rPr>
            </w:pPr>
            <w:r>
              <w:rPr>
                <w:rFonts w:ascii="Arial" w:cs="Arial" w:eastAsia="Arial" w:hAnsi="Arial"/>
                <w:sz w:val="22"/>
                <w:szCs w:val="22"/>
                <w:b w:val="1"/>
                <w:bCs w:val="1"/>
                <w:color w:val="FFFFFF"/>
                <w:vertAlign w:val="subscript"/>
              </w:rPr>
              <w:t>(i)</w:t>
            </w:r>
            <w:r>
              <w:rPr>
                <w:rFonts w:ascii="Arial" w:cs="Arial" w:eastAsia="Arial" w:hAnsi="Arial"/>
                <w:sz w:val="8"/>
                <w:szCs w:val="8"/>
                <w:b w:val="1"/>
                <w:bCs w:val="1"/>
                <w:color w:val="FFFFFF"/>
              </w:rPr>
              <w:t xml:space="preserve"> (5)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FY2026</w:t>
            </w:r>
          </w:p>
        </w:tc>
        <w:tc>
          <w:tcPr>
            <w:tcW w:w="1120" w:type="dxa"/>
            <w:vAlign w:val="bottom"/>
            <w:tcBorders>
              <w:right w:val="single" w:sz="8" w:color="auto"/>
            </w:tcBorders>
            <w:gridSpan w:val="2"/>
            <w:shd w:val="clear" w:color="auto" w:fill="E5E5E5"/>
          </w:tcPr>
          <w:p>
            <w:pPr>
              <w:jc w:val="right"/>
              <w:spacing w:after="0" w:line="241" w:lineRule="exact"/>
              <w:rPr>
                <w:sz w:val="20"/>
                <w:szCs w:val="20"/>
                <w:color w:val="auto"/>
              </w:rPr>
            </w:pPr>
            <w:r>
              <w:rPr>
                <w:rFonts w:ascii="Arial" w:cs="Arial" w:eastAsia="Arial" w:hAnsi="Arial"/>
                <w:sz w:val="27"/>
                <w:szCs w:val="27"/>
                <w:color w:val="auto"/>
                <w:vertAlign w:val="subscript"/>
                <w:shd w:val="clear" w:color="auto" w:fill="E5E5E5"/>
              </w:rPr>
              <w:t>​</w:t>
            </w:r>
            <w:r>
              <w:rPr>
                <w:rFonts w:ascii="Arial" w:cs="Arial" w:eastAsia="Arial" w:hAnsi="Arial"/>
                <w:sz w:val="15"/>
                <w:szCs w:val="15"/>
                <w:color w:val="auto"/>
                <w:shd w:val="clear" w:color="auto" w:fill="E5E5E5"/>
              </w:rPr>
              <w:t>$247,579,143</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330,345,041</w:t>
            </w:r>
          </w:p>
        </w:tc>
        <w:tc>
          <w:tcPr>
            <w:tcW w:w="1020" w:type="dxa"/>
            <w:vAlign w:val="bottom"/>
            <w:tcBorders>
              <w:right w:val="single" w:sz="8" w:color="auto"/>
            </w:tcBorders>
            <w:gridSpan w:val="3"/>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shd w:val="clear" w:color="auto" w:fill="E5E5E5"/>
              </w:rPr>
              <w:t>$17,211,915</w:t>
            </w:r>
          </w:p>
        </w:tc>
        <w:tc>
          <w:tcPr>
            <w:tcW w:w="1380" w:type="dxa"/>
            <w:vAlign w:val="bottom"/>
            <w:gridSpan w:val="2"/>
          </w:tcPr>
          <w:p>
            <w:pPr>
              <w:jc w:val="right"/>
              <w:ind w:right="102"/>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$ 39,932,808</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$ 204.54</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$ 256.43</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auto"/>
            </w:tcBorders>
            <w:gridSpan w:val="2"/>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shd w:val="clear" w:color="auto" w:fill="E5E5E5"/>
              </w:rPr>
              <w:t>$(161,165)</w:t>
            </w:r>
          </w:p>
        </w:tc>
        <w:tc>
          <w:tcPr>
            <w:tcW w:w="960" w:type="dxa"/>
            <w:vAlign w:val="bottom"/>
            <w:gridSpan w:val="2"/>
          </w:tcPr>
          <w:p>
            <w:pPr>
              <w:jc w:val="right"/>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$ 1,046,467</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FY2025</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shd w:val="clear" w:color="auto" w:fill="E5E5E5"/>
              </w:rPr>
              <w:t>​</w:t>
            </w:r>
            <w:r>
              <w:rPr>
                <w:rFonts w:ascii="Arial" w:cs="Arial" w:eastAsia="Arial" w:hAnsi="Arial"/>
                <w:sz w:val="27"/>
                <w:szCs w:val="27"/>
                <w:color w:val="auto"/>
                <w:w w:val="99"/>
                <w:vertAlign w:val="superscript"/>
                <w:shd w:val="clear" w:color="auto" w:fill="E5E5E5"/>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35,195,300</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148,504,806</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shd w:val="clear" w:color="auto" w:fill="E5E5E5"/>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shd w:val="clear" w:color="auto" w:fill="E5E5E5"/>
              </w:rPr>
              <w:t>13,413,976</w:t>
            </w:r>
          </w:p>
        </w:tc>
        <w:tc>
          <w:tcPr>
            <w:tcW w:w="1380" w:type="dxa"/>
            <w:vAlign w:val="bottom"/>
            <w:gridSpan w:val="2"/>
          </w:tcPr>
          <w:p>
            <w:pPr>
              <w:jc w:val="right"/>
              <w:ind w:right="102"/>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$ 37,572,240</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184.46</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$ 204.12</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shd w:val="clear" w:color="auto" w:fill="E5E5E5"/>
              </w:rPr>
              <w:t>​</w:t>
            </w:r>
            <w:r>
              <w:rPr>
                <w:rFonts w:ascii="Arial" w:cs="Arial" w:eastAsia="Arial" w:hAnsi="Arial"/>
                <w:sz w:val="27"/>
                <w:szCs w:val="27"/>
                <w:color w:val="auto"/>
                <w:w w:val="79"/>
                <w:vertAlign w:val="superscript"/>
                <w:shd w:val="clear" w:color="auto" w:fill="E5E5E5"/>
              </w:rPr>
              <w:t>$</w:t>
            </w:r>
          </w:p>
        </w:tc>
        <w:tc>
          <w:tcPr>
            <w:tcW w:w="8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shd w:val="clear" w:color="auto" w:fill="E5E5E5"/>
              </w:rPr>
              <w:t>(12,566)</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879,888</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FY2024</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46,983,855</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343,689,775</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9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23,109,417</w:t>
            </w:r>
          </w:p>
        </w:tc>
        <w:tc>
          <w:tcPr>
            <w:tcW w:w="1380" w:type="dxa"/>
            <w:vAlign w:val="bottom"/>
            <w:gridSpan w:val="2"/>
          </w:tcPr>
          <w:p>
            <w:pPr>
              <w:jc w:val="right"/>
              <w:ind w:right="102"/>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$ 75,245,254</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135.54</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$ 159.97</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800" w:type="dxa"/>
            <w:vAlign w:val="bottom"/>
            <w:tcBorders>
              <w:right w:val="single" w:sz="8" w:color="auto"/>
            </w:tcBorders>
            <w:shd w:val="clear" w:color="auto" w:fill="E5E5E5"/>
          </w:tcPr>
          <w:p>
            <w:pPr>
              <w:jc w:val="right"/>
              <w:ind w:right="22"/>
              <w:spacing w:after="0"/>
              <w:rPr>
                <w:sz w:val="20"/>
                <w:szCs w:val="20"/>
                <w:color w:val="auto"/>
              </w:rPr>
            </w:pPr>
            <w:r>
              <w:rPr>
                <w:rFonts w:ascii="Arial" w:cs="Arial" w:eastAsia="Arial" w:hAnsi="Arial"/>
                <w:sz w:val="17"/>
                <w:szCs w:val="17"/>
                <w:color w:val="auto"/>
              </w:rPr>
              <w:t>73,439</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679,568</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FY2023</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36,532,681</w:t>
            </w:r>
          </w:p>
        </w:tc>
        <w:tc>
          <w:tcPr>
            <w:tcW w:w="1540" w:type="dxa"/>
            <w:vAlign w:val="bottom"/>
            <w:gridSpan w:val="2"/>
          </w:tcPr>
          <w:p>
            <w:pPr>
              <w:ind w:left="14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(111,653,036)</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9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17,814,353</w:t>
            </w:r>
          </w:p>
        </w:tc>
        <w:tc>
          <w:tcPr>
            <w:tcW w:w="320" w:type="dxa"/>
            <w:vAlign w:val="bottom"/>
          </w:tcPr>
          <w:p>
            <w:pPr>
              <w:ind w:left="16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060" w:type="dxa"/>
            <w:vAlign w:val="bottom"/>
          </w:tcPr>
          <w:p>
            <w:pPr>
              <w:jc w:val="right"/>
              <w:ind w:right="42"/>
              <w:spacing w:after="0"/>
              <w:rPr>
                <w:sz w:val="20"/>
                <w:szCs w:val="20"/>
                <w:color w:val="auto"/>
              </w:rPr>
            </w:pPr>
            <w:r>
              <w:rPr>
                <w:rFonts w:ascii="Arial" w:cs="Arial" w:eastAsia="Arial" w:hAnsi="Arial"/>
                <w:sz w:val="17"/>
                <w:szCs w:val="17"/>
                <w:color w:val="auto"/>
              </w:rPr>
              <w:t>(2,496,643)</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49.07</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$ 106.58</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800" w:type="dxa"/>
            <w:vAlign w:val="bottom"/>
            <w:tcBorders>
              <w:right w:val="single" w:sz="8" w:color="auto"/>
            </w:tcBorders>
            <w:shd w:val="clear" w:color="auto" w:fill="E5E5E5"/>
          </w:tcPr>
          <w:p>
            <w:pPr>
              <w:jc w:val="right"/>
              <w:ind w:right="22"/>
              <w:spacing w:after="0"/>
              <w:rPr>
                <w:sz w:val="20"/>
                <w:szCs w:val="20"/>
                <w:color w:val="auto"/>
              </w:rPr>
            </w:pPr>
            <w:r>
              <w:rPr>
                <w:rFonts w:ascii="Arial" w:cs="Arial" w:eastAsia="Arial" w:hAnsi="Arial"/>
                <w:sz w:val="17"/>
                <w:szCs w:val="17"/>
                <w:color w:val="auto"/>
                <w:w w:val="93"/>
              </w:rPr>
              <w:t>(182,285)</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355,622</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FY2022</w:t>
            </w:r>
          </w:p>
        </w:tc>
        <w:tc>
          <w:tcPr>
            <w:tcW w:w="12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10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147,695,746</w:t>
            </w:r>
          </w:p>
        </w:tc>
        <w:tc>
          <w:tcPr>
            <w:tcW w:w="320" w:type="dxa"/>
            <w:vAlign w:val="bottom"/>
          </w:tcPr>
          <w:p>
            <w:pPr>
              <w:ind w:left="14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34,920,193</w:t>
            </w:r>
          </w:p>
        </w:tc>
        <w:tc>
          <w:tcPr>
            <w:tcW w:w="120" w:type="dxa"/>
            <w:vAlign w:val="bottom"/>
            <w:gridSpan w:val="2"/>
          </w:tcPr>
          <w:p>
            <w:pPr>
              <w:spacing w:after="0" w:line="241"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perscript"/>
              </w:rPr>
              <w:t>$</w:t>
            </w:r>
          </w:p>
        </w:tc>
        <w:tc>
          <w:tcPr>
            <w:tcW w:w="900" w:type="dxa"/>
            <w:vAlign w:val="bottom"/>
            <w:tcBorders>
              <w:right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14,958,880</w:t>
            </w:r>
          </w:p>
        </w:tc>
        <w:tc>
          <w:tcPr>
            <w:tcW w:w="320" w:type="dxa"/>
            <w:vAlign w:val="bottom"/>
          </w:tcPr>
          <w:p>
            <w:pPr>
              <w:ind w:left="160"/>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060" w:type="dxa"/>
            <w:vAlign w:val="bottom"/>
          </w:tcPr>
          <w:p>
            <w:pPr>
              <w:jc w:val="right"/>
              <w:ind w:right="102"/>
              <w:spacing w:after="0"/>
              <w:rPr>
                <w:sz w:val="20"/>
                <w:szCs w:val="20"/>
                <w:color w:val="auto"/>
              </w:rPr>
            </w:pPr>
            <w:r>
              <w:rPr>
                <w:rFonts w:ascii="Arial" w:cs="Arial" w:eastAsia="Arial" w:hAnsi="Arial"/>
                <w:sz w:val="17"/>
                <w:szCs w:val="17"/>
                <w:color w:val="auto"/>
              </w:rPr>
              <w:t>1,012,573</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640" w:type="dxa"/>
            <w:vAlign w:val="bottom"/>
            <w:shd w:val="clear" w:color="auto" w:fill="E5E5E5"/>
          </w:tcPr>
          <w:p>
            <w:pPr>
              <w:jc w:val="right"/>
              <w:ind w:right="3"/>
              <w:spacing w:after="0"/>
              <w:rPr>
                <w:sz w:val="20"/>
                <w:szCs w:val="20"/>
                <w:color w:val="auto"/>
              </w:rPr>
            </w:pPr>
            <w:r>
              <w:rPr>
                <w:rFonts w:ascii="Arial" w:cs="Arial" w:eastAsia="Arial" w:hAnsi="Arial"/>
                <w:sz w:val="17"/>
                <w:szCs w:val="17"/>
                <w:color w:val="auto"/>
              </w:rPr>
              <w:t>83.71</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center"/>
              <w:ind w:right="48"/>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$ 126.43</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E5E5E5"/>
          </w:tcPr>
          <w:p>
            <w:pPr>
              <w:spacing w:after="0" w:line="241" w:lineRule="exact"/>
              <w:rPr>
                <w:sz w:val="20"/>
                <w:szCs w:val="20"/>
                <w:color w:val="auto"/>
              </w:rPr>
            </w:pPr>
            <w:r>
              <w:rPr>
                <w:rFonts w:ascii="Arial" w:cs="Arial" w:eastAsia="Arial" w:hAnsi="Arial"/>
                <w:sz w:val="15"/>
                <w:szCs w:val="15"/>
                <w:color w:val="auto"/>
                <w:w w:val="79"/>
              </w:rPr>
              <w:t>​</w:t>
            </w:r>
            <w:r>
              <w:rPr>
                <w:rFonts w:ascii="Arial" w:cs="Arial" w:eastAsia="Arial" w:hAnsi="Arial"/>
                <w:sz w:val="27"/>
                <w:szCs w:val="27"/>
                <w:color w:val="auto"/>
                <w:w w:val="79"/>
                <w:vertAlign w:val="superscript"/>
              </w:rPr>
              <w:t>$</w:t>
            </w:r>
          </w:p>
        </w:tc>
        <w:tc>
          <w:tcPr>
            <w:tcW w:w="800" w:type="dxa"/>
            <w:vAlign w:val="bottom"/>
            <w:tcBorders>
              <w:right w:val="single" w:sz="8" w:color="auto"/>
            </w:tcBorders>
            <w:shd w:val="clear" w:color="auto" w:fill="E5E5E5"/>
          </w:tcPr>
          <w:p>
            <w:pPr>
              <w:jc w:val="right"/>
              <w:ind w:right="22"/>
              <w:spacing w:after="0"/>
              <w:rPr>
                <w:sz w:val="20"/>
                <w:szCs w:val="20"/>
                <w:color w:val="auto"/>
              </w:rPr>
            </w:pPr>
            <w:r>
              <w:rPr>
                <w:rFonts w:ascii="Arial" w:cs="Arial" w:eastAsia="Arial" w:hAnsi="Arial"/>
                <w:sz w:val="17"/>
                <w:szCs w:val="17"/>
                <w:color w:val="auto"/>
                <w:w w:val="93"/>
              </w:rPr>
              <w:t>(232,378)</w:t>
            </w:r>
          </w:p>
        </w:tc>
        <w:tc>
          <w:tcPr>
            <w:tcW w:w="140" w:type="dxa"/>
            <w:vAlign w:val="bottom"/>
          </w:tcPr>
          <w:p>
            <w:pPr>
              <w:spacing w:after="0" w:line="241"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196,175</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-837565</wp:posOffset>
            </wp:positionV>
            <wp:extent cx="74930" cy="8299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4930" cy="829945"/>
                    </a:xfrm>
                    <a:prstGeom prst="rect">
                      <a:avLst/>
                    </a:prstGeom>
                    <a:noFill/>
                  </pic:spPr>
                </pic:pic>
              </a:graphicData>
            </a:graphic>
          </wp:anchor>
        </w:drawing>
        <w:drawing>
          <wp:anchor simplePos="0" relativeHeight="251657728" behindDoc="1" locked="0" layoutInCell="0" allowOverlap="1">
            <wp:simplePos x="0" y="0"/>
            <wp:positionH relativeFrom="column">
              <wp:posOffset>4138295</wp:posOffset>
            </wp:positionH>
            <wp:positionV relativeFrom="paragraph">
              <wp:posOffset>-1376680</wp:posOffset>
            </wp:positionV>
            <wp:extent cx="1294765" cy="13773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94765" cy="1377315"/>
                    </a:xfrm>
                    <a:prstGeom prst="rect">
                      <a:avLst/>
                    </a:prstGeom>
                    <a:noFill/>
                  </pic:spPr>
                </pic:pic>
              </a:graphicData>
            </a:graphic>
          </wp:anchor>
        </w:drawing>
      </w:r>
    </w:p>
    <w:p>
      <w:pPr>
        <w:spacing w:after="0" w:line="20" w:lineRule="exact"/>
        <w:rPr>
          <w:sz w:val="20"/>
          <w:szCs w:val="20"/>
          <w:color w:val="auto"/>
        </w:rPr>
      </w:pPr>
    </w:p>
    <w:p>
      <w:pPr>
        <w:ind w:left="1140" w:right="1060" w:hanging="347"/>
        <w:spacing w:after="0" w:line="264"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Compensation for our PEO reflects the amounts reported in the “Summary Compensation Table” for the respective years. Average compensation for non-PEOs includes the following NEOs:</w:t>
      </w:r>
    </w:p>
    <w:p>
      <w:pPr>
        <w:ind w:left="1500" w:hanging="359"/>
        <w:spacing w:after="0"/>
        <w:tabs>
          <w:tab w:leader="none" w:pos="15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Our fiscal 2026, fiscal 2025 and fiscal 2024 non-PEO NEOs were Michael Sentonas, Burt Podbere and Shawn Henry;</w:t>
      </w:r>
    </w:p>
    <w:p>
      <w:pPr>
        <w:spacing w:after="0" w:line="90" w:lineRule="exact"/>
        <w:rPr>
          <w:rFonts w:ascii="Arial" w:cs="Arial" w:eastAsia="Arial" w:hAnsi="Arial"/>
          <w:sz w:val="16"/>
          <w:szCs w:val="16"/>
          <w:color w:val="auto"/>
        </w:rPr>
      </w:pPr>
    </w:p>
    <w:p>
      <w:pPr>
        <w:ind w:left="1500" w:hanging="359"/>
        <w:spacing w:after="0"/>
        <w:tabs>
          <w:tab w:leader="none" w:pos="15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Our fiscal 2023 non-PEO NEOs were Burt Podbere and Shawn Henry; and</w:t>
      </w:r>
    </w:p>
    <w:p>
      <w:pPr>
        <w:spacing w:after="0" w:line="103" w:lineRule="exact"/>
        <w:rPr>
          <w:rFonts w:ascii="Arial" w:cs="Arial" w:eastAsia="Arial" w:hAnsi="Arial"/>
          <w:sz w:val="16"/>
          <w:szCs w:val="16"/>
          <w:color w:val="auto"/>
        </w:rPr>
      </w:pPr>
    </w:p>
    <w:p>
      <w:pPr>
        <w:ind w:left="1500" w:hanging="359"/>
        <w:spacing w:after="0"/>
        <w:tabs>
          <w:tab w:leader="none" w:pos="15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Our fiscal 2022 non-PEO NEOs were Burt Podbere, Shawn Henry, Colin Black and Michael Carpenter.</w:t>
      </w:r>
    </w:p>
    <w:p>
      <w:pPr>
        <w:spacing w:after="0" w:line="90" w:lineRule="exact"/>
        <w:rPr>
          <w:rFonts w:ascii="Arial" w:cs="Arial" w:eastAsia="Arial" w:hAnsi="Arial"/>
          <w:sz w:val="16"/>
          <w:szCs w:val="16"/>
          <w:color w:val="auto"/>
        </w:rPr>
      </w:pPr>
    </w:p>
    <w:p>
      <w:pPr>
        <w:ind w:left="1140" w:right="1000" w:hanging="347"/>
        <w:spacing w:after="0" w:line="258"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Compensation “actually paid” for the PEO and average compensation “actually paid” for our non-PEO NEOs in fiscal 2026 reflects the respective amounts set forth in columns (c) and (e), adjusted as follows in the table below, as determined in accordance with SEC rules. These dollar amounts do not reflect the actual amount of compensation earned by or paid to the PEO and our other NEOs during the applicable year. For information regarding the decisions made by our Compensation Committee in regard to the PEO’s and our other NEOs’ compensation for fiscal 2026, see the “Executive Compensation Discussion and Analysis” section above.</w:t>
      </w:r>
    </w:p>
    <w:p>
      <w:pPr>
        <w:sectPr>
          <w:pgSz w:w="11900" w:h="16838" w:orient="portrait"/>
          <w:cols w:equalWidth="0" w:num="1">
            <w:col w:w="10460"/>
          </w:cols>
          <w:pgMar w:left="760" w:top="94" w:right="679" w:bottom="1440" w:gutter="0" w:footer="0" w:header="0"/>
        </w:sectPr>
      </w:pPr>
    </w:p>
    <w:p>
      <w:pPr>
        <w:spacing w:after="0" w:line="384"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460"/>
          </w:cols>
          <w:pgMar w:left="760" w:top="94" w:right="67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9240" w:type="dxa"/>
            <w:vAlign w:val="bottom"/>
            <w:shd w:val="clear" w:color="auto" w:fill="D6515D"/>
          </w:tcPr>
          <w:p>
            <w:pPr>
              <w:spacing w:after="0"/>
              <w:rPr>
                <w:sz w:val="16"/>
                <w:szCs w:val="16"/>
                <w:color w:val="auto"/>
              </w:rPr>
            </w:pPr>
          </w:p>
        </w:tc>
        <w:tc>
          <w:tcPr>
            <w:tcW w:w="860" w:type="dxa"/>
            <w:vAlign w:val="bottom"/>
            <w:shd w:val="clear" w:color="auto" w:fill="D6515D"/>
          </w:tcPr>
          <w:p>
            <w:pPr>
              <w:jc w:val="center"/>
              <w:ind w:left="70"/>
              <w:spacing w:after="0"/>
              <w:rPr>
                <w:sz w:val="20"/>
                <w:szCs w:val="20"/>
                <w:color w:val="auto"/>
              </w:rPr>
            </w:pPr>
            <w:r>
              <w:rPr>
                <w:rFonts w:ascii="Arial" w:cs="Arial" w:eastAsia="Arial" w:hAnsi="Arial"/>
                <w:sz w:val="14"/>
                <w:szCs w:val="14"/>
                <w:b w:val="1"/>
                <w:bCs w:val="1"/>
                <w:color w:val="FFFFFF"/>
                <w:w w:val="98"/>
              </w:rPr>
              <w:t>Non-PEOs</w:t>
            </w:r>
          </w:p>
        </w:tc>
      </w:tr>
      <w:tr>
        <w:trPr>
          <w:trHeight w:val="192"/>
        </w:trPr>
        <w:tc>
          <w:tcPr>
            <w:tcW w:w="9240" w:type="dxa"/>
            <w:vAlign w:val="bottom"/>
            <w:shd w:val="clear" w:color="auto" w:fill="D6515D"/>
          </w:tcPr>
          <w:p>
            <w:pPr>
              <w:ind w:left="8280"/>
              <w:spacing w:after="0"/>
              <w:rPr>
                <w:sz w:val="20"/>
                <w:szCs w:val="20"/>
                <w:color w:val="auto"/>
              </w:rPr>
            </w:pPr>
            <w:r>
              <w:rPr>
                <w:rFonts w:ascii="Arial" w:cs="Arial" w:eastAsia="Arial" w:hAnsi="Arial"/>
                <w:sz w:val="14"/>
                <w:szCs w:val="14"/>
                <w:b w:val="1"/>
                <w:bCs w:val="1"/>
                <w:color w:val="FFFFFF"/>
              </w:rPr>
              <w:t>PEO FY2026</w:t>
            </w:r>
          </w:p>
        </w:tc>
        <w:tc>
          <w:tcPr>
            <w:tcW w:w="860" w:type="dxa"/>
            <w:vAlign w:val="bottom"/>
            <w:shd w:val="clear" w:color="auto" w:fill="D6515D"/>
          </w:tcPr>
          <w:p>
            <w:pPr>
              <w:jc w:val="center"/>
              <w:ind w:left="70"/>
              <w:spacing w:after="0"/>
              <w:rPr>
                <w:sz w:val="20"/>
                <w:szCs w:val="20"/>
                <w:color w:val="auto"/>
              </w:rPr>
            </w:pPr>
            <w:r>
              <w:rPr>
                <w:rFonts w:ascii="Arial" w:cs="Arial" w:eastAsia="Arial" w:hAnsi="Arial"/>
                <w:sz w:val="14"/>
                <w:szCs w:val="14"/>
                <w:b w:val="1"/>
                <w:bCs w:val="1"/>
                <w:color w:val="FFFFFF"/>
                <w:w w:val="97"/>
              </w:rPr>
              <w:t>FY2026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0</wp:posOffset>
            </wp:positionV>
            <wp:extent cx="6417945" cy="21494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7945" cy="2149475"/>
                    </a:xfrm>
                    <a:prstGeom prst="rect">
                      <a:avLst/>
                    </a:prstGeom>
                    <a:noFill/>
                  </pic:spPr>
                </pic:pic>
              </a:graphicData>
            </a:graphic>
          </wp:anchor>
        </w:drawing>
      </w:r>
    </w:p>
    <w:p>
      <w:pPr>
        <w:sectPr>
          <w:pgSz w:w="11900" w:h="16838" w:orient="portrait"/>
          <w:cols w:equalWidth="0" w:num="1">
            <w:col w:w="10900"/>
          </w:cols>
          <w:pgMar w:left="760" w:top="94" w:right="239" w:bottom="1440" w:gutter="0" w:footer="0" w:header="0"/>
        </w:sectPr>
      </w:pP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Summary Compensation Table Total</w:t>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Stock Award Value Reported in Summary Compensation Table for the Covered Year</w:t>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Fair Value for Unvested Awards Granted in the Covered Year, Determined as of the Covered Year End</w:t>
      </w:r>
    </w:p>
    <w:p>
      <w:pPr>
        <w:spacing w:after="0" w:line="64" w:lineRule="exact"/>
        <w:rPr>
          <w:sz w:val="20"/>
          <w:szCs w:val="20"/>
          <w:color w:val="auto"/>
        </w:rPr>
      </w:pPr>
    </w:p>
    <w:p>
      <w:pPr>
        <w:ind w:left="960" w:right="160" w:hanging="164"/>
        <w:spacing w:after="0" w:line="268" w:lineRule="auto"/>
        <w:rPr>
          <w:sz w:val="20"/>
          <w:szCs w:val="20"/>
          <w:color w:val="auto"/>
        </w:rPr>
      </w:pPr>
      <w:r>
        <w:rPr>
          <w:rFonts w:ascii="Arial" w:cs="Arial" w:eastAsia="Arial" w:hAnsi="Arial"/>
          <w:sz w:val="17"/>
          <w:szCs w:val="17"/>
          <w:i w:val="1"/>
          <w:iCs w:val="1"/>
          <w:color w:val="auto"/>
        </w:rPr>
        <w:t xml:space="preserve">Change </w:t>
      </w:r>
      <w:r>
        <w:rPr>
          <w:rFonts w:ascii="Arial" w:cs="Arial" w:eastAsia="Arial" w:hAnsi="Arial"/>
          <w:sz w:val="17"/>
          <w:szCs w:val="17"/>
          <w:color w:val="auto"/>
        </w:rPr>
        <w:t>in Fair Value of Outstanding Unvested Awards from Prior Years, Determined based on Change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from Prior Year End to Covered Year End</w:t>
      </w:r>
    </w:p>
    <w:p>
      <w:pPr>
        <w:spacing w:after="0" w:line="8" w:lineRule="exact"/>
        <w:rPr>
          <w:sz w:val="20"/>
          <w:szCs w:val="20"/>
          <w:color w:val="auto"/>
        </w:rPr>
      </w:pPr>
    </w:p>
    <w:p>
      <w:pPr>
        <w:ind w:left="960" w:right="140" w:hanging="164"/>
        <w:spacing w:after="0" w:line="268" w:lineRule="auto"/>
        <w:rPr>
          <w:sz w:val="20"/>
          <w:szCs w:val="20"/>
          <w:color w:val="auto"/>
        </w:rPr>
      </w:pPr>
      <w:r>
        <w:rPr>
          <w:rFonts w:ascii="Arial" w:cs="Arial" w:eastAsia="Arial" w:hAnsi="Arial"/>
          <w:sz w:val="17"/>
          <w:szCs w:val="17"/>
          <w:i w:val="1"/>
          <w:iCs w:val="1"/>
          <w:color w:val="auto"/>
        </w:rPr>
        <w:t xml:space="preserve">Plus </w:t>
      </w:r>
      <w:r>
        <w:rPr>
          <w:rFonts w:ascii="Arial" w:cs="Arial" w:eastAsia="Arial" w:hAnsi="Arial"/>
          <w:sz w:val="17"/>
          <w:szCs w:val="17"/>
          <w:color w:val="auto"/>
        </w:rPr>
        <w:t>Fair Value for Awards Granted in the Covered Year that Vested in the Covered Year, Determined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Date</w:t>
      </w:r>
    </w:p>
    <w:p>
      <w:pPr>
        <w:spacing w:after="0" w:line="8" w:lineRule="exact"/>
        <w:rPr>
          <w:sz w:val="20"/>
          <w:szCs w:val="20"/>
          <w:color w:val="auto"/>
        </w:rPr>
      </w:pPr>
    </w:p>
    <w:p>
      <w:pPr>
        <w:ind w:left="960" w:hanging="164"/>
        <w:spacing w:after="0" w:line="268" w:lineRule="auto"/>
        <w:rPr>
          <w:sz w:val="20"/>
          <w:szCs w:val="20"/>
          <w:color w:val="auto"/>
        </w:rPr>
      </w:pPr>
      <w:r>
        <w:rPr>
          <w:rFonts w:ascii="Arial" w:cs="Arial" w:eastAsia="Arial" w:hAnsi="Arial"/>
          <w:sz w:val="17"/>
          <w:szCs w:val="17"/>
          <w:i w:val="1"/>
          <w:iCs w:val="1"/>
          <w:color w:val="auto"/>
        </w:rPr>
        <w:t xml:space="preserve">Change </w:t>
      </w:r>
      <w:r>
        <w:rPr>
          <w:rFonts w:ascii="Arial" w:cs="Arial" w:eastAsia="Arial" w:hAnsi="Arial"/>
          <w:sz w:val="17"/>
          <w:szCs w:val="17"/>
          <w:color w:val="auto"/>
        </w:rPr>
        <w:t>in Fair Value of Awards from Prior Years that Vested in the Covered Year, Determined based on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Fair Value from Prior Year End to the Vesting Date</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Fair Value of Awards Forfeited during the Covered Year</w:t>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Plus </w:t>
      </w:r>
      <w:r>
        <w:rPr>
          <w:rFonts w:ascii="Arial" w:cs="Arial" w:eastAsia="Arial" w:hAnsi="Arial"/>
          <w:sz w:val="17"/>
          <w:szCs w:val="17"/>
          <w:color w:val="auto"/>
        </w:rPr>
        <w:t>Fair Value of Incremental Dividends or Earnings Paid on Stock Awards</w:t>
      </w:r>
    </w:p>
    <w:p>
      <w:pPr>
        <w:spacing w:after="0" w:line="53" w:lineRule="exact"/>
        <w:rPr>
          <w:sz w:val="20"/>
          <w:szCs w:val="20"/>
          <w:color w:val="auto"/>
        </w:rPr>
      </w:pPr>
    </w:p>
    <w:p>
      <w:pPr>
        <w:ind w:left="800" w:right="1120"/>
        <w:spacing w:after="0" w:line="304" w:lineRule="auto"/>
        <w:rPr>
          <w:sz w:val="20"/>
          <w:szCs w:val="20"/>
          <w:color w:val="auto"/>
        </w:rPr>
      </w:pPr>
      <w:r>
        <w:rPr>
          <w:rFonts w:ascii="Arial" w:cs="Arial" w:eastAsia="Arial" w:hAnsi="Arial"/>
          <w:sz w:val="17"/>
          <w:szCs w:val="17"/>
          <w:i w:val="1"/>
          <w:iCs w:val="1"/>
          <w:color w:val="auto"/>
        </w:rPr>
        <w:t xml:space="preserve">Less </w:t>
      </w:r>
      <w:r>
        <w:rPr>
          <w:rFonts w:ascii="Arial" w:cs="Arial" w:eastAsia="Arial" w:hAnsi="Arial"/>
          <w:sz w:val="17"/>
          <w:szCs w:val="17"/>
          <w:color w:val="auto"/>
        </w:rPr>
        <w:t>Aggregate Change in Actuarial Present Value of Accumulated Benefit Under Pension Plans</w:t>
      </w:r>
      <w:r>
        <w:rPr>
          <w:rFonts w:ascii="Arial" w:cs="Arial" w:eastAsia="Arial" w:hAnsi="Arial"/>
          <w:sz w:val="17"/>
          <w:szCs w:val="17"/>
          <w:i w:val="1"/>
          <w:iCs w:val="1"/>
          <w:color w:val="auto"/>
        </w:rPr>
        <w:t xml:space="preserve"> Plus </w:t>
      </w:r>
      <w:r>
        <w:rPr>
          <w:rFonts w:ascii="Arial" w:cs="Arial" w:eastAsia="Arial" w:hAnsi="Arial"/>
          <w:sz w:val="17"/>
          <w:szCs w:val="17"/>
          <w:color w:val="auto"/>
        </w:rPr>
        <w:t>Aggregate Service Cost and Prior Service Cost for Pension Plans</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Compensation Actually Paid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shd w:val="clear" w:color="auto" w:fill="E5E5E5"/>
        </w:rPr>
        <w:t>​$ 247,579,143</w:t>
      </w:r>
      <w:r>
        <w:rPr>
          <w:rFonts w:ascii="Arial" w:cs="Arial" w:eastAsia="Arial" w:hAnsi="Arial"/>
          <w:sz w:val="17"/>
          <w:szCs w:val="17"/>
          <w:b w:val="1"/>
          <w:bCs w:val="1"/>
          <w:color w:val="auto"/>
        </w:rPr>
        <w:t>​$ 17,211,9</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shd w:val="clear" w:color="auto" w:fill="E5E5E5"/>
        </w:rPr>
        <w:t>​$(242,124,351)</w:t>
      </w:r>
      <w:r>
        <w:rPr>
          <w:rFonts w:ascii="Arial" w:cs="Arial" w:eastAsia="Arial" w:hAnsi="Arial"/>
          <w:sz w:val="16"/>
          <w:szCs w:val="16"/>
          <w:color w:val="auto"/>
        </w:rPr>
        <w:t>​$(15,887,9</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​$ 257,524,623​$ 25,963,8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29,887,412​$</w:t>
            </w:r>
          </w:p>
        </w:tc>
        <w:tc>
          <w:tcPr>
            <w:tcW w:w="640" w:type="dxa"/>
            <w:vAlign w:val="bottom"/>
          </w:tcPr>
          <w:p>
            <w:pPr>
              <w:jc w:val="right"/>
              <w:spacing w:after="0"/>
              <w:rPr>
                <w:sz w:val="20"/>
                <w:szCs w:val="20"/>
                <w:color w:val="auto"/>
              </w:rPr>
            </w:pPr>
            <w:r>
              <w:rPr>
                <w:rFonts w:ascii="Arial" w:cs="Arial" w:eastAsia="Arial" w:hAnsi="Arial"/>
                <w:sz w:val="17"/>
                <w:szCs w:val="17"/>
                <w:color w:val="auto"/>
              </w:rPr>
              <w:t>5,010,8</w:t>
            </w:r>
          </w:p>
        </w:tc>
      </w:tr>
      <w:tr>
        <w:trPr>
          <w:trHeight w:val="444"/>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6,361,786​$</w:t>
            </w:r>
          </w:p>
        </w:tc>
        <w:tc>
          <w:tcPr>
            <w:tcW w:w="640" w:type="dxa"/>
            <w:vAlign w:val="bottom"/>
          </w:tcPr>
          <w:p>
            <w:pPr>
              <w:jc w:val="right"/>
              <w:spacing w:after="0"/>
              <w:rPr>
                <w:sz w:val="20"/>
                <w:szCs w:val="20"/>
                <w:color w:val="auto"/>
              </w:rPr>
            </w:pPr>
            <w:r>
              <w:rPr>
                <w:rFonts w:ascii="Arial" w:cs="Arial" w:eastAsia="Arial" w:hAnsi="Arial"/>
                <w:sz w:val="17"/>
                <w:szCs w:val="17"/>
                <w:color w:val="auto"/>
              </w:rPr>
              <w:t>1,908,3</w:t>
            </w:r>
          </w:p>
        </w:tc>
      </w:tr>
      <w:tr>
        <w:trPr>
          <w:trHeight w:val="444"/>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31,116,427​$</w:t>
            </w:r>
          </w:p>
        </w:tc>
        <w:tc>
          <w:tcPr>
            <w:tcW w:w="640" w:type="dxa"/>
            <w:vAlign w:val="bottom"/>
          </w:tcPr>
          <w:p>
            <w:pPr>
              <w:jc w:val="right"/>
              <w:spacing w:after="0"/>
              <w:rPr>
                <w:sz w:val="20"/>
                <w:szCs w:val="20"/>
                <w:color w:val="auto"/>
              </w:rPr>
            </w:pPr>
            <w:r>
              <w:rPr>
                <w:rFonts w:ascii="Arial" w:cs="Arial" w:eastAsia="Arial" w:hAnsi="Arial"/>
                <w:sz w:val="17"/>
                <w:szCs w:val="17"/>
                <w:color w:val="auto"/>
              </w:rPr>
              <w:t>5,725,7</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48"/>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48"/>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48"/>
        </w:trPr>
        <w:tc>
          <w:tcPr>
            <w:tcW w:w="5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ind w:left="500"/>
              <w:spacing w:after="0"/>
              <w:rPr>
                <w:sz w:val="20"/>
                <w:szCs w:val="20"/>
                <w:color w:val="auto"/>
              </w:rPr>
            </w:pPr>
            <w:r>
              <w:rPr>
                <w:rFonts w:ascii="Arial" w:cs="Arial" w:eastAsia="Arial" w:hAnsi="Arial"/>
                <w:sz w:val="17"/>
                <w:szCs w:val="17"/>
                <w:color w:val="auto"/>
              </w:rPr>
              <w:t>-​</w:t>
            </w:r>
          </w:p>
        </w:tc>
      </w:tr>
    </w:tbl>
    <w:p>
      <w:pPr>
        <w:spacing w:after="0" w:line="196" w:lineRule="auto"/>
        <w:rPr>
          <w:sz w:val="20"/>
          <w:szCs w:val="20"/>
          <w:color w:val="auto"/>
        </w:rPr>
      </w:pPr>
      <w:r>
        <w:rPr>
          <w:rFonts w:ascii="Arial" w:cs="Arial" w:eastAsia="Arial" w:hAnsi="Arial"/>
          <w:sz w:val="33"/>
          <w:szCs w:val="33"/>
          <w:b w:val="1"/>
          <w:bCs w:val="1"/>
          <w:color w:val="auto"/>
          <w:vertAlign w:val="subscript"/>
        </w:rPr>
        <w:t>​</w:t>
      </w:r>
      <w:r>
        <w:rPr>
          <w:rFonts w:ascii="Arial" w:cs="Arial" w:eastAsia="Arial" w:hAnsi="Arial"/>
          <w:sz w:val="17"/>
          <w:szCs w:val="17"/>
          <w:b w:val="1"/>
          <w:bCs w:val="1"/>
          <w:color w:val="auto"/>
        </w:rPr>
        <w:t>$ 330,345,041</w:t>
      </w:r>
      <w:r>
        <w:rPr>
          <w:rFonts w:ascii="Arial" w:cs="Arial" w:eastAsia="Arial" w:hAnsi="Arial"/>
          <w:sz w:val="33"/>
          <w:szCs w:val="33"/>
          <w:b w:val="1"/>
          <w:bCs w:val="1"/>
          <w:color w:val="auto"/>
          <w:vertAlign w:val="subscript"/>
        </w:rPr>
        <w:t>​</w:t>
      </w:r>
      <w:r>
        <w:rPr>
          <w:rFonts w:ascii="Arial" w:cs="Arial" w:eastAsia="Arial" w:hAnsi="Arial"/>
          <w:sz w:val="17"/>
          <w:szCs w:val="17"/>
          <w:b w:val="1"/>
          <w:bCs w:val="1"/>
          <w:color w:val="auto"/>
        </w:rPr>
        <w:t>$ 39,932,8</w:t>
      </w:r>
    </w:p>
    <w:p>
      <w:pPr>
        <w:spacing w:after="0" w:line="83" w:lineRule="exact"/>
        <w:rPr>
          <w:sz w:val="20"/>
          <w:szCs w:val="20"/>
          <w:color w:val="auto"/>
        </w:rPr>
      </w:pPr>
    </w:p>
    <w:p>
      <w:pPr>
        <w:sectPr>
          <w:pgSz w:w="11900" w:h="16838" w:orient="portrait"/>
          <w:cols w:equalWidth="0" w:num="2">
            <w:col w:w="8880" w:space="60"/>
            <w:col w:w="1960"/>
          </w:cols>
          <w:pgMar w:left="760" w:top="94" w:right="239" w:bottom="1440" w:gutter="0" w:footer="0" w:header="0"/>
          <w:type w:val="continuous"/>
        </w:sectPr>
      </w:pPr>
    </w:p>
    <w:p>
      <w:pPr>
        <w:ind w:left="1140" w:right="1660"/>
        <w:spacing w:after="0" w:line="284" w:lineRule="auto"/>
        <w:rPr>
          <w:sz w:val="20"/>
          <w:szCs w:val="20"/>
          <w:color w:val="auto"/>
        </w:rPr>
      </w:pPr>
      <w:r>
        <w:rPr>
          <w:rFonts w:ascii="Arial" w:cs="Arial" w:eastAsia="Arial" w:hAnsi="Arial"/>
          <w:sz w:val="16"/>
          <w:szCs w:val="16"/>
          <w:color w:val="auto"/>
        </w:rPr>
        <w:t>Fair values set forth in the table above are computed in accordance with ASC 718 as of the end of the fiscal year, other than fair values of awards that vest in the covered year, which are valued as of the applicable vesting date.</w:t>
      </w:r>
    </w:p>
    <w:p>
      <w:pPr>
        <w:spacing w:after="0" w:line="22" w:lineRule="exact"/>
        <w:rPr>
          <w:sz w:val="20"/>
          <w:szCs w:val="20"/>
          <w:color w:val="auto"/>
        </w:rPr>
      </w:pPr>
    </w:p>
    <w:p>
      <w:pPr>
        <w:ind w:left="1140" w:right="1420" w:hanging="347"/>
        <w:spacing w:after="0" w:line="259"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columns “Total Stockholder Return ($)” and “Peer Group Total Stockholder Return ($)” are calculated based on a fixed investment of $100 in CrowdStrike and the S&amp;P Information Technology Index respectively from the beginning of the earliest year in table through the end of each applicable year in the table, assuming reinvestment of dividends, as calculated in accordance with Item 201(e) of Regulation S-K.</w:t>
      </w:r>
    </w:p>
    <w:p>
      <w:pPr>
        <w:spacing w:after="0" w:line="42" w:lineRule="exact"/>
        <w:rPr>
          <w:rFonts w:ascii="Arial" w:cs="Arial" w:eastAsia="Arial" w:hAnsi="Arial"/>
          <w:sz w:val="16"/>
          <w:szCs w:val="16"/>
          <w:color w:val="auto"/>
        </w:rPr>
      </w:pPr>
    </w:p>
    <w:p>
      <w:pPr>
        <w:ind w:left="1140" w:right="1500" w:hanging="347"/>
        <w:spacing w:after="0" w:line="267"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Reflects “Net Income (loss)” in the Company’s Consolidated Statements of Operations included in the Company’s Annual Reports on Form 10-K for each of the fiscal years ended January 31, 2026, 2025, 2024, 2023 and 2022.</w:t>
      </w:r>
    </w:p>
    <w:p>
      <w:pPr>
        <w:spacing w:after="0" w:line="34" w:lineRule="exact"/>
        <w:rPr>
          <w:rFonts w:ascii="Arial" w:cs="Arial" w:eastAsia="Arial" w:hAnsi="Arial"/>
          <w:sz w:val="16"/>
          <w:szCs w:val="16"/>
          <w:color w:val="auto"/>
        </w:rPr>
      </w:pPr>
    </w:p>
    <w:p>
      <w:pPr>
        <w:ind w:left="1140" w:right="1480" w:hanging="347"/>
        <w:spacing w:after="0" w:line="258"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Non-GAAP operating income is defined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183" w:lineRule="exact"/>
        <w:rPr>
          <w:sz w:val="20"/>
          <w:szCs w:val="20"/>
          <w:color w:val="auto"/>
        </w:rPr>
      </w:pPr>
    </w:p>
    <w:p>
      <w:pPr>
        <w:ind w:left="800" w:right="1440"/>
        <w:spacing w:after="0" w:line="298" w:lineRule="auto"/>
        <w:rPr>
          <w:sz w:val="20"/>
          <w:szCs w:val="20"/>
          <w:color w:val="auto"/>
        </w:rPr>
      </w:pPr>
      <w:r>
        <w:rPr>
          <w:rFonts w:ascii="Arial" w:cs="Arial" w:eastAsia="Arial" w:hAnsi="Arial"/>
          <w:sz w:val="17"/>
          <w:szCs w:val="17"/>
          <w:color w:val="auto"/>
        </w:rPr>
        <w:t>The following table sets forth an unranked list of the performance measures which we view as the “most important” measures for linking our NEOs’ compensation to performance, as specifically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5847715</wp:posOffset>
            </wp:positionH>
            <wp:positionV relativeFrom="paragraph">
              <wp:posOffset>117475</wp:posOffset>
            </wp:positionV>
            <wp:extent cx="8255" cy="9956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995680"/>
                    </a:xfrm>
                    <a:prstGeom prst="rect">
                      <a:avLst/>
                    </a:prstGeom>
                    <a:noFill/>
                  </pic:spPr>
                </pic:pic>
              </a:graphicData>
            </a:graphic>
          </wp:anchor>
        </w:drawing>
      </w:r>
    </w:p>
    <w:p>
      <w:pPr>
        <w:spacing w:after="0" w:line="145" w:lineRule="exact"/>
        <w:rPr>
          <w:sz w:val="20"/>
          <w:szCs w:val="20"/>
          <w:color w:val="auto"/>
        </w:rPr>
      </w:pPr>
    </w:p>
    <w:tbl>
      <w:tblPr>
        <w:tblLayout w:type="fixed"/>
        <w:tblInd w:w="1150" w:type="dxa"/>
        <w:tblCellMar>
          <w:top w:w="0" w:type="dxa"/>
          <w:left w:w="0" w:type="dxa"/>
          <w:bottom w:w="0" w:type="dxa"/>
          <w:right w:w="0" w:type="dxa"/>
        </w:tblCellMar>
      </w:tblPr>
      <w:tr>
        <w:trPr>
          <w:trHeight w:val="248"/>
        </w:trPr>
        <w:tc>
          <w:tcPr>
            <w:tcW w:w="1220" w:type="dxa"/>
            <w:vAlign w:val="bottom"/>
            <w:tcBorders>
              <w:top w:val="single" w:sz="8" w:color="auto"/>
              <w:left w:val="single" w:sz="8" w:color="auto"/>
              <w:bottom w:val="single" w:sz="8" w:color="auto"/>
            </w:tcBorders>
            <w:shd w:val="clear" w:color="auto" w:fill="D6515D"/>
          </w:tcPr>
          <w:p>
            <w:pPr>
              <w:ind w:left="40"/>
              <w:spacing w:after="0"/>
              <w:rPr>
                <w:sz w:val="20"/>
                <w:szCs w:val="20"/>
                <w:color w:val="auto"/>
              </w:rPr>
            </w:pPr>
            <w:r>
              <w:rPr>
                <w:rFonts w:ascii="Arial" w:cs="Arial" w:eastAsia="Arial" w:hAnsi="Arial"/>
                <w:sz w:val="14"/>
                <w:szCs w:val="14"/>
                <w:b w:val="1"/>
                <w:bCs w:val="1"/>
                <w:color w:val="FFFFFF"/>
              </w:rPr>
              <w:t>​</w:t>
            </w:r>
          </w:p>
        </w:tc>
        <w:tc>
          <w:tcPr>
            <w:tcW w:w="5660" w:type="dxa"/>
            <w:vAlign w:val="bottom"/>
            <w:tcBorders>
              <w:top w:val="single" w:sz="8" w:color="auto"/>
              <w:bottom w:val="single" w:sz="8" w:color="auto"/>
            </w:tcBorders>
            <w:shd w:val="clear" w:color="auto" w:fill="D6515D"/>
          </w:tcPr>
          <w:p>
            <w:pPr>
              <w:jc w:val="center"/>
              <w:spacing w:after="0"/>
              <w:rPr>
                <w:sz w:val="20"/>
                <w:szCs w:val="20"/>
                <w:color w:val="auto"/>
              </w:rPr>
            </w:pPr>
            <w:r>
              <w:rPr>
                <w:rFonts w:ascii="Arial" w:cs="Arial" w:eastAsia="Arial" w:hAnsi="Arial"/>
                <w:sz w:val="14"/>
                <w:szCs w:val="14"/>
                <w:b w:val="1"/>
                <w:bCs w:val="1"/>
                <w:color w:val="FFFFFF"/>
                <w:w w:val="99"/>
              </w:rPr>
              <w:t>Performance Measure</w:t>
            </w:r>
          </w:p>
        </w:tc>
        <w:tc>
          <w:tcPr>
            <w:tcW w:w="1180" w:type="dxa"/>
            <w:vAlign w:val="bottom"/>
            <w:tcBorders>
              <w:top w:val="single" w:sz="8" w:color="auto"/>
              <w:bottom w:val="single" w:sz="8" w:color="auto"/>
            </w:tcBorders>
            <w:shd w:val="clear" w:color="auto" w:fill="D6515D"/>
          </w:tcPr>
          <w:p>
            <w:pPr>
              <w:ind w:left="116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Borders>
              <w:top w:val="single" w:sz="8" w:color="auto"/>
              <w:bottom w:val="single" w:sz="8" w:color="auto"/>
            </w:tcBorders>
          </w:tcPr>
          <w:p>
            <w:pPr>
              <w:spacing w:after="0"/>
              <w:rPr>
                <w:sz w:val="21"/>
                <w:szCs w:val="21"/>
                <w:color w:val="auto"/>
              </w:rPr>
            </w:pP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Non-GAAP Operating Income</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Net New Annual Recurring Revenue (ARR)</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Net Retention Rate</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Revenue Growth Percent</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r>
        <w:trPr>
          <w:trHeight w:val="241"/>
        </w:trPr>
        <w:tc>
          <w:tcPr>
            <w:tcW w:w="1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Non-GAAP EPS</w:t>
            </w:r>
          </w:p>
        </w:tc>
        <w:tc>
          <w:tcPr>
            <w:tcW w:w="1200" w:type="dxa"/>
            <w:vAlign w:val="bottom"/>
            <w:tcBorders>
              <w:bottom w:val="single" w:sz="8" w:color="auto"/>
            </w:tcBorders>
            <w:gridSpan w:val="2"/>
          </w:tcPr>
          <w:p>
            <w:pPr>
              <w:ind w:left="1160"/>
              <w:spacing w:after="0"/>
              <w:rPr>
                <w:sz w:val="20"/>
                <w:szCs w:val="20"/>
                <w:color w:val="auto"/>
              </w:rPr>
            </w:pPr>
            <w:r>
              <w:rPr>
                <w:rFonts w:ascii="Arial" w:cs="Arial" w:eastAsia="Arial" w:hAnsi="Arial"/>
                <w:sz w:val="17"/>
                <w:szCs w:val="17"/>
                <w:color w:val="auto"/>
              </w:rPr>
              <w:t>​</w:t>
            </w:r>
          </w:p>
        </w:tc>
      </w:tr>
    </w:tbl>
    <w:p>
      <w:pPr>
        <w:spacing w:after="0" w:line="192" w:lineRule="exact"/>
        <w:rPr>
          <w:sz w:val="20"/>
          <w:szCs w:val="20"/>
          <w:color w:val="auto"/>
        </w:rPr>
      </w:pPr>
    </w:p>
    <w:p>
      <w:pPr>
        <w:ind w:left="800" w:right="1520"/>
        <w:spacing w:after="0" w:line="298" w:lineRule="auto"/>
        <w:rPr>
          <w:sz w:val="20"/>
          <w:szCs w:val="20"/>
          <w:color w:val="auto"/>
        </w:rPr>
      </w:pPr>
      <w:r>
        <w:rPr>
          <w:rFonts w:ascii="Arial" w:cs="Arial" w:eastAsia="Arial" w:hAnsi="Arial"/>
          <w:sz w:val="17"/>
          <w:szCs w:val="17"/>
          <w:color w:val="auto"/>
        </w:rPr>
        <w:t>For more details on how our Compensation Committee uses these metrics to assess the performance of the PEO and other NEOs, see “Executive Compensation Discussion and Analysis” included in this Proxy Statement.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Compensation Relationships</w:t>
      </w:r>
    </w:p>
    <w:p>
      <w:pPr>
        <w:spacing w:after="0" w:line="118" w:lineRule="exact"/>
        <w:rPr>
          <w:sz w:val="20"/>
          <w:szCs w:val="20"/>
          <w:color w:val="auto"/>
        </w:rPr>
      </w:pPr>
    </w:p>
    <w:p>
      <w:pPr>
        <w:ind w:left="800" w:right="1520"/>
        <w:spacing w:after="0" w:line="270" w:lineRule="auto"/>
        <w:rPr>
          <w:sz w:val="20"/>
          <w:szCs w:val="20"/>
          <w:color w:val="auto"/>
        </w:rPr>
      </w:pPr>
      <w:r>
        <w:rPr>
          <w:rFonts w:ascii="Arial" w:cs="Arial" w:eastAsia="Arial" w:hAnsi="Arial"/>
          <w:sz w:val="17"/>
          <w:szCs w:val="17"/>
          <w:color w:val="auto"/>
        </w:rPr>
        <w:t>The following graph shows the relationship between compensation actually paid to CrowdStrike’s PEO, Mr. Kurtz, and the average compensation actually paid to our non-PEO NEOs, CrowdStrike’s cumulative TSR (shown as TSR) and the S&amp;P 500 Information Technology Index’s cumulative TSR (shown as Peer TSR) over fiscal 2022, fiscal 2023, fiscal 2024, fiscal 2025 and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10900"/>
          </w:cols>
          <w:pgMar w:left="760" w:top="94" w:right="23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451485</wp:posOffset>
            </wp:positionV>
            <wp:extent cx="5045710" cy="2879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45710" cy="287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0" w:right="199"/>
        <w:spacing w:after="0" w:line="277" w:lineRule="auto"/>
        <w:rPr>
          <w:sz w:val="20"/>
          <w:szCs w:val="20"/>
          <w:color w:val="auto"/>
        </w:rPr>
      </w:pPr>
      <w:r>
        <w:rPr>
          <w:rFonts w:ascii="Arial" w:cs="Arial" w:eastAsia="Arial" w:hAnsi="Arial"/>
          <w:sz w:val="17"/>
          <w:szCs w:val="17"/>
          <w:color w:val="auto"/>
        </w:rPr>
        <w:t>The following graph shows the relationship between compensation actually paid to CrowdStrike’s PEO, Mr. Kurtz, and the average compensation actually paid to our non-PEO NEOs and CrowdStrike’s net income (loss) over fiscal 2022, fiscal 2023, fiscal 2024, fiscal 2025 and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137160</wp:posOffset>
            </wp:positionV>
            <wp:extent cx="5103495" cy="27800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03495" cy="278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319"/>
        <w:spacing w:after="0" w:line="260" w:lineRule="auto"/>
        <w:rPr>
          <w:sz w:val="20"/>
          <w:szCs w:val="20"/>
          <w:color w:val="auto"/>
        </w:rPr>
      </w:pPr>
      <w:r>
        <w:rPr>
          <w:rFonts w:ascii="Arial" w:cs="Arial" w:eastAsia="Arial" w:hAnsi="Arial"/>
          <w:sz w:val="17"/>
          <w:szCs w:val="17"/>
          <w:color w:val="auto"/>
        </w:rPr>
        <w:t xml:space="preserve">The following graph shows the relationship between compensation actually paid to CrowdStrike’s PEO, Mr. Kurtz, and the average compensation actually paid to our non-PEO NEOs and non-GAAP operating income over fiscal 2022, fiscal 2023, fiscal 2024 and fiscal 2025 and fiscal 2026.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6398895</wp:posOffset>
            </wp:positionV>
            <wp:extent cx="11950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92075</wp:posOffset>
            </wp:positionV>
            <wp:extent cx="5120005" cy="28632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2000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140" w:right="199" w:hanging="347"/>
        <w:spacing w:after="0" w:line="267" w:lineRule="auto"/>
        <w:tabs>
          <w:tab w:leader="none" w:pos="11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Non-GAAP operating income is defined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38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8"/>
          <w:szCs w:val="48"/>
          <w:b w:val="1"/>
          <w:bCs w:val="1"/>
          <w:color w:val="auto"/>
        </w:rPr>
        <w:t>Equity Compensation Plan Information</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This table provides certain information with respect to all of our equity compensation plans as of January 31, 2026.</w:t>
      </w: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273"/>
              <w:spacing w:after="0"/>
              <w:rPr>
                <w:sz w:val="20"/>
                <w:szCs w:val="20"/>
                <w:color w:val="auto"/>
              </w:rPr>
            </w:pPr>
            <w:r>
              <w:rPr>
                <w:rFonts w:ascii="Arial" w:cs="Arial" w:eastAsia="Arial" w:hAnsi="Arial"/>
                <w:sz w:val="14"/>
                <w:szCs w:val="14"/>
                <w:b w:val="1"/>
                <w:bCs w:val="1"/>
                <w:color w:val="auto"/>
                <w:w w:val="97"/>
              </w:rPr>
              <w:t>Number of</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7"/>
              </w:rPr>
              <w:t>securities</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rPr>
              <w:t>remaining</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13"/>
              <w:spacing w:after="0" w:line="157" w:lineRule="exact"/>
              <w:rPr>
                <w:sz w:val="20"/>
                <w:szCs w:val="20"/>
                <w:color w:val="auto"/>
              </w:rPr>
            </w:pPr>
            <w:r>
              <w:rPr>
                <w:rFonts w:ascii="Arial" w:cs="Arial" w:eastAsia="Arial" w:hAnsi="Arial"/>
                <w:sz w:val="14"/>
                <w:szCs w:val="14"/>
                <w:b w:val="1"/>
                <w:bCs w:val="1"/>
                <w:color w:val="auto"/>
                <w:w w:val="97"/>
              </w:rPr>
              <w:t>available for</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5"/>
          </w:tcPr>
          <w:p>
            <w:pPr>
              <w:jc w:val="center"/>
              <w:ind w:right="113"/>
              <w:spacing w:after="0" w:line="157" w:lineRule="exact"/>
              <w:rPr>
                <w:sz w:val="20"/>
                <w:szCs w:val="20"/>
                <w:color w:val="auto"/>
              </w:rPr>
            </w:pPr>
            <w:r>
              <w:rPr>
                <w:rFonts w:ascii="Arial" w:cs="Arial" w:eastAsia="Arial" w:hAnsi="Arial"/>
                <w:sz w:val="14"/>
                <w:szCs w:val="14"/>
                <w:b w:val="1"/>
                <w:bCs w:val="1"/>
                <w:color w:val="auto"/>
              </w:rPr>
              <w:t>future issuance</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13"/>
              <w:spacing w:after="0" w:line="157" w:lineRule="exact"/>
              <w:rPr>
                <w:sz w:val="20"/>
                <w:szCs w:val="20"/>
                <w:color w:val="auto"/>
              </w:rPr>
            </w:pPr>
            <w:r>
              <w:rPr>
                <w:rFonts w:ascii="Arial" w:cs="Arial" w:eastAsia="Arial" w:hAnsi="Arial"/>
                <w:sz w:val="14"/>
                <w:szCs w:val="14"/>
                <w:b w:val="1"/>
                <w:bCs w:val="1"/>
                <w:color w:val="auto"/>
                <w:w w:val="99"/>
              </w:rPr>
              <w:t>under equity</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9"/>
              </w:rPr>
              <w:t>securities to</w:t>
            </w:r>
          </w:p>
        </w:tc>
        <w:tc>
          <w:tcPr>
            <w:tcW w:w="100" w:type="dxa"/>
            <w:vAlign w:val="bottom"/>
          </w:tcPr>
          <w:p>
            <w:pPr>
              <w:spacing w:after="0"/>
              <w:rPr>
                <w:sz w:val="13"/>
                <w:szCs w:val="13"/>
                <w:color w:val="auto"/>
              </w:rPr>
            </w:pPr>
          </w:p>
        </w:tc>
        <w:tc>
          <w:tcPr>
            <w:tcW w:w="10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Weighted</w:t>
            </w:r>
          </w:p>
        </w:tc>
        <w:tc>
          <w:tcPr>
            <w:tcW w:w="1280" w:type="dxa"/>
            <w:vAlign w:val="bottom"/>
            <w:gridSpan w:val="5"/>
          </w:tcPr>
          <w:p>
            <w:pPr>
              <w:jc w:val="center"/>
              <w:ind w:right="113"/>
              <w:spacing w:after="0" w:line="157" w:lineRule="exact"/>
              <w:rPr>
                <w:sz w:val="20"/>
                <w:szCs w:val="20"/>
                <w:color w:val="auto"/>
              </w:rPr>
            </w:pPr>
            <w:r>
              <w:rPr>
                <w:rFonts w:ascii="Arial" w:cs="Arial" w:eastAsia="Arial" w:hAnsi="Arial"/>
                <w:sz w:val="14"/>
                <w:szCs w:val="14"/>
                <w:b w:val="1"/>
                <w:bCs w:val="1"/>
                <w:color w:val="auto"/>
              </w:rPr>
              <w:t>compensation</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be issued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8"/>
              </w:rPr>
              <w:t>average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8"/>
              </w:rPr>
              <w:t>plans</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7"/>
              </w:rPr>
              <w:t>upon exercise</w:t>
            </w:r>
          </w:p>
        </w:tc>
        <w:tc>
          <w:tcPr>
            <w:tcW w:w="1140" w:type="dxa"/>
            <w:vAlign w:val="bottom"/>
            <w:gridSpan w:val="4"/>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7"/>
              </w:rPr>
              <w:t>(excluding</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8"/>
              </w:rPr>
              <w:t>of outstanding</w:t>
            </w:r>
          </w:p>
        </w:tc>
        <w:tc>
          <w:tcPr>
            <w:tcW w:w="1140" w:type="dxa"/>
            <w:vAlign w:val="bottom"/>
            <w:gridSpan w:val="4"/>
          </w:tcPr>
          <w:p>
            <w:pPr>
              <w:jc w:val="center"/>
              <w:ind w:right="100"/>
              <w:spacing w:after="0" w:line="157" w:lineRule="exact"/>
              <w:rPr>
                <w:sz w:val="20"/>
                <w:szCs w:val="20"/>
                <w:color w:val="auto"/>
              </w:rPr>
            </w:pPr>
            <w:r>
              <w:rPr>
                <w:rFonts w:ascii="Arial" w:cs="Arial" w:eastAsia="Arial" w:hAnsi="Arial"/>
                <w:sz w:val="14"/>
                <w:szCs w:val="14"/>
                <w:b w:val="1"/>
                <w:bCs w:val="1"/>
                <w:color w:val="auto"/>
                <w:w w:val="98"/>
              </w:rPr>
              <w:t>of outstanding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w w:val="97"/>
              </w:rPr>
              <w:t>securities</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rPr>
              <w:t>options and</w:t>
            </w:r>
          </w:p>
        </w:tc>
        <w:tc>
          <w:tcPr>
            <w:tcW w:w="100" w:type="dxa"/>
            <w:vAlign w:val="bottom"/>
          </w:tcPr>
          <w:p>
            <w:pPr>
              <w:spacing w:after="0"/>
              <w:rPr>
                <w:sz w:val="13"/>
                <w:szCs w:val="13"/>
                <w:color w:val="auto"/>
              </w:rPr>
            </w:pPr>
          </w:p>
        </w:tc>
        <w:tc>
          <w:tcPr>
            <w:tcW w:w="104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rPr>
              <w:t>options and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center"/>
              <w:ind w:right="273"/>
              <w:spacing w:after="0" w:line="157" w:lineRule="exact"/>
              <w:rPr>
                <w:sz w:val="20"/>
                <w:szCs w:val="20"/>
                <w:color w:val="auto"/>
              </w:rPr>
            </w:pPr>
            <w:r>
              <w:rPr>
                <w:rFonts w:ascii="Arial" w:cs="Arial" w:eastAsia="Arial" w:hAnsi="Arial"/>
                <w:sz w:val="14"/>
                <w:szCs w:val="14"/>
                <w:b w:val="1"/>
                <w:bCs w:val="1"/>
                <w:color w:val="auto"/>
              </w:rPr>
              <w:t>reflected in</w:t>
            </w:r>
          </w:p>
        </w:tc>
      </w:tr>
      <w:tr>
        <w:trPr>
          <w:trHeight w:val="157"/>
        </w:trPr>
        <w:tc>
          <w:tcPr>
            <w:tcW w:w="1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rights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rPr>
              <w:t>rights</w:t>
            </w:r>
          </w:p>
        </w:tc>
        <w:tc>
          <w:tcPr>
            <w:tcW w:w="1280" w:type="dxa"/>
            <w:vAlign w:val="bottom"/>
            <w:gridSpan w:val="5"/>
          </w:tcPr>
          <w:p>
            <w:pPr>
              <w:jc w:val="center"/>
              <w:ind w:right="113"/>
              <w:spacing w:after="0" w:line="157" w:lineRule="exact"/>
              <w:rPr>
                <w:sz w:val="20"/>
                <w:szCs w:val="20"/>
                <w:color w:val="auto"/>
              </w:rPr>
            </w:pPr>
            <w:r>
              <w:rPr>
                <w:rFonts w:ascii="Arial" w:cs="Arial" w:eastAsia="Arial" w:hAnsi="Arial"/>
                <w:sz w:val="14"/>
                <w:szCs w:val="14"/>
                <w:b w:val="1"/>
                <w:bCs w:val="1"/>
                <w:color w:val="auto"/>
              </w:rPr>
              <w:t>column (a) (#)</w:t>
            </w:r>
          </w:p>
        </w:tc>
      </w:tr>
      <w:tr>
        <w:trPr>
          <w:trHeight w:val="192"/>
        </w:trPr>
        <w:tc>
          <w:tcPr>
            <w:tcW w:w="4060" w:type="dxa"/>
            <w:vAlign w:val="bottom"/>
            <w:tcBorders>
              <w:bottom w:val="single" w:sz="8" w:color="D6515D"/>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Borders>
              <w:bottom w:val="single" w:sz="8" w:color="D6515D"/>
            </w:tcBorders>
          </w:tcPr>
          <w:p>
            <w:pPr>
              <w:spacing w:after="0"/>
              <w:rPr>
                <w:sz w:val="16"/>
                <w:szCs w:val="16"/>
                <w:color w:val="auto"/>
              </w:rPr>
            </w:pPr>
          </w:p>
        </w:tc>
        <w:tc>
          <w:tcPr>
            <w:tcW w:w="240" w:type="dxa"/>
            <w:vAlign w:val="bottom"/>
            <w:tcBorders>
              <w:bottom w:val="single" w:sz="8" w:color="D6515D"/>
            </w:tcBorders>
          </w:tcPr>
          <w:p>
            <w:pPr>
              <w:spacing w:after="0"/>
              <w:rPr>
                <w:sz w:val="16"/>
                <w:szCs w:val="16"/>
                <w:color w:val="auto"/>
              </w:rPr>
            </w:pPr>
          </w:p>
        </w:tc>
        <w:tc>
          <w:tcPr>
            <w:tcW w:w="40" w:type="dxa"/>
            <w:vAlign w:val="bottom"/>
            <w:tcBorders>
              <w:bottom w:val="single" w:sz="8" w:color="D6515D"/>
            </w:tcBorders>
          </w:tcPr>
          <w:p>
            <w:pPr>
              <w:spacing w:after="0"/>
              <w:rPr>
                <w:sz w:val="16"/>
                <w:szCs w:val="16"/>
                <w:color w:val="auto"/>
              </w:rPr>
            </w:pPr>
          </w:p>
        </w:tc>
        <w:tc>
          <w:tcPr>
            <w:tcW w:w="960" w:type="dxa"/>
            <w:vAlign w:val="bottom"/>
            <w:tcBorders>
              <w:bottom w:val="single" w:sz="8" w:color="D6515D"/>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D6515D"/>
            </w:tcBorders>
          </w:tcPr>
          <w:p>
            <w:pPr>
              <w:spacing w:after="0"/>
              <w:rPr>
                <w:sz w:val="16"/>
                <w:szCs w:val="16"/>
                <w:color w:val="auto"/>
              </w:rPr>
            </w:pPr>
          </w:p>
        </w:tc>
        <w:tc>
          <w:tcPr>
            <w:tcW w:w="160" w:type="dxa"/>
            <w:vAlign w:val="bottom"/>
            <w:tcBorders>
              <w:bottom w:val="single" w:sz="8" w:color="D6515D"/>
            </w:tcBorders>
          </w:tcPr>
          <w:p>
            <w:pPr>
              <w:spacing w:after="0"/>
              <w:rPr>
                <w:sz w:val="16"/>
                <w:szCs w:val="16"/>
                <w:color w:val="auto"/>
              </w:rPr>
            </w:pPr>
          </w:p>
        </w:tc>
        <w:tc>
          <w:tcPr>
            <w:tcW w:w="880" w:type="dxa"/>
            <w:vAlign w:val="bottom"/>
            <w:tcBorders>
              <w:bottom w:val="single" w:sz="8" w:color="D6515D"/>
            </w:tcBorders>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D6515D"/>
            </w:tcBorders>
          </w:tcPr>
          <w:p>
            <w:pPr>
              <w:spacing w:after="0"/>
              <w:rPr>
                <w:sz w:val="16"/>
                <w:szCs w:val="16"/>
                <w:color w:val="auto"/>
              </w:rPr>
            </w:pPr>
          </w:p>
        </w:tc>
        <w:tc>
          <w:tcPr>
            <w:tcW w:w="60" w:type="dxa"/>
            <w:vAlign w:val="bottom"/>
            <w:tcBorders>
              <w:bottom w:val="single" w:sz="8" w:color="D6515D"/>
            </w:tcBorders>
          </w:tcPr>
          <w:p>
            <w:pPr>
              <w:spacing w:after="0"/>
              <w:rPr>
                <w:sz w:val="16"/>
                <w:szCs w:val="16"/>
                <w:color w:val="auto"/>
              </w:rPr>
            </w:pPr>
          </w:p>
        </w:tc>
        <w:tc>
          <w:tcPr>
            <w:tcW w:w="900" w:type="dxa"/>
            <w:vAlign w:val="bottom"/>
            <w:tcBorders>
              <w:bottom w:val="single" w:sz="8" w:color="D6515D"/>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6"/>
                <w:szCs w:val="16"/>
                <w:color w:val="auto"/>
              </w:rPr>
            </w:pPr>
          </w:p>
        </w:tc>
      </w:tr>
      <w:tr>
        <w:trPr>
          <w:trHeight w:val="157"/>
        </w:trPr>
        <w:tc>
          <w:tcPr>
            <w:tcW w:w="4060" w:type="dxa"/>
            <w:vAlign w:val="bottom"/>
            <w:gridSpan w:val="2"/>
          </w:tcPr>
          <w:p>
            <w:pPr>
              <w:spacing w:after="0" w:line="157" w:lineRule="exact"/>
              <w:rPr>
                <w:sz w:val="20"/>
                <w:szCs w:val="20"/>
                <w:color w:val="auto"/>
              </w:rPr>
            </w:pPr>
            <w:r>
              <w:rPr>
                <w:rFonts w:ascii="Arial" w:cs="Arial" w:eastAsia="Arial" w:hAnsi="Arial"/>
                <w:sz w:val="17"/>
                <w:szCs w:val="17"/>
                <w:color w:val="auto"/>
              </w:rPr>
              <w:t>Equity compensation plans approved by stockholders</w:t>
            </w:r>
          </w:p>
        </w:tc>
        <w:tc>
          <w:tcPr>
            <w:tcW w:w="1280" w:type="dxa"/>
            <w:vAlign w:val="bottom"/>
          </w:tcPr>
          <w:p>
            <w:pPr>
              <w:jc w:val="right"/>
              <w:ind w:right="1063"/>
              <w:spacing w:after="0"/>
              <w:rPr>
                <w:sz w:val="20"/>
                <w:szCs w:val="20"/>
                <w:color w:val="auto"/>
              </w:rPr>
            </w:pPr>
            <w:r>
              <w:rPr>
                <w:rFonts w:ascii="Arial" w:cs="Arial" w:eastAsia="Arial" w:hAnsi="Arial"/>
                <w:sz w:val="11"/>
                <w:szCs w:val="11"/>
                <w:color w:val="auto"/>
              </w:rPr>
              <w:t>(1)</w:t>
            </w:r>
          </w:p>
        </w:tc>
        <w:tc>
          <w:tcPr>
            <w:tcW w:w="1240" w:type="dxa"/>
            <w:vAlign w:val="bottom"/>
            <w:gridSpan w:val="4"/>
          </w:tcPr>
          <w:p>
            <w:pPr>
              <w:jc w:val="right"/>
              <w:ind w:right="80"/>
              <w:spacing w:after="0" w:line="157" w:lineRule="exact"/>
              <w:rPr>
                <w:sz w:val="20"/>
                <w:szCs w:val="20"/>
                <w:color w:val="auto"/>
              </w:rPr>
            </w:pPr>
            <w:r>
              <w:rPr>
                <w:rFonts w:ascii="Arial" w:cs="Arial" w:eastAsia="Arial" w:hAnsi="Arial"/>
                <w:sz w:val="17"/>
                <w:szCs w:val="17"/>
                <w:color w:val="auto"/>
              </w:rPr>
              <w:t>​9,071,398  ​</w:t>
            </w:r>
          </w:p>
        </w:tc>
        <w:tc>
          <w:tcPr>
            <w:tcW w:w="260" w:type="dxa"/>
            <w:vAlign w:val="bottom"/>
            <w:gridSpan w:val="2"/>
          </w:tcPr>
          <w:p>
            <w:pPr>
              <w:ind w:left="100"/>
              <w:spacing w:after="0" w:line="157" w:lineRule="exact"/>
              <w:rPr>
                <w:sz w:val="20"/>
                <w:szCs w:val="20"/>
                <w:color w:val="auto"/>
              </w:rPr>
            </w:pPr>
            <w:r>
              <w:rPr>
                <w:rFonts w:ascii="Arial" w:cs="Arial" w:eastAsia="Arial" w:hAnsi="Arial"/>
                <w:sz w:val="17"/>
                <w:szCs w:val="17"/>
                <w:color w:val="auto"/>
                <w:w w:val="98"/>
              </w:rPr>
              <w:t>​ $</w:t>
            </w: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7"/>
                <w:szCs w:val="17"/>
                <w:color w:val="auto"/>
              </w:rPr>
              <w:t>12.38 ​</w:t>
            </w:r>
          </w:p>
        </w:tc>
        <w:tc>
          <w:tcPr>
            <w:tcW w:w="100" w:type="dxa"/>
            <w:vAlign w:val="bottom"/>
          </w:tcPr>
          <w:p>
            <w:pPr>
              <w:spacing w:after="0"/>
              <w:rPr>
                <w:sz w:val="13"/>
                <w:szCs w:val="13"/>
                <w:color w:val="auto"/>
              </w:rPr>
            </w:pPr>
          </w:p>
        </w:tc>
        <w:tc>
          <w:tcPr>
            <w:tcW w:w="1180" w:type="dxa"/>
            <w:vAlign w:val="bottom"/>
            <w:gridSpan w:val="4"/>
          </w:tcPr>
          <w:p>
            <w:pPr>
              <w:jc w:val="right"/>
              <w:ind w:right="93"/>
              <w:spacing w:after="0" w:line="157" w:lineRule="exact"/>
              <w:rPr>
                <w:sz w:val="20"/>
                <w:szCs w:val="20"/>
                <w:color w:val="auto"/>
              </w:rPr>
            </w:pPr>
            <w:r>
              <w:rPr>
                <w:rFonts w:ascii="Arial" w:cs="Arial" w:eastAsia="Arial" w:hAnsi="Arial"/>
                <w:sz w:val="17"/>
                <w:szCs w:val="17"/>
                <w:color w:val="auto"/>
              </w:rPr>
              <w:t>​23,319,503  ​</w:t>
            </w:r>
          </w:p>
        </w:tc>
      </w:tr>
      <w:tr>
        <w:trPr>
          <w:trHeight w:val="111"/>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2"/>
          </w:tcPr>
          <w:p>
            <w:pPr>
              <w:jc w:val="right"/>
              <w:ind w:right="40"/>
              <w:spacing w:after="0" w:line="111" w:lineRule="exact"/>
              <w:rPr>
                <w:sz w:val="20"/>
                <w:szCs w:val="20"/>
                <w:color w:val="auto"/>
              </w:rPr>
            </w:pPr>
            <w:r>
              <w:rPr>
                <w:rFonts w:ascii="Arial" w:cs="Arial" w:eastAsia="Arial" w:hAnsi="Arial"/>
                <w:sz w:val="11"/>
                <w:szCs w:val="11"/>
                <w:color w:val="auto"/>
              </w:rPr>
              <w:t>(2)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right"/>
              <w:ind w:right="40"/>
              <w:spacing w:after="0" w:line="111"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3"/>
          </w:tcPr>
          <w:p>
            <w:pPr>
              <w:jc w:val="right"/>
              <w:spacing w:after="0" w:line="111" w:lineRule="exact"/>
              <w:rPr>
                <w:sz w:val="20"/>
                <w:szCs w:val="20"/>
                <w:color w:val="auto"/>
              </w:rPr>
            </w:pPr>
            <w:r>
              <w:rPr>
                <w:rFonts w:ascii="Arial" w:cs="Arial" w:eastAsia="Arial" w:hAnsi="Arial"/>
                <w:sz w:val="11"/>
                <w:szCs w:val="11"/>
                <w:color w:val="auto"/>
              </w:rPr>
              <w:t>(4)(5)</w:t>
            </w:r>
          </w:p>
        </w:tc>
      </w:tr>
      <w:tr>
        <w:trPr>
          <w:trHeight w:val="261"/>
        </w:trPr>
        <w:tc>
          <w:tcPr>
            <w:tcW w:w="5340" w:type="dxa"/>
            <w:vAlign w:val="bottom"/>
            <w:gridSpan w:val="3"/>
            <w:shd w:val="clear" w:color="auto" w:fill="E5E5E5"/>
          </w:tcPr>
          <w:p>
            <w:pPr>
              <w:spacing w:after="0"/>
              <w:rPr>
                <w:sz w:val="20"/>
                <w:szCs w:val="20"/>
                <w:color w:val="auto"/>
              </w:rPr>
            </w:pPr>
            <w:r>
              <w:rPr>
                <w:rFonts w:ascii="Arial" w:cs="Arial" w:eastAsia="Arial" w:hAnsi="Arial"/>
                <w:sz w:val="17"/>
                <w:szCs w:val="17"/>
                <w:color w:val="auto"/>
              </w:rPr>
              <w:t>Equity compensation plans NOT approved by stockholders</w:t>
            </w:r>
          </w:p>
        </w:tc>
        <w:tc>
          <w:tcPr>
            <w:tcW w:w="240" w:type="dxa"/>
            <w:vAlign w:val="bottom"/>
            <w:shd w:val="clear" w:color="auto" w:fill="E5E5E5"/>
          </w:tcPr>
          <w:p>
            <w:pPr>
              <w:spacing w:after="0"/>
              <w:rPr>
                <w:sz w:val="22"/>
                <w:szCs w:val="22"/>
                <w:color w:val="auto"/>
              </w:rPr>
            </w:pPr>
          </w:p>
        </w:tc>
        <w:tc>
          <w:tcPr>
            <w:tcW w:w="4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5E5E5"/>
          </w:tcPr>
          <w:p>
            <w:pPr>
              <w:jc w:val="right"/>
              <w:ind w:right="80"/>
              <w:spacing w:after="0" w:line="261"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260" w:type="dxa"/>
            <w:vAlign w:val="bottom"/>
            <w:gridSpan w:val="2"/>
            <w:shd w:val="clear" w:color="auto" w:fill="E5E5E5"/>
          </w:tcPr>
          <w:p>
            <w:pPr>
              <w:ind w:lef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5E5E5"/>
          </w:tcPr>
          <w:p>
            <w:pPr>
              <w:jc w:val="right"/>
              <w:ind w:right="100"/>
              <w:spacing w:after="0" w:line="261" w:lineRule="exact"/>
              <w:rPr>
                <w:sz w:val="20"/>
                <w:szCs w:val="20"/>
                <w:color w:val="auto"/>
              </w:rPr>
            </w:pPr>
            <w:r>
              <w:rPr>
                <w:rFonts w:ascii="Arial" w:cs="Arial" w:eastAsia="Arial" w:hAnsi="Arial"/>
                <w:sz w:val="16"/>
                <w:szCs w:val="16"/>
                <w:color w:val="auto"/>
              </w:rPr>
              <w:t xml:space="preserve">0.00 </w:t>
            </w:r>
            <w:r>
              <w:rPr>
                <w:rFonts w:ascii="Arial" w:cs="Arial" w:eastAsia="Arial" w:hAnsi="Arial"/>
                <w:sz w:val="30"/>
                <w:szCs w:val="30"/>
                <w:color w:val="auto"/>
                <w:vertAlign w:val="subscript"/>
              </w:rPr>
              <w:t>​</w:t>
            </w:r>
          </w:p>
        </w:tc>
        <w:tc>
          <w:tcPr>
            <w:tcW w:w="100" w:type="dxa"/>
            <w:vAlign w:val="bottom"/>
            <w:shd w:val="clear" w:color="auto" w:fill="E5E5E5"/>
          </w:tcPr>
          <w:p>
            <w:pPr>
              <w:spacing w:after="0"/>
              <w:rPr>
                <w:sz w:val="22"/>
                <w:szCs w:val="22"/>
                <w:color w:val="auto"/>
              </w:rPr>
            </w:pPr>
          </w:p>
        </w:tc>
        <w:tc>
          <w:tcPr>
            <w:tcW w:w="60" w:type="dxa"/>
            <w:vAlign w:val="bottom"/>
            <w:shd w:val="clear" w:color="auto" w:fill="E5E5E5"/>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5E5E5"/>
          </w:tcPr>
          <w:p>
            <w:pPr>
              <w:spacing w:after="0"/>
              <w:rPr>
                <w:sz w:val="22"/>
                <w:szCs w:val="22"/>
                <w:color w:val="auto"/>
              </w:rPr>
            </w:pPr>
          </w:p>
        </w:tc>
        <w:tc>
          <w:tcPr>
            <w:tcW w:w="22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0"/>
        </w:trPr>
        <w:tc>
          <w:tcPr>
            <w:tcW w:w="1880" w:type="dxa"/>
            <w:vAlign w:val="bottom"/>
            <w:shd w:val="clear" w:color="auto" w:fill="E5E5E5"/>
          </w:tcPr>
          <w:p>
            <w:pPr>
              <w:spacing w:after="0" w:line="20" w:lineRule="exact"/>
              <w:rPr>
                <w:sz w:val="1"/>
                <w:szCs w:val="1"/>
                <w:color w:val="auto"/>
              </w:rPr>
            </w:pPr>
          </w:p>
        </w:tc>
        <w:tc>
          <w:tcPr>
            <w:tcW w:w="2180" w:type="dxa"/>
            <w:vAlign w:val="bottom"/>
            <w:shd w:val="clear" w:color="auto" w:fill="E5E5E5"/>
          </w:tcPr>
          <w:p>
            <w:pPr>
              <w:spacing w:after="0" w:line="20" w:lineRule="exact"/>
              <w:rPr>
                <w:sz w:val="1"/>
                <w:szCs w:val="1"/>
                <w:color w:val="auto"/>
              </w:rPr>
            </w:pPr>
          </w:p>
        </w:tc>
        <w:tc>
          <w:tcPr>
            <w:tcW w:w="128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4"/>
        </w:trPr>
        <w:tc>
          <w:tcPr>
            <w:tcW w:w="406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8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9,071,398 </w:t>
            </w:r>
            <w:r>
              <w:rPr>
                <w:rFonts w:ascii="Arial" w:cs="Arial" w:eastAsia="Arial" w:hAnsi="Arial"/>
                <w:sz w:val="27"/>
                <w:szCs w:val="27"/>
                <w:color w:val="auto"/>
                <w:vertAlign w:val="subscript"/>
              </w:rPr>
              <w:t>​</w:t>
            </w:r>
          </w:p>
        </w:tc>
        <w:tc>
          <w:tcPr>
            <w:tcW w:w="260" w:type="dxa"/>
            <w:vAlign w:val="bottom"/>
            <w:gridSpan w:val="2"/>
          </w:tcPr>
          <w:p>
            <w:pPr>
              <w:ind w:left="100"/>
              <w:spacing w:after="0" w:line="241" w:lineRule="exact"/>
              <w:rPr>
                <w:sz w:val="20"/>
                <w:szCs w:val="20"/>
                <w:color w:val="auto"/>
              </w:rPr>
            </w:pPr>
            <w:r>
              <w:rPr>
                <w:rFonts w:ascii="Arial" w:cs="Arial" w:eastAsia="Arial" w:hAnsi="Arial"/>
                <w:sz w:val="15"/>
                <w:szCs w:val="15"/>
                <w:color w:val="auto"/>
                <w:w w:val="98"/>
              </w:rPr>
              <w:t xml:space="preserve">​ </w:t>
            </w:r>
            <w:r>
              <w:rPr>
                <w:rFonts w:ascii="Arial" w:cs="Arial" w:eastAsia="Arial" w:hAnsi="Arial"/>
                <w:sz w:val="27"/>
                <w:szCs w:val="27"/>
                <w:color w:val="auto"/>
                <w:w w:val="98"/>
                <w:vertAlign w:val="superscript"/>
              </w:rPr>
              <w:t>$</w:t>
            </w:r>
          </w:p>
        </w:tc>
        <w:tc>
          <w:tcPr>
            <w:tcW w:w="880" w:type="dxa"/>
            <w:vAlign w:val="bottom"/>
            <w:gridSpan w:val="2"/>
          </w:tcPr>
          <w:p>
            <w:pPr>
              <w:jc w:val="right"/>
              <w:ind w:right="100"/>
              <w:spacing w:after="0" w:line="241" w:lineRule="exact"/>
              <w:rPr>
                <w:sz w:val="20"/>
                <w:szCs w:val="20"/>
                <w:color w:val="auto"/>
              </w:rPr>
            </w:pPr>
            <w:r>
              <w:rPr>
                <w:rFonts w:ascii="Arial" w:cs="Arial" w:eastAsia="Arial" w:hAnsi="Arial"/>
                <w:sz w:val="15"/>
                <w:szCs w:val="15"/>
                <w:color w:val="auto"/>
              </w:rPr>
              <w:t xml:space="preserve">12.38 </w:t>
            </w:r>
            <w:r>
              <w:rPr>
                <w:rFonts w:ascii="Arial" w:cs="Arial" w:eastAsia="Arial" w:hAnsi="Arial"/>
                <w:sz w:val="27"/>
                <w:szCs w:val="27"/>
                <w:color w:val="auto"/>
                <w:vertAlign w:val="subscript"/>
              </w:rPr>
              <w:t>​</w:t>
            </w:r>
          </w:p>
        </w:tc>
        <w:tc>
          <w:tcPr>
            <w:tcW w:w="100" w:type="dxa"/>
            <w:vAlign w:val="bottom"/>
          </w:tcPr>
          <w:p>
            <w:pPr>
              <w:spacing w:after="0"/>
              <w:rPr>
                <w:sz w:val="22"/>
                <w:szCs w:val="22"/>
                <w:color w:val="auto"/>
              </w:rPr>
            </w:pPr>
          </w:p>
        </w:tc>
        <w:tc>
          <w:tcPr>
            <w:tcW w:w="1180" w:type="dxa"/>
            <w:vAlign w:val="bottom"/>
            <w:gridSpan w:val="4"/>
          </w:tcPr>
          <w:p>
            <w:pPr>
              <w:jc w:val="right"/>
              <w:ind w:right="93"/>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23,319,503 </w:t>
            </w:r>
            <w:r>
              <w:rPr>
                <w:rFonts w:ascii="Arial" w:cs="Arial" w:eastAsia="Arial" w:hAnsi="Arial"/>
                <w:sz w:val="27"/>
                <w:szCs w:val="27"/>
                <w:color w:val="auto"/>
                <w:vertAlign w:val="subscript"/>
              </w:rPr>
              <w:t>​</w:t>
            </w:r>
          </w:p>
        </w:tc>
      </w:tr>
      <w:tr>
        <w:trPr>
          <w:trHeight w:val="20"/>
        </w:trPr>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7"/>
        </w:trPr>
        <w:tc>
          <w:tcPr>
            <w:tcW w:w="188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32" w:lineRule="exact"/>
        <w:rPr>
          <w:sz w:val="20"/>
          <w:szCs w:val="20"/>
          <w:color w:val="auto"/>
        </w:rPr>
      </w:pPr>
    </w:p>
    <w:p>
      <w:pPr>
        <w:ind w:left="1140" w:right="500" w:hanging="347"/>
        <w:spacing w:after="0" w:line="267" w:lineRule="auto"/>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our 2011 Plan and our 2019 Plan. Our 2011 Plan was terminated on June 10, 2019 in connection with our IPO. The amount in column (c) includes shares of common stock issuable under our ESPP.</w:t>
      </w:r>
    </w:p>
    <w:p>
      <w:pPr>
        <w:spacing w:after="0" w:line="34" w:lineRule="exact"/>
        <w:rPr>
          <w:rFonts w:ascii="Arial" w:cs="Arial" w:eastAsia="Arial" w:hAnsi="Arial"/>
          <w:sz w:val="16"/>
          <w:szCs w:val="16"/>
          <w:color w:val="auto"/>
        </w:rPr>
      </w:pPr>
    </w:p>
    <w:p>
      <w:pPr>
        <w:ind w:left="1140" w:hanging="347"/>
        <w:spacing w:after="0"/>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This amount does not include any shares of common stock issuable under our ESPP.</w:t>
      </w:r>
    </w:p>
    <w:p>
      <w:pPr>
        <w:spacing w:after="0" w:line="77" w:lineRule="exact"/>
        <w:rPr>
          <w:rFonts w:ascii="Arial" w:cs="Arial" w:eastAsia="Arial" w:hAnsi="Arial"/>
          <w:sz w:val="16"/>
          <w:szCs w:val="16"/>
          <w:color w:val="auto"/>
        </w:rPr>
      </w:pPr>
    </w:p>
    <w:p>
      <w:pPr>
        <w:ind w:left="1140" w:hanging="347"/>
        <w:spacing w:after="0"/>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RSUs and PSUs, which do not have an exercise price, are excluded in the calculation of weighted-average exercise price.</w:t>
      </w:r>
    </w:p>
    <w:p>
      <w:pPr>
        <w:spacing w:after="0" w:line="77" w:lineRule="exact"/>
        <w:rPr>
          <w:rFonts w:ascii="Arial" w:cs="Arial" w:eastAsia="Arial" w:hAnsi="Arial"/>
          <w:sz w:val="16"/>
          <w:szCs w:val="16"/>
          <w:color w:val="auto"/>
        </w:rPr>
      </w:pPr>
    </w:p>
    <w:p>
      <w:pPr>
        <w:ind w:left="1140" w:right="280" w:hanging="347"/>
        <w:spacing w:after="0" w:line="259" w:lineRule="auto"/>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of January 31, 2026, an aggregate of 10,817,982 shares of common stock were available for issuance under our 2019 Plan. The number of shares available for issuance under our 2019 Plan will also include an annual increase on the first day of each fiscal year, equal to the lesser of: two percent (2%) of the outstanding shares of our capital stock as of the last day of the immediately preceding fiscal year; or such other amount as our Board may determine.</w:t>
      </w:r>
    </w:p>
    <w:p>
      <w:pPr>
        <w:spacing w:after="0" w:line="42" w:lineRule="exact"/>
        <w:rPr>
          <w:rFonts w:ascii="Arial" w:cs="Arial" w:eastAsia="Arial" w:hAnsi="Arial"/>
          <w:sz w:val="16"/>
          <w:szCs w:val="16"/>
          <w:color w:val="auto"/>
        </w:rPr>
      </w:pPr>
    </w:p>
    <w:p>
      <w:pPr>
        <w:ind w:left="1140" w:right="300" w:hanging="347"/>
        <w:spacing w:after="0" w:line="259" w:lineRule="auto"/>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of January 31, 2026, an aggregate of 12,501,521 shares of common stock were available for issuance under our ESPP. The number of shares available for issuance under our ESPP will also include an annual increase on the first day of each fiscal year, equal to the lesser of: one percent (1%) of the outstanding shares of our capital stock as of the last day of the immediately preceding fiscal year; or such other amount as our Board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800"/>
          </w:cols>
          <w:pgMar w:left="760" w:top="94" w:right="133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33" w:lineRule="exact"/>
        <w:rPr>
          <w:sz w:val="20"/>
          <w:szCs w:val="20"/>
          <w:color w:val="auto"/>
        </w:rPr>
      </w:pPr>
    </w:p>
    <w:p>
      <w:pPr>
        <w:ind w:left="800" w:right="819"/>
        <w:spacing w:after="0" w:line="262" w:lineRule="auto"/>
        <w:rPr>
          <w:sz w:val="20"/>
          <w:szCs w:val="20"/>
          <w:color w:val="auto"/>
        </w:rPr>
      </w:pPr>
      <w:r>
        <w:rPr>
          <w:rFonts w:ascii="Arial" w:cs="Arial" w:eastAsia="Arial" w:hAnsi="Arial"/>
          <w:sz w:val="47"/>
          <w:szCs w:val="47"/>
          <w:b w:val="1"/>
          <w:bCs w:val="1"/>
          <w:color w:val="auto"/>
        </w:rPr>
        <w:t>Security Ownership of Certain Beneficial Owners and Management</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capital stock as of</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April 3, 2026 for:</w:t>
      </w:r>
    </w:p>
    <w:p>
      <w:pPr>
        <w:spacing w:after="0" w:line="102" w:lineRule="exact"/>
        <w:rPr>
          <w:sz w:val="20"/>
          <w:szCs w:val="20"/>
          <w:color w:val="auto"/>
        </w:rPr>
      </w:pPr>
    </w:p>
    <w:p>
      <w:pPr>
        <w:ind w:left="1320" w:hanging="179"/>
        <w:spacing w:after="0"/>
        <w:tabs>
          <w:tab w:leader="none" w:pos="1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person, or group of affiliated persons, who beneficially owned more than 5% of our common stock;</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05" w:lineRule="exact"/>
        <w:rPr>
          <w:rFonts w:ascii="Arial" w:cs="Arial" w:eastAsia="Arial" w:hAnsi="Arial"/>
          <w:sz w:val="17"/>
          <w:szCs w:val="17"/>
          <w:color w:val="auto"/>
        </w:rPr>
      </w:pPr>
    </w:p>
    <w:p>
      <w:pPr>
        <w:ind w:left="1320" w:hanging="179"/>
        <w:spacing w:after="0"/>
        <w:tabs>
          <w:tab w:leader="none" w:pos="1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our directors and director nominees; and</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3" w:lineRule="exact"/>
        <w:rPr>
          <w:sz w:val="20"/>
          <w:szCs w:val="20"/>
          <w:color w:val="auto"/>
        </w:rPr>
      </w:pPr>
    </w:p>
    <w:p>
      <w:pPr>
        <w:ind w:left="800" w:right="139"/>
        <w:spacing w:after="0" w:line="252" w:lineRule="auto"/>
        <w:rPr>
          <w:sz w:val="20"/>
          <w:szCs w:val="20"/>
          <w:color w:val="auto"/>
        </w:rPr>
      </w:pPr>
      <w:r>
        <w:rPr>
          <w:rFonts w:ascii="Arial" w:cs="Arial" w:eastAsia="Arial" w:hAnsi="Arial"/>
          <w:sz w:val="17"/>
          <w:szCs w:val="17"/>
          <w:color w:val="auto"/>
        </w:rPr>
        <w:t>We have determined beneficial ownership in accordance with SEC rules,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As of April 3, 2026, 254,580,533 shares of our Class A common stock were outstanding and no shares of our Class B common stock were outstanding.</w:t>
      </w:r>
    </w:p>
    <w:p>
      <w:pPr>
        <w:spacing w:after="0" w:line="180" w:lineRule="exact"/>
        <w:rPr>
          <w:sz w:val="20"/>
          <w:szCs w:val="20"/>
          <w:color w:val="auto"/>
        </w:rPr>
      </w:pPr>
    </w:p>
    <w:p>
      <w:pPr>
        <w:ind w:left="800" w:right="739"/>
        <w:spacing w:after="0" w:line="282" w:lineRule="auto"/>
        <w:rPr>
          <w:sz w:val="20"/>
          <w:szCs w:val="20"/>
          <w:color w:val="auto"/>
        </w:rPr>
      </w:pPr>
      <w:r>
        <w:rPr>
          <w:rFonts w:ascii="Arial" w:cs="Arial" w:eastAsia="Arial" w:hAnsi="Arial"/>
          <w:sz w:val="17"/>
          <w:szCs w:val="17"/>
          <w:color w:val="auto"/>
        </w:rPr>
        <w:t>Unless otherwise indicated, the address of each beneficial owner listed in the table below is c/o CrowdStrike Holdings, Inc., 206 E. 9th Street, Suite 1400, Austin, Texas 78701.</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5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Beneficially</w:t>
            </w:r>
          </w:p>
        </w:tc>
        <w:tc>
          <w:tcPr>
            <w:tcW w:w="160" w:type="dxa"/>
            <w:vAlign w:val="bottom"/>
          </w:tcPr>
          <w:p>
            <w:pPr>
              <w:spacing w:after="0"/>
              <w:rPr>
                <w:sz w:val="13"/>
                <w:szCs w:val="13"/>
                <w:color w:val="auto"/>
              </w:rPr>
            </w:pPr>
          </w:p>
        </w:tc>
        <w:tc>
          <w:tcPr>
            <w:tcW w:w="800" w:type="dxa"/>
            <w:vAlign w:val="bottom"/>
            <w:gridSpan w:val="4"/>
          </w:tcPr>
          <w:p>
            <w:pPr>
              <w:jc w:val="center"/>
              <w:ind w:right="20"/>
              <w:spacing w:after="0" w:line="157" w:lineRule="exact"/>
              <w:rPr>
                <w:sz w:val="20"/>
                <w:szCs w:val="20"/>
                <w:color w:val="auto"/>
              </w:rPr>
            </w:pPr>
            <w:r>
              <w:rPr>
                <w:rFonts w:ascii="Arial" w:cs="Arial" w:eastAsia="Arial" w:hAnsi="Arial"/>
                <w:sz w:val="14"/>
                <w:szCs w:val="14"/>
                <w:b w:val="1"/>
                <w:bCs w:val="1"/>
                <w:color w:val="auto"/>
              </w:rPr>
              <w:t>Beneficially</w:t>
            </w:r>
          </w:p>
        </w:tc>
      </w:tr>
      <w:tr>
        <w:trPr>
          <w:trHeight w:val="192"/>
        </w:trPr>
        <w:tc>
          <w:tcPr>
            <w:tcW w:w="5900" w:type="dxa"/>
            <w:vAlign w:val="bottom"/>
            <w:tcBorders>
              <w:bottom w:val="single" w:sz="8" w:color="D6515D"/>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080" w:type="dxa"/>
            <w:vAlign w:val="bottom"/>
            <w:tcBorders>
              <w:bottom w:val="single" w:sz="8" w:color="D6515D"/>
            </w:tcBorders>
          </w:tcPr>
          <w:p>
            <w:pPr>
              <w:ind w:left="880"/>
              <w:spacing w:after="0"/>
              <w:rPr>
                <w:sz w:val="20"/>
                <w:szCs w:val="20"/>
                <w:color w:val="auto"/>
              </w:rPr>
            </w:pPr>
            <w:r>
              <w:rPr>
                <w:rFonts w:ascii="Arial" w:cs="Arial" w:eastAsia="Arial" w:hAnsi="Arial"/>
                <w:sz w:val="14"/>
                <w:szCs w:val="14"/>
                <w:b w:val="1"/>
                <w:bCs w:val="1"/>
                <w:color w:val="auto"/>
              </w:rPr>
              <w:t>​ ​</w:t>
            </w:r>
          </w:p>
        </w:tc>
        <w:tc>
          <w:tcPr>
            <w:tcW w:w="860" w:type="dxa"/>
            <w:vAlign w:val="bottom"/>
            <w:tcBorders>
              <w:bottom w:val="single" w:sz="8" w:color="D6515D"/>
            </w:tcBorders>
          </w:tcPr>
          <w:p>
            <w:pPr>
              <w:jc w:val="center"/>
              <w:ind w:right="17"/>
              <w:spacing w:after="0" w:line="193" w:lineRule="exact"/>
              <w:rPr>
                <w:sz w:val="20"/>
                <w:szCs w:val="20"/>
                <w:color w:val="auto"/>
              </w:rPr>
            </w:pPr>
            <w:r>
              <w:rPr>
                <w:rFonts w:ascii="Arial" w:cs="Arial" w:eastAsia="Arial" w:hAnsi="Arial"/>
                <w:sz w:val="14"/>
                <w:szCs w:val="14"/>
                <w:b w:val="1"/>
                <w:bCs w:val="1"/>
                <w:color w:val="auto"/>
                <w:w w:val="93"/>
              </w:rPr>
              <w:t xml:space="preserve">Owned </w:t>
            </w:r>
            <w:r>
              <w:rPr>
                <w:rFonts w:ascii="Arial" w:cs="Arial" w:eastAsia="Arial" w:hAnsi="Arial"/>
                <w:sz w:val="17"/>
                <w:szCs w:val="17"/>
                <w:b w:val="1"/>
                <w:bCs w:val="1"/>
                <w:color w:val="auto"/>
                <w:w w:val="93"/>
                <w:vertAlign w:val="superscript"/>
              </w:rPr>
              <w:t>(1)</w:t>
            </w:r>
          </w:p>
        </w:tc>
        <w:tc>
          <w:tcPr>
            <w:tcW w:w="160" w:type="dxa"/>
            <w:vAlign w:val="bottom"/>
            <w:tcBorders>
              <w:bottom w:val="single" w:sz="8" w:color="D6515D"/>
            </w:tcBorders>
          </w:tcPr>
          <w:p>
            <w:pPr>
              <w:ind w:left="20"/>
              <w:spacing w:after="0"/>
              <w:rPr>
                <w:sz w:val="20"/>
                <w:szCs w:val="20"/>
                <w:color w:val="auto"/>
              </w:rPr>
            </w:pPr>
            <w:r>
              <w:rPr>
                <w:rFonts w:ascii="Arial" w:cs="Arial" w:eastAsia="Arial" w:hAnsi="Arial"/>
                <w:sz w:val="14"/>
                <w:szCs w:val="14"/>
                <w:b w:val="1"/>
                <w:bCs w:val="1"/>
                <w:color w:val="auto"/>
              </w:rPr>
              <w:t>​ ​</w:t>
            </w:r>
          </w:p>
        </w:tc>
        <w:tc>
          <w:tcPr>
            <w:tcW w:w="720" w:type="dxa"/>
            <w:vAlign w:val="bottom"/>
            <w:tcBorders>
              <w:bottom w:val="single" w:sz="8" w:color="D6515D"/>
            </w:tcBorders>
            <w:gridSpan w:val="2"/>
          </w:tcPr>
          <w:p>
            <w:pPr>
              <w:jc w:val="center"/>
              <w:spacing w:after="0"/>
              <w:rPr>
                <w:sz w:val="20"/>
                <w:szCs w:val="20"/>
                <w:color w:val="auto"/>
              </w:rPr>
            </w:pPr>
            <w:r>
              <w:rPr>
                <w:rFonts w:ascii="Arial" w:cs="Arial" w:eastAsia="Arial" w:hAnsi="Arial"/>
                <w:sz w:val="14"/>
                <w:szCs w:val="14"/>
                <w:b w:val="1"/>
                <w:bCs w:val="1"/>
                <w:color w:val="auto"/>
                <w:w w:val="98"/>
              </w:rPr>
              <w:t>Owned</w:t>
            </w:r>
          </w:p>
        </w:tc>
        <w:tc>
          <w:tcPr>
            <w:tcW w:w="60" w:type="dxa"/>
            <w:vAlign w:val="bottom"/>
            <w:tcBorders>
              <w:bottom w:val="single" w:sz="8" w:color="D6515D"/>
            </w:tcBorders>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5900" w:type="dxa"/>
            <w:vAlign w:val="bottom"/>
          </w:tcPr>
          <w:p>
            <w:pPr>
              <w:spacing w:after="0"/>
              <w:rPr>
                <w:sz w:val="20"/>
                <w:szCs w:val="20"/>
                <w:color w:val="auto"/>
              </w:rPr>
            </w:pPr>
            <w:r>
              <w:rPr>
                <w:rFonts w:ascii="Arial" w:cs="Arial" w:eastAsia="Arial" w:hAnsi="Arial"/>
                <w:sz w:val="17"/>
                <w:szCs w:val="17"/>
                <w:b w:val="1"/>
                <w:bCs w:val="1"/>
                <w:color w:val="auto"/>
              </w:rPr>
              <w:t>Greater than 5% Stockholders:</w:t>
            </w:r>
          </w:p>
        </w:tc>
        <w:tc>
          <w:tcPr>
            <w:tcW w:w="1080" w:type="dxa"/>
            <w:vAlign w:val="bottom"/>
          </w:tcPr>
          <w:p>
            <w:pPr>
              <w:ind w:left="880"/>
              <w:spacing w:after="0"/>
              <w:rPr>
                <w:sz w:val="20"/>
                <w:szCs w:val="20"/>
                <w:color w:val="auto"/>
              </w:rPr>
            </w:pPr>
            <w:r>
              <w:rPr>
                <w:rFonts w:ascii="Arial" w:cs="Arial" w:eastAsia="Arial" w:hAnsi="Arial"/>
                <w:sz w:val="17"/>
                <w:szCs w:val="17"/>
                <w:b w:val="1"/>
                <w:bCs w:val="1"/>
                <w:color w:val="auto"/>
              </w:rPr>
              <w:t>​ ​​</w:t>
            </w:r>
          </w:p>
        </w:tc>
        <w:tc>
          <w:tcPr>
            <w:tcW w:w="8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7"/>
                <w:szCs w:val="17"/>
                <w:b w:val="1"/>
                <w:bCs w:val="1"/>
                <w:color w:val="auto"/>
              </w:rPr>
              <w:t>​ ​</w:t>
            </w:r>
          </w:p>
        </w:tc>
        <w:tc>
          <w:tcPr>
            <w:tcW w:w="36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BlackRock, Inc. </w:t>
            </w:r>
            <w:r>
              <w:rPr>
                <w:rFonts w:ascii="Arial" w:cs="Arial" w:eastAsia="Arial" w:hAnsi="Arial"/>
                <w:sz w:val="22"/>
                <w:szCs w:val="22"/>
                <w:color w:val="auto"/>
                <w:vertAlign w:val="superscript"/>
              </w:rPr>
              <w:t>(2)</w:t>
            </w:r>
          </w:p>
        </w:tc>
        <w:tc>
          <w:tcPr>
            <w:tcW w:w="1940" w:type="dxa"/>
            <w:vAlign w:val="bottom"/>
            <w:gridSpan w:val="2"/>
          </w:tcPr>
          <w:p>
            <w:pPr>
              <w:ind w:left="880"/>
              <w:spacing w:after="0"/>
              <w:rPr>
                <w:sz w:val="20"/>
                <w:szCs w:val="20"/>
                <w:color w:val="auto"/>
              </w:rPr>
            </w:pPr>
            <w:r>
              <w:rPr>
                <w:rFonts w:ascii="Arial" w:cs="Arial" w:eastAsia="Arial" w:hAnsi="Arial"/>
                <w:sz w:val="17"/>
                <w:szCs w:val="17"/>
                <w:color w:val="auto"/>
              </w:rPr>
              <w:t>​ ​​16,954,069</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​6.70% ​</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Vanguard Capital Management </w:t>
            </w:r>
            <w:r>
              <w:rPr>
                <w:rFonts w:ascii="Arial" w:cs="Arial" w:eastAsia="Arial" w:hAnsi="Arial"/>
                <w:sz w:val="22"/>
                <w:szCs w:val="22"/>
                <w:color w:val="auto"/>
                <w:vertAlign w:val="superscript"/>
              </w:rPr>
              <w:t>(3)</w:t>
            </w:r>
            <w:r>
              <w:rPr>
                <w:rFonts w:ascii="Arial" w:cs="Arial" w:eastAsia="Arial" w:hAnsi="Arial"/>
                <w:sz w:val="8"/>
                <w:szCs w:val="8"/>
                <w:color w:val="auto"/>
              </w:rPr>
              <w:t>​</w:t>
            </w:r>
          </w:p>
        </w:tc>
        <w:tc>
          <w:tcPr>
            <w:tcW w:w="1940" w:type="dxa"/>
            <w:vAlign w:val="bottom"/>
            <w:gridSpan w:val="2"/>
          </w:tcPr>
          <w:p>
            <w:pPr>
              <w:ind w:left="880"/>
              <w:spacing w:after="0"/>
              <w:rPr>
                <w:sz w:val="20"/>
                <w:szCs w:val="20"/>
                <w:color w:val="auto"/>
              </w:rPr>
            </w:pPr>
            <w:r>
              <w:rPr>
                <w:rFonts w:ascii="Arial" w:cs="Arial" w:eastAsia="Arial" w:hAnsi="Arial"/>
                <w:sz w:val="17"/>
                <w:szCs w:val="17"/>
                <w:color w:val="auto"/>
              </w:rPr>
              <w:t>​ ​​18,449,066</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​7.27% ​</w:t>
            </w:r>
          </w:p>
        </w:tc>
      </w:tr>
      <w:tr>
        <w:trPr>
          <w:trHeight w:val="248"/>
        </w:trPr>
        <w:tc>
          <w:tcPr>
            <w:tcW w:w="5900" w:type="dxa"/>
            <w:vAlign w:val="bottom"/>
          </w:tcPr>
          <w:p>
            <w:pPr>
              <w:spacing w:after="0"/>
              <w:rPr>
                <w:sz w:val="20"/>
                <w:szCs w:val="20"/>
                <w:color w:val="auto"/>
              </w:rPr>
            </w:pPr>
            <w:r>
              <w:rPr>
                <w:rFonts w:ascii="Arial" w:cs="Arial" w:eastAsia="Arial" w:hAnsi="Arial"/>
                <w:sz w:val="17"/>
                <w:szCs w:val="17"/>
                <w:b w:val="1"/>
                <w:bCs w:val="1"/>
                <w:color w:val="auto"/>
              </w:rPr>
              <w:t>Named Executive Officers, Directors and Director Nominees:</w:t>
            </w:r>
          </w:p>
        </w:tc>
        <w:tc>
          <w:tcPr>
            <w:tcW w:w="1080" w:type="dxa"/>
            <w:vAlign w:val="bottom"/>
          </w:tcPr>
          <w:p>
            <w:pPr>
              <w:ind w:left="880"/>
              <w:spacing w:after="0"/>
              <w:rPr>
                <w:sz w:val="20"/>
                <w:szCs w:val="20"/>
                <w:color w:val="auto"/>
              </w:rPr>
            </w:pPr>
            <w:r>
              <w:rPr>
                <w:rFonts w:ascii="Arial" w:cs="Arial" w:eastAsia="Arial" w:hAnsi="Arial"/>
                <w:sz w:val="17"/>
                <w:szCs w:val="17"/>
                <w:b w:val="1"/>
                <w:bCs w:val="1"/>
                <w:color w:val="auto"/>
              </w:rPr>
              <w:t>​ ​​</w:t>
            </w:r>
          </w:p>
        </w:tc>
        <w:tc>
          <w:tcPr>
            <w:tcW w:w="86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7"/>
                <w:szCs w:val="17"/>
                <w:b w:val="1"/>
                <w:bCs w:val="1"/>
                <w:color w:val="auto"/>
              </w:rPr>
              <w:t>​ ​</w:t>
            </w:r>
          </w:p>
        </w:tc>
        <w:tc>
          <w:tcPr>
            <w:tcW w:w="36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21"/>
                <w:szCs w:val="21"/>
                <w:color w:val="auto"/>
              </w:rPr>
            </w:pPr>
          </w:p>
        </w:tc>
        <w:tc>
          <w:tcPr>
            <w:tcW w:w="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George Kurtz </w:t>
            </w:r>
            <w:r>
              <w:rPr>
                <w:rFonts w:ascii="Arial" w:cs="Arial" w:eastAsia="Arial" w:hAnsi="Arial"/>
                <w:sz w:val="22"/>
                <w:szCs w:val="22"/>
                <w:color w:val="auto"/>
                <w:vertAlign w:val="superscript"/>
              </w:rPr>
              <w:t>(4)</w:t>
            </w:r>
          </w:p>
        </w:tc>
        <w:tc>
          <w:tcPr>
            <w:tcW w:w="1940" w:type="dxa"/>
            <w:vAlign w:val="bottom"/>
            <w:gridSpan w:val="2"/>
          </w:tcPr>
          <w:p>
            <w:pPr>
              <w:ind w:left="880"/>
              <w:spacing w:after="0"/>
              <w:rPr>
                <w:sz w:val="20"/>
                <w:szCs w:val="20"/>
                <w:color w:val="auto"/>
              </w:rPr>
            </w:pPr>
            <w:r>
              <w:rPr>
                <w:rFonts w:ascii="Arial" w:cs="Arial" w:eastAsia="Arial" w:hAnsi="Arial"/>
                <w:sz w:val="17"/>
                <w:szCs w:val="17"/>
                <w:color w:val="auto"/>
              </w:rPr>
              <w:t>​ ​​ 2,384,082</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Michael Sentonas </w:t>
            </w:r>
            <w:r>
              <w:rPr>
                <w:rFonts w:ascii="Arial" w:cs="Arial" w:eastAsia="Arial" w:hAnsi="Arial"/>
                <w:sz w:val="22"/>
                <w:szCs w:val="22"/>
                <w:color w:val="auto"/>
                <w:vertAlign w:val="superscript"/>
              </w:rPr>
              <w:t>(5)</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220,968</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Burt W. Podbere </w:t>
            </w:r>
            <w:r>
              <w:rPr>
                <w:rFonts w:ascii="Arial" w:cs="Arial" w:eastAsia="Arial" w:hAnsi="Arial"/>
                <w:sz w:val="22"/>
                <w:szCs w:val="22"/>
                <w:color w:val="auto"/>
                <w:vertAlign w:val="superscript"/>
              </w:rPr>
              <w:t>(6)</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360,726</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Shawn Henry </w:t>
            </w:r>
            <w:r>
              <w:rPr>
                <w:rFonts w:ascii="Arial" w:cs="Arial" w:eastAsia="Arial" w:hAnsi="Arial"/>
                <w:sz w:val="22"/>
                <w:szCs w:val="22"/>
                <w:color w:val="auto"/>
                <w:vertAlign w:val="superscript"/>
              </w:rPr>
              <w:t>(7)</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23,240</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Roxanne S. Austin </w:t>
            </w:r>
            <w:r>
              <w:rPr>
                <w:rFonts w:ascii="Arial" w:cs="Arial" w:eastAsia="Arial" w:hAnsi="Arial"/>
                <w:sz w:val="22"/>
                <w:szCs w:val="22"/>
                <w:color w:val="auto"/>
                <w:vertAlign w:val="superscript"/>
              </w:rPr>
              <w:t>(8)</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68,297</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Cary J. Davis </w:t>
            </w:r>
            <w:r>
              <w:rPr>
                <w:rFonts w:ascii="Arial" w:cs="Arial" w:eastAsia="Arial" w:hAnsi="Arial"/>
                <w:sz w:val="22"/>
                <w:szCs w:val="22"/>
                <w:color w:val="auto"/>
                <w:vertAlign w:val="superscript"/>
              </w:rPr>
              <w:t>(9)</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21,095</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5900" w:type="dxa"/>
            <w:vAlign w:val="bottom"/>
          </w:tcPr>
          <w:p>
            <w:pPr>
              <w:spacing w:after="0"/>
              <w:rPr>
                <w:sz w:val="20"/>
                <w:szCs w:val="20"/>
                <w:color w:val="auto"/>
              </w:rPr>
            </w:pPr>
            <w:r>
              <w:rPr>
                <w:rFonts w:ascii="Arial" w:cs="Arial" w:eastAsia="Arial" w:hAnsi="Arial"/>
                <w:sz w:val="17"/>
                <w:szCs w:val="17"/>
                <w:color w:val="auto"/>
              </w:rPr>
              <w:t>Johanna Flower</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75,551</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Sameer K. Gandhi </w:t>
            </w:r>
            <w:r>
              <w:rPr>
                <w:rFonts w:ascii="Arial" w:cs="Arial" w:eastAsia="Arial" w:hAnsi="Arial"/>
                <w:sz w:val="22"/>
                <w:szCs w:val="22"/>
                <w:color w:val="auto"/>
                <w:vertAlign w:val="superscript"/>
              </w:rPr>
              <w:t>(10)</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837,191</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Denis J. O’Leary </w:t>
            </w:r>
            <w:r>
              <w:rPr>
                <w:rFonts w:ascii="Arial" w:cs="Arial" w:eastAsia="Arial" w:hAnsi="Arial"/>
                <w:sz w:val="22"/>
                <w:szCs w:val="22"/>
                <w:color w:val="auto"/>
                <w:vertAlign w:val="superscript"/>
              </w:rPr>
              <w:t>(11)</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87,798</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5900" w:type="dxa"/>
            <w:vAlign w:val="bottom"/>
          </w:tcPr>
          <w:p>
            <w:pPr>
              <w:spacing w:after="0"/>
              <w:rPr>
                <w:sz w:val="20"/>
                <w:szCs w:val="20"/>
                <w:color w:val="auto"/>
              </w:rPr>
            </w:pPr>
            <w:r>
              <w:rPr>
                <w:rFonts w:ascii="Arial" w:cs="Arial" w:eastAsia="Arial" w:hAnsi="Arial"/>
                <w:sz w:val="17"/>
                <w:szCs w:val="17"/>
                <w:color w:val="auto"/>
              </w:rPr>
              <w:t>Laura J. Schumacher</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8,678</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Godfrey R. Sullivan </w:t>
            </w:r>
            <w:r>
              <w:rPr>
                <w:rFonts w:ascii="Arial" w:cs="Arial" w:eastAsia="Arial" w:hAnsi="Arial"/>
                <w:sz w:val="22"/>
                <w:szCs w:val="22"/>
                <w:color w:val="auto"/>
                <w:vertAlign w:val="superscript"/>
              </w:rPr>
              <w:t>(12)</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111,265</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74"/>
        </w:trPr>
        <w:tc>
          <w:tcPr>
            <w:tcW w:w="5900" w:type="dxa"/>
            <w:vAlign w:val="bottom"/>
          </w:tcPr>
          <w:p>
            <w:pPr>
              <w:spacing w:after="0"/>
              <w:rPr>
                <w:sz w:val="20"/>
                <w:szCs w:val="20"/>
                <w:color w:val="auto"/>
              </w:rPr>
            </w:pPr>
            <w:r>
              <w:rPr>
                <w:rFonts w:ascii="Arial" w:cs="Arial" w:eastAsia="Arial" w:hAnsi="Arial"/>
                <w:sz w:val="17"/>
                <w:szCs w:val="17"/>
                <w:color w:val="auto"/>
              </w:rPr>
              <w:t xml:space="preserve">Gerhard Watzinger </w:t>
            </w:r>
            <w:r>
              <w:rPr>
                <w:rFonts w:ascii="Arial" w:cs="Arial" w:eastAsia="Arial" w:hAnsi="Arial"/>
                <w:sz w:val="22"/>
                <w:szCs w:val="22"/>
                <w:color w:val="auto"/>
                <w:vertAlign w:val="superscript"/>
              </w:rPr>
              <w:t>(13)</w:t>
            </w:r>
            <w:r>
              <w:rPr>
                <w:rFonts w:ascii="Arial" w:cs="Arial" w:eastAsia="Arial" w:hAnsi="Arial"/>
                <w:sz w:val="17"/>
                <w:szCs w:val="17"/>
                <w:color w:val="auto"/>
              </w:rPr>
              <w:t>​</w:t>
            </w:r>
          </w:p>
        </w:tc>
        <w:tc>
          <w:tcPr>
            <w:tcW w:w="1080" w:type="dxa"/>
            <w:vAlign w:val="bottom"/>
          </w:tcPr>
          <w:p>
            <w:pPr>
              <w:ind w:left="880"/>
              <w:spacing w:after="0"/>
              <w:rPr>
                <w:sz w:val="20"/>
                <w:szCs w:val="20"/>
                <w:color w:val="auto"/>
              </w:rPr>
            </w:pPr>
            <w:r>
              <w:rPr>
                <w:rFonts w:ascii="Arial" w:cs="Arial" w:eastAsia="Arial" w:hAnsi="Arial"/>
                <w:sz w:val="17"/>
                <w:szCs w:val="17"/>
                <w:color w:val="auto"/>
              </w:rPr>
              <w:t>​ ​​</w:t>
            </w:r>
          </w:p>
        </w:tc>
        <w:tc>
          <w:tcPr>
            <w:tcW w:w="860" w:type="dxa"/>
            <w:vAlign w:val="bottom"/>
          </w:tcPr>
          <w:p>
            <w:pPr>
              <w:jc w:val="right"/>
              <w:spacing w:after="0"/>
              <w:rPr>
                <w:sz w:val="20"/>
                <w:szCs w:val="20"/>
                <w:color w:val="auto"/>
              </w:rPr>
            </w:pPr>
            <w:r>
              <w:rPr>
                <w:rFonts w:ascii="Arial" w:cs="Arial" w:eastAsia="Arial" w:hAnsi="Arial"/>
                <w:sz w:val="17"/>
                <w:szCs w:val="17"/>
                <w:color w:val="auto"/>
              </w:rPr>
              <w:t>86,414</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307"/>
        </w:trPr>
        <w:tc>
          <w:tcPr>
            <w:tcW w:w="5900" w:type="dxa"/>
            <w:vAlign w:val="bottom"/>
          </w:tcPr>
          <w:p>
            <w:pPr>
              <w:spacing w:after="0"/>
              <w:rPr>
                <w:sz w:val="20"/>
                <w:szCs w:val="20"/>
                <w:color w:val="auto"/>
              </w:rPr>
            </w:pPr>
            <w:r>
              <w:rPr>
                <w:rFonts w:ascii="Arial" w:cs="Arial" w:eastAsia="Arial" w:hAnsi="Arial"/>
                <w:sz w:val="17"/>
                <w:szCs w:val="17"/>
                <w:color w:val="auto"/>
              </w:rPr>
              <w:t xml:space="preserve">All executive officers and directors as a group (11 persons) </w:t>
            </w:r>
            <w:r>
              <w:rPr>
                <w:rFonts w:ascii="Arial" w:cs="Arial" w:eastAsia="Arial" w:hAnsi="Arial"/>
                <w:sz w:val="22"/>
                <w:szCs w:val="22"/>
                <w:color w:val="auto"/>
                <w:vertAlign w:val="superscript"/>
              </w:rPr>
              <w:t>(14)</w:t>
            </w:r>
            <w:r>
              <w:rPr>
                <w:rFonts w:ascii="Arial" w:cs="Arial" w:eastAsia="Arial" w:hAnsi="Arial"/>
                <w:sz w:val="17"/>
                <w:szCs w:val="17"/>
                <w:color w:val="auto"/>
              </w:rPr>
              <w:t>​</w:t>
            </w:r>
          </w:p>
        </w:tc>
        <w:tc>
          <w:tcPr>
            <w:tcW w:w="1940" w:type="dxa"/>
            <w:vAlign w:val="bottom"/>
            <w:gridSpan w:val="2"/>
          </w:tcPr>
          <w:p>
            <w:pPr>
              <w:ind w:left="880"/>
              <w:spacing w:after="0"/>
              <w:rPr>
                <w:sz w:val="20"/>
                <w:szCs w:val="20"/>
                <w:color w:val="auto"/>
              </w:rPr>
            </w:pPr>
            <w:r>
              <w:rPr>
                <w:rFonts w:ascii="Arial" w:cs="Arial" w:eastAsia="Arial" w:hAnsi="Arial"/>
                <w:sz w:val="17"/>
                <w:szCs w:val="17"/>
                <w:color w:val="auto"/>
              </w:rPr>
              <w:t>​ ​​ 4,262,065</w:t>
            </w:r>
          </w:p>
        </w:tc>
        <w:tc>
          <w:tcPr>
            <w:tcW w:w="160" w:type="dxa"/>
            <w:vAlign w:val="bottom"/>
          </w:tcPr>
          <w:p>
            <w:pPr>
              <w:ind w:left="20"/>
              <w:spacing w:after="0"/>
              <w:rPr>
                <w:sz w:val="20"/>
                <w:szCs w:val="20"/>
                <w:color w:val="auto"/>
              </w:rPr>
            </w:pPr>
            <w:r>
              <w:rPr>
                <w:rFonts w:ascii="Arial" w:cs="Arial" w:eastAsia="Arial" w:hAnsi="Arial"/>
                <w:sz w:val="17"/>
                <w:szCs w:val="17"/>
                <w:color w:val="auto"/>
              </w:rPr>
              <w:t>​ ​</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-2758440</wp:posOffset>
            </wp:positionV>
            <wp:extent cx="5576570" cy="173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-2410460</wp:posOffset>
            </wp:positionV>
            <wp:extent cx="5576570" cy="157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-2078355</wp:posOffset>
            </wp:positionV>
            <wp:extent cx="5576570" cy="173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-1729740</wp:posOffset>
            </wp:positionV>
            <wp:extent cx="5576570" cy="173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-1381125</wp:posOffset>
            </wp:positionV>
            <wp:extent cx="5576570" cy="173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-1049020</wp:posOffset>
            </wp:positionV>
            <wp:extent cx="5576570" cy="173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-700405</wp:posOffset>
            </wp:positionV>
            <wp:extent cx="5576570" cy="157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6570" cy="1574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-368935</wp:posOffset>
            </wp:positionV>
            <wp:extent cx="5576570" cy="173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76570" cy="1739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120015</wp:posOffset>
            </wp:positionV>
            <wp:extent cx="11950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Less than one percent</w:t>
      </w:r>
    </w:p>
    <w:p>
      <w:pPr>
        <w:spacing w:after="0" w:line="77" w:lineRule="exact"/>
        <w:rPr>
          <w:sz w:val="20"/>
          <w:szCs w:val="20"/>
          <w:color w:val="auto"/>
        </w:rPr>
      </w:pPr>
    </w:p>
    <w:p>
      <w:pPr>
        <w:ind w:left="1140" w:right="239" w:hanging="347"/>
        <w:spacing w:after="0" w:line="267"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our officers and directors and Schedules 13D and 13G filed with the SEC unless otherwise indicated.</w:t>
      </w:r>
    </w:p>
    <w:p>
      <w:pPr>
        <w:spacing w:after="0" w:line="34" w:lineRule="exact"/>
        <w:rPr>
          <w:rFonts w:ascii="Arial" w:cs="Arial" w:eastAsia="Arial" w:hAnsi="Arial"/>
          <w:sz w:val="16"/>
          <w:szCs w:val="16"/>
          <w:color w:val="auto"/>
        </w:rPr>
      </w:pPr>
    </w:p>
    <w:p>
      <w:pPr>
        <w:ind w:left="1140" w:right="159" w:hanging="347"/>
        <w:spacing w:after="0" w:line="259"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shares based solely on information reported on Schedule 13G filed with the SEC on January 26, 2024, reporting sole power to vote 15,535,839 shares, sole power to dispose of 16,954,069 shares, shared power to vote no shares, and shared power to dispose of no shares as of December 31, 2023. The address of BlackRock, Inc. is 50 Hudson Yards, New York, NY 10001.</w:t>
      </w:r>
    </w:p>
    <w:p>
      <w:pPr>
        <w:spacing w:after="0" w:line="42" w:lineRule="exact"/>
        <w:rPr>
          <w:rFonts w:ascii="Arial" w:cs="Arial" w:eastAsia="Arial" w:hAnsi="Arial"/>
          <w:sz w:val="16"/>
          <w:szCs w:val="16"/>
          <w:color w:val="auto"/>
        </w:rPr>
      </w:pPr>
    </w:p>
    <w:p>
      <w:pPr>
        <w:ind w:left="1140" w:right="319" w:hanging="347"/>
        <w:spacing w:after="0" w:line="259"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Number of shares based solely on information reported on Schedule 13G filed with the SEC on April 29, 2026, reporting sole power to vote 2,483,673 shares, sole power to dispose of 18,449,066 shares, shared power to vote no shares, and shared power to dispose of no shares as of March 31, 2026. The address of The Vanguard Group is 100 Vanguard Blvd., Malvern, PA 19355.</w:t>
      </w:r>
    </w:p>
    <w:p>
      <w:pPr>
        <w:spacing w:after="0" w:line="29" w:lineRule="exact"/>
        <w:rPr>
          <w:rFonts w:ascii="Arial" w:cs="Arial" w:eastAsia="Arial" w:hAnsi="Arial"/>
          <w:sz w:val="16"/>
          <w:szCs w:val="16"/>
          <w:color w:val="auto"/>
        </w:rPr>
      </w:pPr>
    </w:p>
    <w:p>
      <w:pPr>
        <w:ind w:left="1140" w:right="239" w:hanging="347"/>
        <w:spacing w:after="0" w:line="270" w:lineRule="auto"/>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(i) 1,804,119 shares of common stock held of record by Mr. Kurtz, (ii) 111,099 shares of common stock held by trusts with an independent trustee, over which Mr. Kurtz has shared voting and shared dispositive power, (iii) PSUs for 16,875 shares of common stock, for which vesting conditions</w:t>
      </w:r>
    </w:p>
    <w:p>
      <w:pPr>
        <w:spacing w:after="0" w:line="375"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58 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4" w:lineRule="exact"/>
        <w:rPr>
          <w:sz w:val="20"/>
          <w:szCs w:val="20"/>
          <w:color w:val="auto"/>
        </w:rPr>
      </w:pPr>
    </w:p>
    <w:p>
      <w:pPr>
        <w:ind w:left="1140" w:right="239"/>
        <w:spacing w:after="0" w:line="261" w:lineRule="auto"/>
        <w:rPr>
          <w:sz w:val="20"/>
          <w:szCs w:val="20"/>
          <w:color w:val="auto"/>
        </w:rPr>
      </w:pPr>
      <w:r>
        <w:rPr>
          <w:rFonts w:ascii="Arial" w:cs="Arial" w:eastAsia="Arial" w:hAnsi="Arial"/>
          <w:sz w:val="16"/>
          <w:szCs w:val="16"/>
          <w:color w:val="auto"/>
        </w:rPr>
        <w:t>would be satisfied within 60 days of April 3, 2026, (iv) 351,989 shares subject to options exercisable for common stock within 60 days of April 3, 2026, and (v) 100,000 shares of common stock held of record by the Kurtz Family Dynasty Trust, for which Mr. Kurtz serves as investment advisor.</w:t>
      </w:r>
    </w:p>
    <w:p>
      <w:pPr>
        <w:spacing w:after="0" w:line="40" w:lineRule="exact"/>
        <w:rPr>
          <w:sz w:val="20"/>
          <w:szCs w:val="20"/>
          <w:color w:val="auto"/>
        </w:rPr>
      </w:pPr>
    </w:p>
    <w:p>
      <w:pPr>
        <w:ind w:left="1140" w:right="459" w:hanging="347"/>
        <w:spacing w:after="0" w:line="284"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212,738 shares of common stock held of record by Mr. Sentonas and (ii) 8,230 shares subject to options exercisable for shares of common stock within 60 days of April 3, 2026.</w:t>
      </w:r>
    </w:p>
    <w:p>
      <w:pPr>
        <w:spacing w:after="0" w:line="21" w:lineRule="exact"/>
        <w:rPr>
          <w:rFonts w:ascii="Arial" w:cs="Arial" w:eastAsia="Arial" w:hAnsi="Arial"/>
          <w:sz w:val="16"/>
          <w:szCs w:val="16"/>
          <w:color w:val="auto"/>
        </w:rPr>
      </w:pPr>
    </w:p>
    <w:p>
      <w:pPr>
        <w:ind w:left="1140" w:right="159" w:hanging="347"/>
        <w:spacing w:after="0" w:line="267" w:lineRule="auto"/>
        <w:tabs>
          <w:tab w:leader="none" w:pos="11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Consists of (i) 64,062 shares of common stock held of record by Mr. Podbere, (ii) PSUs for 3,593 shares of common stock, for which vesting conditions would be satisfied within 60 days of April 3, 2026, (iii) 42,800 shares of common stock held of record by The Doris Trust, (iv) 42,800 shares of common stock held of record by The Buttonwillow Trust, (v) 15,000 shares of common stock held of record by The Doris Ranch Pod Trust, for which Mr. Podbere serves as trustee, (vi) 29,500 shares of common stock held of record by The PericlesPod Trust, for which Mr. Podbere serves as trustee, (vii) 1,929 shares of common stock held of record by The PersephonePod Trust, for which Mr. Podbere serves as trustee, (viii) 18,868 shares of common stock held of record by The PlutoPod Trust, for which Mr. Podbere serves as trustee, (ix) 10,430 shares of common stock held of record by The Callie Hodia Podbere Children’s Trust, for which Mr. Podbere serves as trustee,</w:t>
      </w:r>
    </w:p>
    <w:p>
      <w:pPr>
        <w:spacing w:after="0" w:line="3" w:lineRule="exact"/>
        <w:rPr>
          <w:rFonts w:ascii="Arial" w:cs="Arial" w:eastAsia="Arial" w:hAnsi="Arial"/>
          <w:sz w:val="15"/>
          <w:szCs w:val="15"/>
          <w:color w:val="auto"/>
        </w:rPr>
      </w:pPr>
    </w:p>
    <w:p>
      <w:pPr>
        <w:ind w:left="1140" w:right="219" w:firstLine="1"/>
        <w:spacing w:after="0" w:line="252" w:lineRule="auto"/>
        <w:tabs>
          <w:tab w:leader="none" w:pos="1362" w:val="left"/>
        </w:tabs>
        <w:numPr>
          <w:ilvl w:val="1"/>
          <w:numId w:val="82"/>
        </w:numPr>
        <w:rPr>
          <w:rFonts w:ascii="Arial" w:cs="Arial" w:eastAsia="Arial" w:hAnsi="Arial"/>
          <w:sz w:val="16"/>
          <w:szCs w:val="16"/>
          <w:color w:val="auto"/>
        </w:rPr>
      </w:pPr>
      <w:r>
        <w:rPr>
          <w:rFonts w:ascii="Arial" w:cs="Arial" w:eastAsia="Arial" w:hAnsi="Arial"/>
          <w:sz w:val="16"/>
          <w:szCs w:val="16"/>
          <w:color w:val="auto"/>
        </w:rPr>
        <w:t>10,430 shares of common stock held of record by The Indiana Hope Podbere Children’s Trust, for which Mr. Podbere serves as trustee, (xi) 16,933 shares of common stock held of record by The LunaPod Trust, for which Mr. Podbere serves as trustee, (xii) 20,386 shares of common stock held of record by The OvidPod Trust, for which Mr. Podbere serves as trustee, (xiii) 19,371 shares of common stock held of record by The PetraPod Trust, for which Mr. Podbere serves as trustee, (xiv) 12,624 shares of common stock held of record by The Whistler Pod Trust, for which Mr. Podbere serves as trustee, and (xv) 52,000 shares of common stock held of record by Mr. Podbere’s spouse.</w:t>
      </w:r>
    </w:p>
    <w:p>
      <w:pPr>
        <w:spacing w:after="0" w:line="46" w:lineRule="exact"/>
        <w:rPr>
          <w:rFonts w:ascii="Arial" w:cs="Arial" w:eastAsia="Arial" w:hAnsi="Arial"/>
          <w:sz w:val="16"/>
          <w:szCs w:val="16"/>
          <w:color w:val="auto"/>
        </w:rPr>
      </w:pPr>
    </w:p>
    <w:p>
      <w:pPr>
        <w:ind w:left="1140" w:hanging="347"/>
        <w:spacing w:after="0"/>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23,240 shares of common stock held of record by the Shawn Henry Revocable Trust.</w:t>
      </w:r>
    </w:p>
    <w:p>
      <w:pPr>
        <w:spacing w:after="0" w:line="77" w:lineRule="exact"/>
        <w:rPr>
          <w:rFonts w:ascii="Arial" w:cs="Arial" w:eastAsia="Arial" w:hAnsi="Arial"/>
          <w:sz w:val="16"/>
          <w:szCs w:val="16"/>
          <w:color w:val="auto"/>
        </w:rPr>
      </w:pPr>
    </w:p>
    <w:p>
      <w:pPr>
        <w:ind w:left="1140" w:right="659" w:hanging="347"/>
        <w:spacing w:after="0" w:line="284"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18,297 shares of common stock held of record by Ms. Austin and (ii) 50,000 shares subject to options exercisable for shares of common stock within 60 days of April 3, 2026.</w:t>
      </w:r>
    </w:p>
    <w:p>
      <w:pPr>
        <w:spacing w:after="0" w:line="21" w:lineRule="exact"/>
        <w:rPr>
          <w:rFonts w:ascii="Arial" w:cs="Arial" w:eastAsia="Arial" w:hAnsi="Arial"/>
          <w:sz w:val="16"/>
          <w:szCs w:val="16"/>
          <w:color w:val="auto"/>
        </w:rPr>
      </w:pPr>
    </w:p>
    <w:p>
      <w:pPr>
        <w:ind w:left="1140" w:right="219" w:hanging="347"/>
        <w:spacing w:after="0" w:line="261"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9,951 shares of common stock held of record by Mr. Davis, (ii) 9,199 shares of common stock held of record by The 2011 Davis Family Trust, and (iii) 1,945 shares of common stock held of record by The 2014 John McGinn GST Trust. The address for Mr. Davis is 450 Lexington Avenue, New York, New York 10017.</w:t>
      </w:r>
    </w:p>
    <w:p>
      <w:pPr>
        <w:spacing w:after="0" w:line="40" w:lineRule="exact"/>
        <w:rPr>
          <w:rFonts w:ascii="Arial" w:cs="Arial" w:eastAsia="Arial" w:hAnsi="Arial"/>
          <w:sz w:val="16"/>
          <w:szCs w:val="16"/>
          <w:color w:val="auto"/>
        </w:rPr>
      </w:pPr>
    </w:p>
    <w:p>
      <w:pPr>
        <w:ind w:left="1140" w:right="299" w:hanging="347"/>
        <w:spacing w:after="0" w:line="258"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7,019 shares of common stock held of record by Mr. Gandhi, (ii) 762,983 shares of common stock held of record by Potomac Investments LP- FUND 1, (iii) 29,868 shares of common stock held of record by The Potomac 2011 Irrevocable Trust, for which Mr. Gandhi serves as trustee, (iv) 29,189 shares of common stock held of record by The Potomac Trust Dated 9/21/2001, and (v) 8,132 shares of common stock held of record by The Potomac 2011 Nonexempt Trust u/a/d 10/31/2011, for which Mr. Gandhi serves as trustee.</w:t>
      </w:r>
    </w:p>
    <w:p>
      <w:pPr>
        <w:spacing w:after="0" w:line="43" w:lineRule="exact"/>
        <w:rPr>
          <w:rFonts w:ascii="Arial" w:cs="Arial" w:eastAsia="Arial" w:hAnsi="Arial"/>
          <w:sz w:val="16"/>
          <w:szCs w:val="16"/>
          <w:color w:val="auto"/>
        </w:rPr>
      </w:pPr>
    </w:p>
    <w:p>
      <w:pPr>
        <w:jc w:val="both"/>
        <w:ind w:left="1140" w:right="379" w:hanging="347"/>
        <w:spacing w:after="0" w:line="261"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43,983 shares of common stock held of record by Mr. O’Leary, (ii) 19,582 shares of common stock held of record by O’Leary 2022 Charitable Remainder Trust DTD 3/15/22, (iii) 13,417 shares of common stock held of record by Ryderco LLC, and (iv) 10,816 shares of common stock held of record by Hohnco LLC.</w:t>
      </w:r>
    </w:p>
    <w:p>
      <w:pPr>
        <w:spacing w:after="0" w:line="40" w:lineRule="exact"/>
        <w:rPr>
          <w:rFonts w:ascii="Arial" w:cs="Arial" w:eastAsia="Arial" w:hAnsi="Arial"/>
          <w:sz w:val="16"/>
          <w:szCs w:val="16"/>
          <w:color w:val="auto"/>
        </w:rPr>
      </w:pPr>
    </w:p>
    <w:p>
      <w:pPr>
        <w:ind w:left="1140" w:right="279" w:hanging="347"/>
        <w:spacing w:after="0" w:line="284"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25,624 shares of common stock held of record by Mr. Sullivan and (ii) 85,641 shares of common stock held of record by the Godfrey and Suzanne Sullivan Revocable Trust.</w:t>
      </w:r>
    </w:p>
    <w:p>
      <w:pPr>
        <w:spacing w:after="0" w:line="21" w:lineRule="exact"/>
        <w:rPr>
          <w:rFonts w:ascii="Arial" w:cs="Arial" w:eastAsia="Arial" w:hAnsi="Arial"/>
          <w:sz w:val="16"/>
          <w:szCs w:val="16"/>
          <w:color w:val="auto"/>
        </w:rPr>
      </w:pPr>
    </w:p>
    <w:p>
      <w:pPr>
        <w:ind w:left="1140" w:right="159" w:hanging="347"/>
        <w:spacing w:after="0" w:line="261" w:lineRule="auto"/>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7,523 shares of common stock held of record by Mr. Watzinger, (ii) 42,391 shares of common stock held of record by Clavius Capital LLC, (iii) 29,500 shares of common stock held of record by Clavius AP LLC, and (iv) 7,000 shares of common stock held of record by Mr. Watzinger’s spouse.</w:t>
      </w:r>
    </w:p>
    <w:p>
      <w:pPr>
        <w:spacing w:after="0" w:line="40" w:lineRule="exact"/>
        <w:rPr>
          <w:rFonts w:ascii="Arial" w:cs="Arial" w:eastAsia="Arial" w:hAnsi="Arial"/>
          <w:sz w:val="16"/>
          <w:szCs w:val="16"/>
          <w:color w:val="auto"/>
        </w:rPr>
      </w:pPr>
    </w:p>
    <w:p>
      <w:pPr>
        <w:ind w:left="1140" w:right="319" w:hanging="347"/>
        <w:spacing w:after="0" w:line="273" w:lineRule="auto"/>
        <w:tabs>
          <w:tab w:leader="none" w:pos="11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Consists of (i) 3,831,378 shares of common stock beneficially owned by our executive officers and directors, (ii) PSUs for 20,468 shares of common stock, for which vesting conditions would be satisfied within 60 days of April 3, 2026, and</w:t>
      </w:r>
    </w:p>
    <w:p>
      <w:pPr>
        <w:ind w:left="1380" w:hanging="239"/>
        <w:spacing w:after="0"/>
        <w:tabs>
          <w:tab w:leader="none" w:pos="13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410,219 shares subject to options exercisable for shares of common stock within 60 days of April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Delinquent Section 16(a) Reports</w:t>
      </w:r>
    </w:p>
    <w:p>
      <w:pPr>
        <w:spacing w:after="0" w:line="110" w:lineRule="exact"/>
        <w:rPr>
          <w:sz w:val="20"/>
          <w:szCs w:val="20"/>
          <w:color w:val="auto"/>
        </w:rPr>
      </w:pPr>
    </w:p>
    <w:p>
      <w:pPr>
        <w:ind w:left="800" w:right="279"/>
        <w:spacing w:after="0" w:line="254" w:lineRule="auto"/>
        <w:rPr>
          <w:sz w:val="20"/>
          <w:szCs w:val="20"/>
          <w:color w:val="auto"/>
        </w:rPr>
      </w:pPr>
      <w:r>
        <w:rPr>
          <w:rFonts w:ascii="Arial" w:cs="Arial" w:eastAsia="Arial" w:hAnsi="Arial"/>
          <w:sz w:val="17"/>
          <w:szCs w:val="17"/>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 to furnish the Company with copies of all Section 16(a) forms they file.</w:t>
      </w:r>
    </w:p>
    <w:p>
      <w:pPr>
        <w:spacing w:after="0" w:line="165" w:lineRule="exact"/>
        <w:rPr>
          <w:sz w:val="20"/>
          <w:szCs w:val="20"/>
          <w:color w:val="auto"/>
        </w:rPr>
      </w:pPr>
    </w:p>
    <w:p>
      <w:pPr>
        <w:ind w:left="800" w:right="159"/>
        <w:spacing w:after="0" w:line="269" w:lineRule="auto"/>
        <w:rPr>
          <w:sz w:val="20"/>
          <w:szCs w:val="20"/>
          <w:color w:val="auto"/>
        </w:rPr>
      </w:pPr>
      <w:r>
        <w:rPr>
          <w:rFonts w:ascii="Arial" w:cs="Arial" w:eastAsia="Arial" w:hAnsi="Arial"/>
          <w:sz w:val="17"/>
          <w:szCs w:val="17"/>
          <w:color w:val="auto"/>
        </w:rPr>
        <w:t>To the Company’s knowledge, based solely on a review of the copies of such reports furnished to the Company and written representations that no other reports were required, during fiscal 2026, all Section 16(a) filing requirements applicable to its officers, directors and greater than 10% beneficial owners were complied with.</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Legal Proceedings</w:t>
      </w:r>
    </w:p>
    <w:p>
      <w:pPr>
        <w:spacing w:after="0" w:line="110" w:lineRule="exact"/>
        <w:rPr>
          <w:sz w:val="20"/>
          <w:szCs w:val="20"/>
          <w:color w:val="auto"/>
        </w:rPr>
      </w:pPr>
    </w:p>
    <w:p>
      <w:pPr>
        <w:ind w:left="800" w:right="159"/>
        <w:spacing w:after="0" w:line="254" w:lineRule="auto"/>
        <w:rPr>
          <w:sz w:val="20"/>
          <w:szCs w:val="20"/>
          <w:color w:val="auto"/>
        </w:rPr>
      </w:pPr>
      <w:r>
        <w:rPr>
          <w:rFonts w:ascii="Arial" w:cs="Arial" w:eastAsia="Arial" w:hAnsi="Arial"/>
          <w:sz w:val="17"/>
          <w:szCs w:val="17"/>
          <w:color w:val="auto"/>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On November 21, 2024, all three cases were consolidated and stayed pending resolution of the putative securities class action described in our Annual Report on Form 10-K for the fiscal year ended January 31, 2026. On April 16, 2026, the court ordered the consolidated lawsuits dismissed.</w:t>
      </w:r>
    </w:p>
    <w:p>
      <w:pPr>
        <w:spacing w:after="0" w:line="167" w:lineRule="exact"/>
        <w:rPr>
          <w:sz w:val="20"/>
          <w:szCs w:val="20"/>
          <w:color w:val="auto"/>
        </w:rPr>
      </w:pPr>
    </w:p>
    <w:p>
      <w:pPr>
        <w:ind w:left="800" w:right="159"/>
        <w:spacing w:after="0" w:line="255" w:lineRule="auto"/>
        <w:rPr>
          <w:sz w:val="20"/>
          <w:szCs w:val="20"/>
          <w:color w:val="auto"/>
        </w:rPr>
      </w:pPr>
      <w:r>
        <w:rPr>
          <w:rFonts w:ascii="Arial" w:cs="Arial" w:eastAsia="Arial" w:hAnsi="Arial"/>
          <w:sz w:val="17"/>
          <w:szCs w:val="17"/>
          <w:color w:val="auto"/>
        </w:rPr>
        <w:t>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On July 18, 2025, these consolidated lawsuits were stayed pending resolution of the putative securities class action described above. On April 7, 2026, the court ordered the consolidated lawsuits dismissed.</w:t>
      </w:r>
    </w:p>
    <w:p>
      <w:pPr>
        <w:spacing w:after="0" w:line="165" w:lineRule="exact"/>
        <w:rPr>
          <w:sz w:val="20"/>
          <w:szCs w:val="20"/>
          <w:color w:val="auto"/>
        </w:rPr>
      </w:pPr>
    </w:p>
    <w:p>
      <w:pPr>
        <w:ind w:left="800" w:right="299"/>
        <w:spacing w:after="0" w:line="255" w:lineRule="auto"/>
        <w:rPr>
          <w:sz w:val="20"/>
          <w:szCs w:val="20"/>
          <w:color w:val="auto"/>
        </w:rPr>
      </w:pPr>
      <w:r>
        <w:rPr>
          <w:rFonts w:ascii="Arial" w:cs="Arial" w:eastAsia="Arial" w:hAnsi="Arial"/>
          <w:sz w:val="17"/>
          <w:szCs w:val="17"/>
          <w:color w:val="auto"/>
        </w:rPr>
        <w:t>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 On March 18, 2026, the court ordered the consolidated lawsuits dismissed.</w:t>
      </w:r>
    </w:p>
    <w:p>
      <w:pPr>
        <w:spacing w:after="0" w:line="177" w:lineRule="exact"/>
        <w:rPr>
          <w:sz w:val="20"/>
          <w:szCs w:val="20"/>
          <w:color w:val="auto"/>
        </w:rPr>
      </w:pPr>
    </w:p>
    <w:p>
      <w:pPr>
        <w:ind w:left="800" w:right="159"/>
        <w:spacing w:after="0" w:line="255" w:lineRule="auto"/>
        <w:rPr>
          <w:sz w:val="20"/>
          <w:szCs w:val="20"/>
          <w:color w:val="auto"/>
        </w:rPr>
      </w:pPr>
      <w:r>
        <w:rPr>
          <w:rFonts w:ascii="Arial" w:cs="Arial" w:eastAsia="Arial" w:hAnsi="Arial"/>
          <w:sz w:val="17"/>
          <w:szCs w:val="17"/>
          <w:color w:val="auto"/>
        </w:rPr>
        <w:t>To the best of our knowledge, other than as discussed above, there is no proceeding that is reasonably possible to be material to which any director, officer or affiliate of the Company, any owner of record or beneficially of more than 5% of any class of voting securities of the Company, any associate of any such director, officer, affiliate of the Company, or security holder is a party adverse to the Company or any of its subsidiaries or has a material interest adverse to the Company or any of its subsidiaries.</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Transactions with Related Parties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Policies and Procedures for Related Party Transactions</w:t>
      </w:r>
    </w:p>
    <w:p>
      <w:pPr>
        <w:spacing w:after="0" w:line="100" w:lineRule="exact"/>
        <w:rPr>
          <w:sz w:val="20"/>
          <w:szCs w:val="20"/>
          <w:color w:val="auto"/>
        </w:rPr>
      </w:pPr>
    </w:p>
    <w:p>
      <w:pPr>
        <w:ind w:left="800" w:right="119"/>
        <w:spacing w:after="0" w:line="250" w:lineRule="auto"/>
        <w:rPr>
          <w:sz w:val="20"/>
          <w:szCs w:val="20"/>
          <w:color w:val="auto"/>
        </w:rPr>
      </w:pPr>
      <w:r>
        <w:rPr>
          <w:rFonts w:ascii="Arial" w:cs="Arial" w:eastAsia="Arial" w:hAnsi="Arial"/>
          <w:sz w:val="17"/>
          <w:szCs w:val="17"/>
          <w:color w:val="auto"/>
        </w:rPr>
        <w:t>In 2019 we adopted the CrowdStrike Related Party Transaction Policy providing that our executive officers, directors, nominees for election as directors, persons known to us to be beneficial owners of more than 5% of any class of our voting securities and any member of the immediate family of any of the foregoing persons (each a “Related Person”), are not permitted to enter into a related-party transaction with us without the consent or ratification of our Board, Audit Committee, or a comparable body of the Board consisting solely of independent directors, subject to the exceptions described below. A “Related Person Transaction” means any financial transaction, arrangement or relationship or any series of similar transactions, arrangements or relationships (including indebtedness and guarantees of indebtedness and transactions involving employment and similar relationships) involving the Company in which a Related Person has or will have a direct or indirect material interest, as determined by the Audit Committee.</w:t>
      </w:r>
    </w:p>
    <w:p>
      <w:pPr>
        <w:spacing w:after="0" w:line="185" w:lineRule="exact"/>
        <w:rPr>
          <w:sz w:val="20"/>
          <w:szCs w:val="20"/>
          <w:color w:val="auto"/>
        </w:rPr>
      </w:pPr>
    </w:p>
    <w:p>
      <w:pPr>
        <w:ind w:left="800" w:right="119"/>
        <w:spacing w:after="0" w:line="249" w:lineRule="auto"/>
        <w:rPr>
          <w:sz w:val="20"/>
          <w:szCs w:val="20"/>
          <w:color w:val="auto"/>
        </w:rPr>
      </w:pPr>
      <w:r>
        <w:rPr>
          <w:rFonts w:ascii="Arial" w:cs="Arial" w:eastAsia="Arial" w:hAnsi="Arial"/>
          <w:sz w:val="17"/>
          <w:szCs w:val="17"/>
          <w:color w:val="auto"/>
        </w:rPr>
        <w:t>Subject to certain exceptions, the Chief Financial Officer or the Chief Legal Officer presents any new Related Person Transactions, and proposed transactions involving Related Persons, to the Audit Committee at its next occurring regular meeting. In approving or rejecting any such proposal, the Audit Committee considers the relevant facts and circumstances, including the commercial reasonableness of the transaction’s terms, its business purpose, whether the transaction will impair the independence of a non-employee director under Nasdaq and SEC standards, the materiality and character of the Related Person’s interest, and the Related Person’s actual or apparent conflict of interest. Certain transactions do not require approval, including certain employment arrangements of executive officers, director compensation, transactions involving the purchase or sale of products or services in the ordinary course of business not exceeding $120,000;</w:t>
      </w:r>
    </w:p>
    <w:p>
      <w:pPr>
        <w:spacing w:after="0" w:line="39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79"/>
        <w:spacing w:after="0" w:line="255" w:lineRule="auto"/>
        <w:rPr>
          <w:sz w:val="20"/>
          <w:szCs w:val="20"/>
          <w:color w:val="auto"/>
        </w:rPr>
      </w:pPr>
      <w:r>
        <w:rPr>
          <w:rFonts w:ascii="Arial" w:cs="Arial" w:eastAsia="Arial" w:hAnsi="Arial"/>
          <w:sz w:val="17"/>
          <w:szCs w:val="17"/>
          <w:color w:val="auto"/>
        </w:rPr>
        <w:t>transactions in which the Related Person’s interest derives solely from his or her service as a director of another corporation that is party to the transaction; transactions in which the Related Person’s interest derives solely from his or her ownership of less than 10% of the equity interest in another person, which is a party to the transaction; and, transactions where a Related Person’s interest arises solely from the ownership of our equity securities and all holders of that class of our equity securities received the same benefit on a pro rata basis.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Certain Related Party Transactions</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is a description of each transaction since February 1, 2025, in which:</w:t>
      </w:r>
    </w:p>
    <w:p>
      <w:pPr>
        <w:spacing w:after="0" w:line="118" w:lineRule="exact"/>
        <w:rPr>
          <w:sz w:val="20"/>
          <w:szCs w:val="20"/>
          <w:color w:val="auto"/>
        </w:rPr>
      </w:pPr>
    </w:p>
    <w:p>
      <w:pPr>
        <w:ind w:left="1320" w:hanging="179"/>
        <w:spacing w:after="0"/>
        <w:tabs>
          <w:tab w:leader="none" w:pos="1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have been a participant;</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amount involved exceeded or will exceed $120,000; and</w:t>
      </w:r>
    </w:p>
    <w:p>
      <w:pPr>
        <w:spacing w:after="0" w:line="118" w:lineRule="exact"/>
        <w:rPr>
          <w:rFonts w:ascii="Arial" w:cs="Arial" w:eastAsia="Arial" w:hAnsi="Arial"/>
          <w:sz w:val="17"/>
          <w:szCs w:val="17"/>
          <w:color w:val="auto"/>
        </w:rPr>
      </w:pPr>
    </w:p>
    <w:p>
      <w:pPr>
        <w:ind w:left="1320" w:right="279" w:hanging="179"/>
        <w:spacing w:after="0" w:line="277" w:lineRule="auto"/>
        <w:tabs>
          <w:tab w:leader="none" w:pos="1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Falcon Fund</w:t>
      </w:r>
    </w:p>
    <w:p>
      <w:pPr>
        <w:spacing w:after="0" w:line="107" w:lineRule="exact"/>
        <w:rPr>
          <w:sz w:val="20"/>
          <w:szCs w:val="20"/>
          <w:color w:val="auto"/>
        </w:rPr>
      </w:pPr>
    </w:p>
    <w:p>
      <w:pPr>
        <w:ind w:left="800" w:right="179"/>
        <w:spacing w:after="0" w:line="261"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Additionally, entities associated with Accel also agreed to commit up to $10.0 million to Falcon Fund and collectively own the remaining 50% of the sharing percentage of Falcon Fund. Sameer K. Gandhi, a member of our Board, is an affiliate of Accel. Falcon Fund is in the business of purchasing, selling, investing and trading in minority equity and convertible debt securities of privately held companies that develop applications that have potential for substantial contribution to CrowdStrike and its platform. Falcon Fund has a duration of 10 years which may be extended for three additional years. At dissolution, Falcon Fund will be liquidated, and the remaining assets will be distributed to the investors based on their sharing percentage. Since February 1, 2025, we have made no contributions to Falcon Fund.</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Falcon Fund II</w:t>
      </w:r>
    </w:p>
    <w:p>
      <w:pPr>
        <w:spacing w:after="0" w:line="107" w:lineRule="exact"/>
        <w:rPr>
          <w:sz w:val="20"/>
          <w:szCs w:val="20"/>
          <w:color w:val="auto"/>
        </w:rPr>
      </w:pPr>
    </w:p>
    <w:p>
      <w:pPr>
        <w:ind w:left="800" w:right="119"/>
        <w:spacing w:after="0" w:line="261" w:lineRule="auto"/>
        <w:rPr>
          <w:sz w:val="20"/>
          <w:szCs w:val="20"/>
          <w:color w:val="auto"/>
        </w:rPr>
      </w:pPr>
      <w:r>
        <w:rPr>
          <w:rFonts w:ascii="Arial" w:cs="Arial" w:eastAsia="Arial" w:hAnsi="Arial"/>
          <w:sz w:val="17"/>
          <w:szCs w:val="17"/>
          <w:color w:val="auto"/>
        </w:rPr>
        <w:t>In December 2021, we agreed to commit up to $50.0 million to a newly formed entity, CrowdStrike Falcon Fund II LLC (“Falcon Fund II”), in exchange for 50% of the sharing percentage of any distribution by Falcon Fund. Additionally, entities associated with Accel, also agreed to commit up to $50.0 million to Falcon Fund II and collectively own the remaining 50% of the sharing percentage of Falcon Fund II. Sameer K. Gandhi, a member of our Board, is an affiliate of Accel. Falcon Fund II is in the business of purchasing, selling, investing and trading in minority equity and convertible debt securities of privately held companies that develop applications that have potential for substantial contribution to CrowdStrike and its platform. Falcon Fund II has a duration of 10 years which may be extended for three additional years. At dissolution, Falcon Fund II will be liquidated, and the remaining assets will be distributed to the investors based on their sharing percentage. Since February 1, 2025, we made contributions to Falcon Fund II totaling $6.0 million.</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Leased Aircraft</w:t>
      </w:r>
    </w:p>
    <w:p>
      <w:pPr>
        <w:spacing w:after="0" w:line="107" w:lineRule="exact"/>
        <w:rPr>
          <w:sz w:val="20"/>
          <w:szCs w:val="20"/>
          <w:color w:val="auto"/>
        </w:rPr>
      </w:pPr>
    </w:p>
    <w:p>
      <w:pPr>
        <w:ind w:left="800" w:right="139"/>
        <w:spacing w:after="0" w:line="265" w:lineRule="auto"/>
        <w:rPr>
          <w:sz w:val="20"/>
          <w:szCs w:val="20"/>
          <w:color w:val="auto"/>
        </w:rPr>
      </w:pPr>
      <w:r>
        <w:rPr>
          <w:rFonts w:ascii="Arial" w:cs="Arial" w:eastAsia="Arial" w:hAnsi="Arial"/>
          <w:sz w:val="17"/>
          <w:szCs w:val="17"/>
          <w:color w:val="auto"/>
        </w:rPr>
        <w:t>Mr. Kurtz beneficially owns aircraft through a limited liability company (the “Aircraft LLC”). We lease the aircraft on a non-exclusive basis from the Aircraft LLC for business related travel. We do not have any minimum use requirements with respect to the leased aircraft and each applicable lease may be terminated upon 30 days’ prior written notice. The Audit Committee reviewed and approved the lease terms based on a third-party appraisal and competitive analysis of comparable chartered aircraft rates. From February 1, 2025 to January 31, 2026, we paid an aggregate of $6,690,200 to the Aircraft LLC for aircraft usage.</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Hotel Accommodations</w:t>
      </w:r>
    </w:p>
    <w:p>
      <w:pPr>
        <w:spacing w:after="0" w:line="107" w:lineRule="exact"/>
        <w:rPr>
          <w:sz w:val="20"/>
          <w:szCs w:val="20"/>
          <w:color w:val="auto"/>
        </w:rPr>
      </w:pPr>
    </w:p>
    <w:p>
      <w:pPr>
        <w:ind w:left="800" w:right="199"/>
        <w:spacing w:after="0" w:line="263" w:lineRule="auto"/>
        <w:rPr>
          <w:sz w:val="20"/>
          <w:szCs w:val="20"/>
          <w:color w:val="auto"/>
        </w:rPr>
      </w:pPr>
      <w:r>
        <w:rPr>
          <w:rFonts w:ascii="Arial" w:cs="Arial" w:eastAsia="Arial" w:hAnsi="Arial"/>
          <w:sz w:val="17"/>
          <w:szCs w:val="17"/>
          <w:color w:val="auto"/>
        </w:rPr>
        <w:t>Mr. Kurtz has a beneficial ownership interest in certain commercial real estate through a limited liability company, of which he has a 50% ownership interest (the “Hotel LLC”). From time to time, in connection with business-related travel, CrowdStrike employees have lodged at a hotel owned by the Hotel LLC and dined on premises. These transactions were entered into in the ordinary course of business and at market rates. From February 1, 2025 to January 31, 2026, we paid an aggregate of approximately $77,420 to the Hotel LLC for lodging, dining and related event expenses, whether directly contracting with the hotel or via business-related reimbursement of CrowdStrike employees.</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4"/>
          <w:szCs w:val="24"/>
          <w:i w:val="1"/>
          <w:iCs w:val="1"/>
          <w:color w:val="auto"/>
        </w:rPr>
        <w:t>Leased Office Space</w:t>
      </w:r>
    </w:p>
    <w:p>
      <w:pPr>
        <w:spacing w:after="0" w:line="107" w:lineRule="exact"/>
        <w:rPr>
          <w:sz w:val="20"/>
          <w:szCs w:val="20"/>
          <w:color w:val="auto"/>
        </w:rPr>
      </w:pPr>
    </w:p>
    <w:p>
      <w:pPr>
        <w:ind w:left="800" w:right="459"/>
        <w:spacing w:after="0" w:line="277" w:lineRule="auto"/>
        <w:rPr>
          <w:sz w:val="20"/>
          <w:szCs w:val="20"/>
          <w:color w:val="auto"/>
        </w:rPr>
      </w:pPr>
      <w:r>
        <w:rPr>
          <w:rFonts w:ascii="Arial" w:cs="Arial" w:eastAsia="Arial" w:hAnsi="Arial"/>
          <w:sz w:val="17"/>
          <w:szCs w:val="17"/>
          <w:color w:val="auto"/>
        </w:rPr>
        <w:t>Mr. Kurtz beneficially owns certain commercial real estate through a limited liability company (the “Real Estate LLC”). In fiscal 2027, we expect to enter into a lease agreement to lease office space in a building owned by the Real Estate LLC. The initial term of the lease is expected</w:t>
      </w:r>
    </w:p>
    <w:p>
      <w:pPr>
        <w:sectPr>
          <w:pgSz w:w="11900" w:h="16838" w:orient="portrait"/>
          <w:cols w:equalWidth="0" w:num="1">
            <w:col w:w="9699"/>
          </w:cols>
          <w:pgMar w:left="760" w:top="94" w:right="1440" w:bottom="991"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991"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39"/>
        <w:spacing w:after="0" w:line="267" w:lineRule="auto"/>
        <w:rPr>
          <w:sz w:val="20"/>
          <w:szCs w:val="20"/>
          <w:color w:val="auto"/>
        </w:rPr>
      </w:pPr>
      <w:r>
        <w:rPr>
          <w:rFonts w:ascii="Arial" w:cs="Arial" w:eastAsia="Arial" w:hAnsi="Arial"/>
          <w:sz w:val="17"/>
          <w:szCs w:val="17"/>
          <w:color w:val="auto"/>
        </w:rPr>
        <w:t>to end November 30, 2037. The selection of the office space was carried out in accordance with our real estate team’s standard review practices, which included a competitive analysis of comparable rental rates. This transaction will be entered into in the ordinary course of business and was negotiated on an arms-length basis at market rates. The lease is expected to commence on February 1, 2027 and we expect to pay approximately $2 million annually in rent and capital expenditure costs.</w:t>
      </w:r>
    </w:p>
    <w:p>
      <w:pPr>
        <w:spacing w:after="0" w:line="167" w:lineRule="exact"/>
        <w:rPr>
          <w:sz w:val="20"/>
          <w:szCs w:val="20"/>
          <w:color w:val="auto"/>
        </w:rPr>
      </w:pPr>
    </w:p>
    <w:p>
      <w:pPr>
        <w:ind w:left="800" w:right="179"/>
        <w:spacing w:after="0" w:line="267" w:lineRule="auto"/>
        <w:rPr>
          <w:sz w:val="20"/>
          <w:szCs w:val="20"/>
          <w:color w:val="auto"/>
        </w:rPr>
      </w:pPr>
      <w:r>
        <w:rPr>
          <w:rFonts w:ascii="Arial" w:cs="Arial" w:eastAsia="Arial" w:hAnsi="Arial"/>
          <w:sz w:val="17"/>
          <w:szCs w:val="17"/>
          <w:color w:val="auto"/>
        </w:rPr>
        <w:t>Other than as described above, since February 1, 2025,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 length dealings with unrelated third parties.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Indemnification</w:t>
      </w:r>
    </w:p>
    <w:p>
      <w:pPr>
        <w:spacing w:after="0" w:line="122" w:lineRule="exact"/>
        <w:rPr>
          <w:sz w:val="20"/>
          <w:szCs w:val="20"/>
          <w:color w:val="auto"/>
        </w:rPr>
      </w:pPr>
    </w:p>
    <w:p>
      <w:pPr>
        <w:ind w:left="800" w:right="139"/>
        <w:spacing w:after="0" w:line="258" w:lineRule="auto"/>
        <w:rPr>
          <w:sz w:val="20"/>
          <w:szCs w:val="20"/>
          <w:color w:val="auto"/>
        </w:rPr>
      </w:pPr>
      <w:r>
        <w:rPr>
          <w:rFonts w:ascii="Arial" w:cs="Arial" w:eastAsia="Arial" w:hAnsi="Arial"/>
          <w:sz w:val="17"/>
          <w:szCs w:val="17"/>
          <w:color w:val="auto"/>
        </w:rPr>
        <w:t>Our Charter also provides indemnification to each person serving as a director or officer of the company who was or is a party or is threatened to be made a party to various types of legal proceedings by reason of the fact that such person is or was a director or officer of the company to the fullest extent permitted by the DGCL. In addition to the indemnification provided for in our Charter, we have entered into and expect to continue to enter into agreements to indemnify each of our directors, officers and certain employees that may be broader than the indemnification provisions contained in our Charter. With specified exceptions,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Certain of our non-employee directors may, through their relationships with their employers, be insured and/or indemnified against certain liabilities incurred in their capacity as members of our Board. Our directors who are affiliated with venture capital firms also have certain rights of indemnification provided by their venture capital funds and the affiliates of those funds, together referred to as the Fund Indemnitors. We have agreed to reimburse the Fund Indemnitors for advancements they made to their affiliated directors for matters that such directors are entitled to indemnification from us. We believe that these indemnification agreements are necessary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Householding of Proxy Materials</w:t>
      </w:r>
    </w:p>
    <w:p>
      <w:pPr>
        <w:spacing w:after="0" w:line="110" w:lineRule="exact"/>
        <w:rPr>
          <w:sz w:val="20"/>
          <w:szCs w:val="20"/>
          <w:color w:val="auto"/>
        </w:rPr>
      </w:pPr>
    </w:p>
    <w:p>
      <w:pPr>
        <w:ind w:left="800" w:right="239"/>
        <w:spacing w:after="0" w:line="263" w:lineRule="auto"/>
        <w:rPr>
          <w:sz w:val="20"/>
          <w:szCs w:val="20"/>
          <w:color w:val="auto"/>
        </w:rPr>
      </w:pPr>
      <w:r>
        <w:rPr>
          <w:rFonts w:ascii="Arial" w:cs="Arial" w:eastAsia="Arial" w:hAnsi="Arial"/>
          <w:sz w:val="17"/>
          <w:szCs w:val="17"/>
          <w:color w:val="auto"/>
        </w:rPr>
        <w:t>To reduce costs and reduce the environmental impact of our Annual Meeting, we have adopted a procedure approved by the SEC known as “householding,” which is available to both registered stockholders and beneficial owners of shares held in “street name.” Householding allows multiple stockholders having the same last name and residing at the same address the convenience of receiving a single copy of our Notice of Internet Availability and other proxy materials addressed to those stockholders unless we have received contrary instructions from one or more of the stockholders. Stockholders participating in householding will continue to be able to access and receive separate proxy cards.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Registered Stockholders</w:t>
      </w:r>
    </w:p>
    <w:p>
      <w:pPr>
        <w:spacing w:after="0" w:line="118" w:lineRule="exact"/>
        <w:rPr>
          <w:sz w:val="20"/>
          <w:szCs w:val="20"/>
          <w:color w:val="auto"/>
        </w:rPr>
      </w:pPr>
    </w:p>
    <w:p>
      <w:pPr>
        <w:ind w:left="800" w:right="179"/>
        <w:spacing w:after="0" w:line="263" w:lineRule="auto"/>
        <w:rPr>
          <w:sz w:val="20"/>
          <w:szCs w:val="20"/>
          <w:color w:val="auto"/>
        </w:rPr>
      </w:pPr>
      <w:r>
        <w:rPr>
          <w:rFonts w:ascii="Arial" w:cs="Arial" w:eastAsia="Arial" w:hAnsi="Arial"/>
          <w:sz w:val="17"/>
          <w:szCs w:val="17"/>
          <w:color w:val="auto"/>
        </w:rPr>
        <w:t>If you are a registered stockholder and would like to enroll in this service, please contact our transfer agent, Equiniti Trust Company, LLC, at 1-800-937-5449 or by mail to Equiniti Trust Company, LLC, Attn: Proxy Tabulation Department, 1110 Centre Pointe Curve, Suite 101, Mendota Heights, MN 55120. If you are a registered stockholder and would like to withdraw from this service, please contact Broadridge Financial Solutions, Inc. by calling 1-866-540-7095, or in writing at 51 Mercedes Way, Edgewood, New York 11717, Attention: Householding Department. Your consent will be perpetual unless you revoke it. If you revoke your consent, we will begin sending you individual copies of future mailings of these documents within 30 days after we receive your revocation notice.</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Street Name Holders</w:t>
      </w:r>
    </w:p>
    <w:p>
      <w:pPr>
        <w:spacing w:after="0" w:line="118" w:lineRule="exact"/>
        <w:rPr>
          <w:sz w:val="20"/>
          <w:szCs w:val="20"/>
          <w:color w:val="auto"/>
        </w:rPr>
      </w:pPr>
    </w:p>
    <w:p>
      <w:pPr>
        <w:ind w:left="800" w:right="459"/>
        <w:spacing w:after="0" w:line="298" w:lineRule="auto"/>
        <w:rPr>
          <w:sz w:val="20"/>
          <w:szCs w:val="20"/>
          <w:color w:val="auto"/>
        </w:rPr>
      </w:pPr>
      <w:r>
        <w:rPr>
          <w:rFonts w:ascii="Arial" w:cs="Arial" w:eastAsia="Arial" w:hAnsi="Arial"/>
          <w:sz w:val="17"/>
          <w:szCs w:val="17"/>
          <w:color w:val="auto"/>
        </w:rPr>
        <w:t>Stockholders who hold their shares through a brokerage may elect to participate in householding or revoke their consent to participate in householding by contacting their respective banks or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33" w:lineRule="exact"/>
        <w:rPr>
          <w:sz w:val="20"/>
          <w:szCs w:val="20"/>
          <w:color w:val="auto"/>
        </w:rPr>
      </w:pPr>
    </w:p>
    <w:p>
      <w:pPr>
        <w:ind w:left="800" w:right="759"/>
        <w:spacing w:after="0" w:line="251" w:lineRule="auto"/>
        <w:rPr>
          <w:sz w:val="20"/>
          <w:szCs w:val="20"/>
          <w:color w:val="auto"/>
        </w:rPr>
      </w:pPr>
      <w:r>
        <w:rPr>
          <w:rFonts w:ascii="Arial" w:cs="Arial" w:eastAsia="Arial" w:hAnsi="Arial"/>
          <w:sz w:val="49"/>
          <w:szCs w:val="49"/>
          <w:b w:val="1"/>
          <w:bCs w:val="1"/>
          <w:color w:val="auto"/>
        </w:rPr>
        <w:t>Questions and Answers about these Proxy Materials and Voting</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Why did I receive a notice regarding the availability of proxy materials on the Internet?</w:t>
      </w:r>
    </w:p>
    <w:p>
      <w:pPr>
        <w:spacing w:after="0" w:line="115" w:lineRule="exact"/>
        <w:rPr>
          <w:sz w:val="20"/>
          <w:szCs w:val="20"/>
          <w:color w:val="auto"/>
        </w:rPr>
      </w:pPr>
    </w:p>
    <w:p>
      <w:pPr>
        <w:ind w:left="800" w:right="139"/>
        <w:spacing w:after="0" w:line="255" w:lineRule="auto"/>
        <w:rPr>
          <w:sz w:val="20"/>
          <w:szCs w:val="20"/>
          <w:color w:val="auto"/>
        </w:rPr>
      </w:pPr>
      <w:r>
        <w:rPr>
          <w:rFonts w:ascii="Arial" w:cs="Arial" w:eastAsia="Arial" w:hAnsi="Arial"/>
          <w:sz w:val="17"/>
          <w:szCs w:val="17"/>
          <w:color w:val="auto"/>
        </w:rPr>
        <w:t>Pursuant to rules adopted by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65" w:lineRule="exact"/>
        <w:rPr>
          <w:sz w:val="20"/>
          <w:szCs w:val="20"/>
          <w:color w:val="auto"/>
        </w:rPr>
      </w:pPr>
    </w:p>
    <w:p>
      <w:pPr>
        <w:ind w:left="800" w:right="279"/>
        <w:spacing w:after="0" w:line="259" w:lineRule="auto"/>
        <w:rPr>
          <w:sz w:val="20"/>
          <w:szCs w:val="20"/>
          <w:color w:val="auto"/>
        </w:rPr>
      </w:pPr>
      <w:r>
        <w:rPr>
          <w:rFonts w:ascii="Arial" w:cs="Arial" w:eastAsia="Arial" w:hAnsi="Arial"/>
          <w:sz w:val="17"/>
          <w:szCs w:val="17"/>
          <w:color w:val="auto"/>
        </w:rPr>
        <w:t>We provided some of our stockholders, including stockholders who have previously requested to receive paper copies of the proxy materials and some of our stockholders who are participants in our benefit plans,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Will I receive any other proxy materials by mail?</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may send you a proxy card, along with a second Notice, on or after May 5, 2026.</w:t>
      </w:r>
    </w:p>
    <w:p>
      <w:pPr>
        <w:spacing w:after="0" w:line="24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proxy materials are available on the Internet?</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2026 Proxy Statement and 2026 Annual Report on Form 10-K are available at www.proxyvote.com.</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do I attend the Annual Meeting?</w:t>
      </w:r>
    </w:p>
    <w:p>
      <w:pPr>
        <w:spacing w:after="0" w:line="120" w:lineRule="exact"/>
        <w:rPr>
          <w:sz w:val="20"/>
          <w:szCs w:val="20"/>
          <w:color w:val="auto"/>
        </w:rPr>
      </w:pPr>
    </w:p>
    <w:p>
      <w:pPr>
        <w:ind w:left="800" w:right="299"/>
        <w:spacing w:after="0" w:line="255" w:lineRule="auto"/>
        <w:rPr>
          <w:sz w:val="20"/>
          <w:szCs w:val="20"/>
          <w:color w:val="auto"/>
        </w:rPr>
      </w:pPr>
      <w:r>
        <w:rPr>
          <w:rFonts w:ascii="Arial" w:cs="Arial" w:eastAsia="Arial" w:hAnsi="Arial"/>
          <w:sz w:val="17"/>
          <w:szCs w:val="17"/>
          <w:color w:val="auto"/>
        </w:rPr>
        <w:t>This year’s Annual Meeting will be held entirely online via audio webcast. You may attend, vote and ask questions at the Annual Meeting by following the instructions provided on the Notice to log in to www.virtualshareholdermeeting.com/CRWD2026. Log in using the control number found on your Notice or proxy card. If you are a beneficial owner of shares registered in the name of your broker, bank or other agent, follow the instructions on your Notice or voting instruction form from your broker or bank.</w:t>
      </w:r>
    </w:p>
    <w:p>
      <w:pPr>
        <w:spacing w:after="0" w:line="177" w:lineRule="exact"/>
        <w:rPr>
          <w:sz w:val="20"/>
          <w:szCs w:val="20"/>
          <w:color w:val="auto"/>
        </w:rPr>
      </w:pPr>
    </w:p>
    <w:p>
      <w:pPr>
        <w:ind w:left="800" w:right="259"/>
        <w:spacing w:after="0" w:line="261" w:lineRule="auto"/>
        <w:rPr>
          <w:sz w:val="20"/>
          <w:szCs w:val="20"/>
          <w:color w:val="auto"/>
        </w:rPr>
      </w:pPr>
      <w:r>
        <w:rPr>
          <w:rFonts w:ascii="Arial" w:cs="Arial" w:eastAsia="Arial" w:hAnsi="Arial"/>
          <w:sz w:val="17"/>
          <w:szCs w:val="17"/>
          <w:color w:val="auto"/>
        </w:rPr>
        <w:t>The webcast of the Annual Meeting will begin promptly at 8:00 a.m. Pacific Time. We encourage you to access the meeting prior to the start time. You may begin to log in to the meeting platform at 7:45 a.m. Pacific Time, and you should allow reasonable time for log in procedures.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Who can vote at the Annual Meeting?</w:t>
      </w:r>
    </w:p>
    <w:p>
      <w:pPr>
        <w:spacing w:after="0" w:line="120" w:lineRule="exact"/>
        <w:rPr>
          <w:sz w:val="20"/>
          <w:szCs w:val="20"/>
          <w:color w:val="auto"/>
        </w:rPr>
      </w:pPr>
    </w:p>
    <w:p>
      <w:pPr>
        <w:ind w:left="800" w:right="199"/>
        <w:spacing w:after="0" w:line="259" w:lineRule="auto"/>
        <w:rPr>
          <w:sz w:val="20"/>
          <w:szCs w:val="20"/>
          <w:color w:val="auto"/>
        </w:rPr>
      </w:pPr>
      <w:r>
        <w:rPr>
          <w:rFonts w:ascii="Arial" w:cs="Arial" w:eastAsia="Arial" w:hAnsi="Arial"/>
          <w:sz w:val="17"/>
          <w:szCs w:val="17"/>
          <w:color w:val="auto"/>
        </w:rPr>
        <w:t>Holders of our common stock as of the close of business on April 24, 2026, the record date for the Annual Meeting, may vote at the Annual Meeting. As of the record date, there were 254,536,521 shares of our Class A common stock outstanding and 0 shares of our Class B common stock outstanding. Holders of our Class A common stock are entitled to one vote per share and vote as a single class on all matters described in this Proxy Statement for which your vote is being solicited. Stockholders are not permitted to cumulate votes.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do I vote?</w:t>
      </w:r>
    </w:p>
    <w:p>
      <w:pPr>
        <w:spacing w:after="0" w:line="120" w:lineRule="exact"/>
        <w:rPr>
          <w:sz w:val="20"/>
          <w:szCs w:val="20"/>
          <w:color w:val="auto"/>
        </w:rPr>
      </w:pPr>
    </w:p>
    <w:p>
      <w:pPr>
        <w:ind w:left="800" w:right="639"/>
        <w:spacing w:after="0" w:line="298" w:lineRule="auto"/>
        <w:rPr>
          <w:sz w:val="20"/>
          <w:szCs w:val="20"/>
          <w:color w:val="auto"/>
        </w:rPr>
      </w:pPr>
      <w:r>
        <w:rPr>
          <w:rFonts w:ascii="Arial" w:cs="Arial" w:eastAsia="Arial" w:hAnsi="Arial"/>
          <w:sz w:val="17"/>
          <w:szCs w:val="17"/>
          <w:color w:val="auto"/>
        </w:rPr>
        <w:t>The procedures for voting depend on whether your shares are registered in your name or are held by a bank, broker or other nominee: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118" w:lineRule="exact"/>
        <w:rPr>
          <w:sz w:val="20"/>
          <w:szCs w:val="20"/>
          <w:color w:val="auto"/>
        </w:rPr>
      </w:pPr>
    </w:p>
    <w:p>
      <w:pPr>
        <w:ind w:left="800" w:right="199"/>
        <w:spacing w:after="0" w:line="255" w:lineRule="auto"/>
        <w:rPr>
          <w:sz w:val="20"/>
          <w:szCs w:val="20"/>
          <w:color w:val="auto"/>
        </w:rPr>
      </w:pPr>
      <w:r>
        <w:rPr>
          <w:rFonts w:ascii="Arial" w:cs="Arial" w:eastAsia="Arial" w:hAnsi="Arial"/>
          <w:sz w:val="17"/>
          <w:szCs w:val="17"/>
          <w:color w:val="auto"/>
        </w:rPr>
        <w:t>If on April 24, 2026 your shares were registered directly in your name with CrowdStrike’s transfer agent, Equiniti Trust Company, LLC, then you are a stockholder of record. If you are a stockholder of record, you may vote your shares at the Annual Meeting by following the instructions provided on the Notice or proxy card to log in to www.virtualshareholdermeeting.com/CRWD2026. You will be asked to provide the control number from your Notice or proxy card. Whether or not you plan to attend the Annual Meeting, we urge you to vote by proxy to ensure your vote is counted. You may still attend and vote at the Annual Meeting even if you have already voted by proxy.</w:t>
      </w:r>
    </w:p>
    <w:p>
      <w:pPr>
        <w:spacing w:after="0" w:line="165" w:lineRule="exact"/>
        <w:rPr>
          <w:sz w:val="20"/>
          <w:szCs w:val="20"/>
          <w:color w:val="auto"/>
        </w:rPr>
      </w:pPr>
    </w:p>
    <w:p>
      <w:pPr>
        <w:ind w:left="800" w:right="279"/>
        <w:spacing w:after="0" w:line="298" w:lineRule="auto"/>
        <w:rPr>
          <w:sz w:val="20"/>
          <w:szCs w:val="20"/>
          <w:color w:val="auto"/>
        </w:rPr>
      </w:pPr>
      <w:r>
        <w:rPr>
          <w:rFonts w:ascii="Arial" w:cs="Arial" w:eastAsia="Arial" w:hAnsi="Arial"/>
          <w:sz w:val="17"/>
          <w:szCs w:val="17"/>
          <w:color w:val="auto"/>
        </w:rPr>
        <w:t>If you are a stockholder of record, you may vote by proxy over the telephone, vote by proxy through the Internet or vote by proxy using a proxy card that you may request or that we may elect to deliver at a later time:</w:t>
      </w:r>
    </w:p>
    <w:p>
      <w:pPr>
        <w:spacing w:after="0" w:line="11" w:lineRule="exact"/>
        <w:rPr>
          <w:sz w:val="20"/>
          <w:szCs w:val="20"/>
          <w:color w:val="auto"/>
        </w:rPr>
      </w:pPr>
    </w:p>
    <w:p>
      <w:pPr>
        <w:jc w:val="both"/>
        <w:ind w:left="1320" w:right="319" w:hanging="179"/>
        <w:spacing w:after="0" w:line="277" w:lineRule="auto"/>
        <w:tabs>
          <w:tab w:leader="none" w:pos="1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vote over the telephone, dial toll-free 1-800-690-6903 using a touch-tone phone and follow the recorded instructions. You will be asked to provide the control number from the Notice or proxy card. Your vote must be received by 11:59 p.m. Eastern Time on June 16, 2026 to be counted.</w:t>
      </w:r>
    </w:p>
    <w:p>
      <w:pPr>
        <w:spacing w:after="0" w:line="37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320" w:right="539" w:hanging="179"/>
        <w:spacing w:after="0" w:line="277" w:lineRule="auto"/>
        <w:tabs>
          <w:tab w:leader="none" w:pos="1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vote through the Internet, go to www.proxyvote.com to complete an electronic proxy card. You will be asked to provide the control number from your Notice or proxy card. Your vote must be received by 11:59 p.m. Eastern Time on June 16, 2026 to be counted.</w:t>
      </w:r>
    </w:p>
    <w:p>
      <w:pPr>
        <w:spacing w:after="0" w:line="55" w:lineRule="exact"/>
        <w:rPr>
          <w:rFonts w:ascii="Arial" w:cs="Arial" w:eastAsia="Arial" w:hAnsi="Arial"/>
          <w:sz w:val="17"/>
          <w:szCs w:val="17"/>
          <w:color w:val="auto"/>
        </w:rPr>
      </w:pPr>
    </w:p>
    <w:p>
      <w:pPr>
        <w:ind w:left="1320" w:right="159" w:hanging="179"/>
        <w:spacing w:after="0" w:line="265" w:lineRule="auto"/>
        <w:tabs>
          <w:tab w:leader="none" w:pos="1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vote using the printed proxy card that may be delivered to you, simply complete, sign and date the proxy card and return it promptly in the envelope provided. If you return your signed proxy card to us before the Annual Meeting, we will vote your shares as you instruct. If you are a beneficial owner of shares registered in the name of your broker, bank or other agent, you should have received a Notice or voting instruction form containing voting instructions from that organization rather than from us. Simply follow the voting instructions in the Notice to ensure that your vote is counted.</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Beneficial Owner: Shares Registered in the Name of a Broker or Bank</w:t>
      </w:r>
    </w:p>
    <w:p>
      <w:pPr>
        <w:spacing w:after="0" w:line="118" w:lineRule="exact"/>
        <w:rPr>
          <w:sz w:val="20"/>
          <w:szCs w:val="20"/>
          <w:color w:val="auto"/>
        </w:rPr>
      </w:pPr>
    </w:p>
    <w:p>
      <w:pPr>
        <w:ind w:left="800" w:right="139"/>
        <w:spacing w:after="0" w:line="267" w:lineRule="auto"/>
        <w:rPr>
          <w:sz w:val="20"/>
          <w:szCs w:val="20"/>
          <w:color w:val="auto"/>
        </w:rPr>
      </w:pPr>
      <w:r>
        <w:rPr>
          <w:rFonts w:ascii="Arial" w:cs="Arial" w:eastAsia="Arial" w:hAnsi="Arial"/>
          <w:sz w:val="17"/>
          <w:szCs w:val="17"/>
          <w:color w:val="auto"/>
        </w:rPr>
        <w:t>If on April 24,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the stockholder of record for purposes of voting at the Annual Meeting. As a beneficial owner, you have the right to direct your broker or other agent regarding how to vote the shares in your account. You are also invited to attend the Annual Meeting.</w:t>
      </w:r>
    </w:p>
    <w:p>
      <w:pPr>
        <w:spacing w:after="0" w:line="165" w:lineRule="exact"/>
        <w:rPr>
          <w:sz w:val="20"/>
          <w:szCs w:val="20"/>
          <w:color w:val="auto"/>
        </w:rPr>
      </w:pPr>
    </w:p>
    <w:p>
      <w:pPr>
        <w:ind w:left="800" w:right="239"/>
        <w:spacing w:after="0" w:line="270" w:lineRule="auto"/>
        <w:rPr>
          <w:sz w:val="20"/>
          <w:szCs w:val="20"/>
          <w:color w:val="auto"/>
        </w:rPr>
      </w:pPr>
      <w:r>
        <w:rPr>
          <w:rFonts w:ascii="Arial" w:cs="Arial" w:eastAsia="Arial" w:hAnsi="Arial"/>
          <w:sz w:val="17"/>
          <w:szCs w:val="17"/>
          <w:b w:val="1"/>
          <w:bCs w:val="1"/>
          <w:color w:val="auto"/>
        </w:rPr>
        <w:t>We are holding the Annual Meeting online and providing Internet voting to provide expanded access and to allow you to vote your shares online, with procedures designed to ensure the authenticity and correctness of your voting instructions. However, please be aware that you must bear any costs associated with your Internet access, such as usage charges from Internet access providers and telephone companies.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am I voting on and what is the Board’s voting recommendation?</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6780" w:type="dxa"/>
            <w:vAlign w:val="bottom"/>
            <w:tcBorders>
              <w:bottom w:val="single" w:sz="8" w:color="D6515D"/>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2000" w:type="dxa"/>
            <w:vAlign w:val="bottom"/>
            <w:tcBorders>
              <w:bottom w:val="single" w:sz="8" w:color="D6515D"/>
            </w:tcBorders>
          </w:tcPr>
          <w:p>
            <w:pPr>
              <w:ind w:left="120"/>
              <w:spacing w:after="0"/>
              <w:rPr>
                <w:sz w:val="20"/>
                <w:szCs w:val="20"/>
                <w:color w:val="auto"/>
              </w:rPr>
            </w:pPr>
            <w:r>
              <w:rPr>
                <w:rFonts w:ascii="Arial" w:cs="Arial" w:eastAsia="Arial" w:hAnsi="Arial"/>
                <w:sz w:val="14"/>
                <w:szCs w:val="14"/>
                <w:b w:val="1"/>
                <w:bCs w:val="1"/>
                <w:color w:val="auto"/>
              </w:rPr>
              <w:t>Board Recommendation</w:t>
            </w:r>
          </w:p>
        </w:tc>
      </w:tr>
      <w:tr>
        <w:trPr>
          <w:trHeight w:val="218"/>
        </w:trPr>
        <w:tc>
          <w:tcPr>
            <w:tcW w:w="280" w:type="dxa"/>
            <w:vAlign w:val="bottom"/>
          </w:tcPr>
          <w:p>
            <w:pPr>
              <w:spacing w:after="0"/>
              <w:rPr>
                <w:sz w:val="20"/>
                <w:szCs w:val="20"/>
                <w:color w:val="auto"/>
              </w:rPr>
            </w:pPr>
            <w:r>
              <w:rPr>
                <w:rFonts w:ascii="Arial" w:cs="Arial" w:eastAsia="Arial" w:hAnsi="Arial"/>
                <w:sz w:val="17"/>
                <w:szCs w:val="17"/>
                <w:color w:val="auto"/>
              </w:rPr>
              <w:t>1.</w:t>
            </w:r>
          </w:p>
        </w:tc>
        <w:tc>
          <w:tcPr>
            <w:tcW w:w="6500" w:type="dxa"/>
            <w:vAlign w:val="bottom"/>
          </w:tcPr>
          <w:p>
            <w:pPr>
              <w:ind w:left="140"/>
              <w:spacing w:after="0"/>
              <w:rPr>
                <w:sz w:val="20"/>
                <w:szCs w:val="20"/>
                <w:color w:val="auto"/>
              </w:rPr>
            </w:pPr>
            <w:r>
              <w:rPr>
                <w:rFonts w:ascii="Arial" w:cs="Arial" w:eastAsia="Arial" w:hAnsi="Arial"/>
                <w:sz w:val="17"/>
                <w:szCs w:val="17"/>
                <w:color w:val="auto"/>
              </w:rPr>
              <w:t>Elect nominees Johanna Flower and Denis J. O’Leary to the Board of Directors to</w:t>
            </w:r>
          </w:p>
        </w:tc>
        <w:tc>
          <w:tcPr>
            <w:tcW w:w="2000" w:type="dxa"/>
            <w:vAlign w:val="bottom"/>
          </w:tcPr>
          <w:p>
            <w:pPr>
              <w:ind w:left="120"/>
              <w:spacing w:after="0"/>
              <w:rPr>
                <w:sz w:val="20"/>
                <w:szCs w:val="20"/>
                <w:color w:val="auto"/>
              </w:rPr>
            </w:pPr>
            <w:r>
              <w:rPr>
                <w:rFonts w:ascii="Arial" w:cs="Arial" w:eastAsia="Arial" w:hAnsi="Arial"/>
                <w:sz w:val="17"/>
                <w:szCs w:val="17"/>
                <w:color w:val="auto"/>
              </w:rPr>
              <w:t>FOR all nominees</w:t>
            </w: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hold office until the 2029 Annual Meeting of Stockholders.</w:t>
            </w:r>
          </w:p>
        </w:tc>
        <w:tc>
          <w:tcPr>
            <w:tcW w:w="2000" w:type="dxa"/>
            <w:vAlign w:val="bottom"/>
          </w:tcPr>
          <w:p>
            <w:pPr>
              <w:spacing w:after="0"/>
              <w:rPr>
                <w:sz w:val="19"/>
                <w:szCs w:val="19"/>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7"/>
                <w:szCs w:val="17"/>
                <w:color w:val="auto"/>
              </w:rPr>
              <w:t>2.</w:t>
            </w:r>
          </w:p>
        </w:tc>
        <w:tc>
          <w:tcPr>
            <w:tcW w:w="6500" w:type="dxa"/>
            <w:vAlign w:val="bottom"/>
          </w:tcPr>
          <w:p>
            <w:pPr>
              <w:ind w:left="140"/>
              <w:spacing w:after="0"/>
              <w:rPr>
                <w:sz w:val="20"/>
                <w:szCs w:val="20"/>
                <w:color w:val="auto"/>
              </w:rPr>
            </w:pPr>
            <w:r>
              <w:rPr>
                <w:rFonts w:ascii="Arial" w:cs="Arial" w:eastAsia="Arial" w:hAnsi="Arial"/>
                <w:sz w:val="17"/>
                <w:szCs w:val="17"/>
                <w:color w:val="auto"/>
              </w:rPr>
              <w:t>Ratify the selection of PricewaterhouseCoopers LLP as CrowdStrike’s</w:t>
            </w:r>
          </w:p>
        </w:tc>
        <w:tc>
          <w:tcPr>
            <w:tcW w:w="2000" w:type="dxa"/>
            <w:vAlign w:val="bottom"/>
          </w:tcPr>
          <w:p>
            <w:pPr>
              <w:ind w:left="120"/>
              <w:spacing w:after="0"/>
              <w:rPr>
                <w:sz w:val="20"/>
                <w:szCs w:val="20"/>
                <w:color w:val="auto"/>
              </w:rPr>
            </w:pPr>
            <w:r>
              <w:rPr>
                <w:rFonts w:ascii="Arial" w:cs="Arial" w:eastAsia="Arial" w:hAnsi="Arial"/>
                <w:sz w:val="17"/>
                <w:szCs w:val="17"/>
                <w:color w:val="auto"/>
              </w:rPr>
              <w:t>FOR</w:t>
            </w:r>
          </w:p>
        </w:tc>
      </w:tr>
      <w:tr>
        <w:trPr>
          <w:trHeight w:val="209"/>
        </w:trPr>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independent registered public accounting firm for its fiscal year ending January 31,</w:t>
            </w:r>
          </w:p>
        </w:tc>
        <w:tc>
          <w:tcPr>
            <w:tcW w:w="2000" w:type="dxa"/>
            <w:vAlign w:val="bottom"/>
          </w:tcPr>
          <w:p>
            <w:pPr>
              <w:spacing w:after="0"/>
              <w:rPr>
                <w:sz w:val="18"/>
                <w:szCs w:val="18"/>
                <w:color w:val="auto"/>
              </w:rPr>
            </w:pP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2027.</w:t>
            </w:r>
          </w:p>
        </w:tc>
        <w:tc>
          <w:tcPr>
            <w:tcW w:w="2000" w:type="dxa"/>
            <w:vAlign w:val="bottom"/>
          </w:tcPr>
          <w:p>
            <w:pPr>
              <w:spacing w:after="0"/>
              <w:rPr>
                <w:sz w:val="19"/>
                <w:szCs w:val="19"/>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7"/>
                <w:szCs w:val="17"/>
                <w:color w:val="auto"/>
              </w:rPr>
              <w:t>3.</w:t>
            </w:r>
          </w:p>
        </w:tc>
        <w:tc>
          <w:tcPr>
            <w:tcW w:w="6500" w:type="dxa"/>
            <w:vAlign w:val="bottom"/>
          </w:tcPr>
          <w:p>
            <w:pPr>
              <w:ind w:left="140"/>
              <w:spacing w:after="0"/>
              <w:rPr>
                <w:sz w:val="20"/>
                <w:szCs w:val="20"/>
                <w:color w:val="auto"/>
              </w:rPr>
            </w:pPr>
            <w:r>
              <w:rPr>
                <w:rFonts w:ascii="Arial" w:cs="Arial" w:eastAsia="Arial" w:hAnsi="Arial"/>
                <w:sz w:val="17"/>
                <w:szCs w:val="17"/>
                <w:color w:val="auto"/>
              </w:rPr>
              <w:t>Approve an amendment and restatement of our amended and restated certificate</w:t>
            </w:r>
          </w:p>
        </w:tc>
        <w:tc>
          <w:tcPr>
            <w:tcW w:w="2000" w:type="dxa"/>
            <w:vAlign w:val="bottom"/>
          </w:tcPr>
          <w:p>
            <w:pPr>
              <w:ind w:left="120"/>
              <w:spacing w:after="0"/>
              <w:rPr>
                <w:sz w:val="20"/>
                <w:szCs w:val="20"/>
                <w:color w:val="auto"/>
              </w:rPr>
            </w:pPr>
            <w:r>
              <w:rPr>
                <w:rFonts w:ascii="Arial" w:cs="Arial" w:eastAsia="Arial" w:hAnsi="Arial"/>
                <w:sz w:val="17"/>
                <w:szCs w:val="17"/>
                <w:color w:val="auto"/>
              </w:rPr>
              <w:t>FOR</w:t>
            </w: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of incorporation to limit officer liability as permitted by Delaware law.</w:t>
            </w:r>
          </w:p>
        </w:tc>
        <w:tc>
          <w:tcPr>
            <w:tcW w:w="2000" w:type="dxa"/>
            <w:vAlign w:val="bottom"/>
          </w:tcPr>
          <w:p>
            <w:pPr>
              <w:spacing w:after="0"/>
              <w:rPr>
                <w:sz w:val="19"/>
                <w:szCs w:val="19"/>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6500" w:type="dxa"/>
            <w:vAlign w:val="bottom"/>
          </w:tcPr>
          <w:p>
            <w:pPr>
              <w:ind w:left="140"/>
              <w:spacing w:after="0"/>
              <w:rPr>
                <w:sz w:val="20"/>
                <w:szCs w:val="20"/>
                <w:color w:val="auto"/>
              </w:rPr>
            </w:pPr>
            <w:r>
              <w:rPr>
                <w:rFonts w:ascii="Arial" w:cs="Arial" w:eastAsia="Arial" w:hAnsi="Arial"/>
                <w:sz w:val="17"/>
                <w:szCs w:val="17"/>
                <w:color w:val="auto"/>
              </w:rPr>
              <w:t>Ratify, on an advisory basis, supermajority voting provisions in our amended and</w:t>
            </w:r>
          </w:p>
        </w:tc>
        <w:tc>
          <w:tcPr>
            <w:tcW w:w="2000" w:type="dxa"/>
            <w:vAlign w:val="bottom"/>
          </w:tcPr>
          <w:p>
            <w:pPr>
              <w:ind w:left="120"/>
              <w:spacing w:after="0"/>
              <w:rPr>
                <w:sz w:val="20"/>
                <w:szCs w:val="20"/>
                <w:color w:val="auto"/>
              </w:rPr>
            </w:pPr>
            <w:r>
              <w:rPr>
                <w:rFonts w:ascii="Arial" w:cs="Arial" w:eastAsia="Arial" w:hAnsi="Arial"/>
                <w:sz w:val="17"/>
                <w:szCs w:val="17"/>
                <w:color w:val="auto"/>
              </w:rPr>
              <w:t>FOR</w:t>
            </w:r>
          </w:p>
        </w:tc>
      </w:tr>
      <w:tr>
        <w:trPr>
          <w:trHeight w:val="230"/>
        </w:trPr>
        <w:tc>
          <w:tcPr>
            <w:tcW w:w="28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7"/>
                <w:szCs w:val="17"/>
                <w:color w:val="auto"/>
              </w:rPr>
              <w:t>restated certificate of incorporation and amended and restated bylaws.</w:t>
            </w:r>
          </w:p>
        </w:tc>
        <w:tc>
          <w:tcPr>
            <w:tcW w:w="2000" w:type="dxa"/>
            <w:vAlign w:val="bottom"/>
          </w:tcPr>
          <w:p>
            <w:pPr>
              <w:spacing w:after="0"/>
              <w:rPr>
                <w:sz w:val="19"/>
                <w:szCs w:val="19"/>
                <w:color w:val="auto"/>
              </w:rPr>
            </w:pPr>
          </w:p>
        </w:tc>
      </w:tr>
    </w:tbl>
    <w:p>
      <w:pPr>
        <w:spacing w:after="0" w:line="23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if another matter is properly brought before the meeting?</w:t>
      </w:r>
    </w:p>
    <w:p>
      <w:pPr>
        <w:spacing w:after="0" w:line="120" w:lineRule="exact"/>
        <w:rPr>
          <w:sz w:val="20"/>
          <w:szCs w:val="20"/>
          <w:color w:val="auto"/>
        </w:rPr>
      </w:pPr>
    </w:p>
    <w:p>
      <w:pPr>
        <w:ind w:left="800" w:right="139"/>
        <w:spacing w:after="0" w:line="277" w:lineRule="auto"/>
        <w:rPr>
          <w:sz w:val="20"/>
          <w:szCs w:val="20"/>
          <w:color w:val="auto"/>
        </w:rPr>
      </w:pPr>
      <w:r>
        <w:rPr>
          <w:rFonts w:ascii="Arial" w:cs="Arial" w:eastAsia="Arial" w:hAnsi="Arial"/>
          <w:sz w:val="17"/>
          <w:szCs w:val="17"/>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many votes do I have?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Stockholders of Record: Shares Registered in Your Name</w:t>
      </w:r>
    </w:p>
    <w:p>
      <w:pPr>
        <w:spacing w:after="0" w:line="118" w:lineRule="exact"/>
        <w:rPr>
          <w:sz w:val="20"/>
          <w:szCs w:val="20"/>
          <w:color w:val="auto"/>
        </w:rPr>
      </w:pPr>
    </w:p>
    <w:p>
      <w:pPr>
        <w:ind w:left="800" w:right="219"/>
        <w:spacing w:after="0" w:line="298" w:lineRule="auto"/>
        <w:rPr>
          <w:sz w:val="20"/>
          <w:szCs w:val="20"/>
          <w:color w:val="auto"/>
        </w:rPr>
      </w:pPr>
      <w:r>
        <w:rPr>
          <w:rFonts w:ascii="Arial" w:cs="Arial" w:eastAsia="Arial" w:hAnsi="Arial"/>
          <w:sz w:val="17"/>
          <w:szCs w:val="17"/>
          <w:color w:val="auto"/>
        </w:rPr>
        <w:t>Each share of Class A common stock is entitled to one vote on each matter to be voted upon. Stockholders are not permitted to cumulate votes.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happens if I do not vote?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118" w:lineRule="exact"/>
        <w:rPr>
          <w:sz w:val="20"/>
          <w:szCs w:val="20"/>
          <w:color w:val="auto"/>
        </w:rPr>
      </w:pPr>
    </w:p>
    <w:p>
      <w:pPr>
        <w:ind w:left="800" w:right="179"/>
        <w:spacing w:after="0" w:line="298" w:lineRule="auto"/>
        <w:rPr>
          <w:sz w:val="20"/>
          <w:szCs w:val="20"/>
          <w:color w:val="auto"/>
        </w:rPr>
      </w:pPr>
      <w:r>
        <w:rPr>
          <w:rFonts w:ascii="Arial" w:cs="Arial" w:eastAsia="Arial" w:hAnsi="Arial"/>
          <w:sz w:val="17"/>
          <w:szCs w:val="17"/>
          <w:color w:val="auto"/>
        </w:rPr>
        <w:t>If you are a stockholder of record and do not vote by completing your proxy card, by telephone, through the Internet or online at the Annual Meeting, your shares will not be voted.</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Beneficial Owner: Shares Registered in the Name of Broker or Bank</w:t>
      </w:r>
    </w:p>
    <w:p>
      <w:pPr>
        <w:spacing w:after="0" w:line="118" w:lineRule="exact"/>
        <w:rPr>
          <w:sz w:val="20"/>
          <w:szCs w:val="20"/>
          <w:color w:val="auto"/>
        </w:rPr>
      </w:pPr>
    </w:p>
    <w:p>
      <w:pPr>
        <w:jc w:val="both"/>
        <w:ind w:left="800" w:right="119"/>
        <w:spacing w:after="0" w:line="277" w:lineRule="auto"/>
        <w:rPr>
          <w:sz w:val="20"/>
          <w:szCs w:val="20"/>
          <w:color w:val="auto"/>
        </w:rPr>
      </w:pPr>
      <w:r>
        <w:rPr>
          <w:rFonts w:ascii="Arial" w:cs="Arial" w:eastAsia="Arial" w:hAnsi="Arial"/>
          <w:sz w:val="17"/>
          <w:szCs w:val="17"/>
          <w:color w:val="auto"/>
        </w:rPr>
        <w:t>If you are a beneficial owner of shares registered in the name of your broker, bank or other nominee, and you do not provide the broker or other nominee that holds your shares with voting instructions, the broker or other nominee will determine if it has the discretionary authority to vote on the particular matter.</w:t>
      </w:r>
    </w:p>
    <w:p>
      <w:pPr>
        <w:sectPr>
          <w:pgSz w:w="11900" w:h="16838" w:orient="portrait"/>
          <w:cols w:equalWidth="0" w:num="1">
            <w:col w:w="9699"/>
          </w:cols>
          <w:pgMar w:left="760" w:top="94" w:right="1440" w:bottom="1440" w:gutter="0" w:footer="0" w:header="0"/>
        </w:sectPr>
      </w:pPr>
    </w:p>
    <w:p>
      <w:pPr>
        <w:spacing w:after="0" w:line="376"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if I return a proxy card or otherwise vote but do not make specific choices?</w:t>
      </w:r>
    </w:p>
    <w:p>
      <w:pPr>
        <w:spacing w:after="0" w:line="120" w:lineRule="exact"/>
        <w:rPr>
          <w:sz w:val="20"/>
          <w:szCs w:val="20"/>
          <w:color w:val="auto"/>
        </w:rPr>
      </w:pPr>
    </w:p>
    <w:p>
      <w:pPr>
        <w:ind w:left="800" w:right="139"/>
        <w:spacing w:after="0" w:line="251" w:lineRule="auto"/>
        <w:rPr>
          <w:sz w:val="20"/>
          <w:szCs w:val="20"/>
          <w:color w:val="auto"/>
        </w:rPr>
      </w:pPr>
      <w:r>
        <w:rPr>
          <w:rFonts w:ascii="Arial" w:cs="Arial" w:eastAsia="Arial" w:hAnsi="Arial"/>
          <w:sz w:val="17"/>
          <w:szCs w:val="17"/>
          <w:color w:val="auto"/>
        </w:rPr>
        <w:t>If you return a signed and dated proxy card or otherwise vote without marking voting selections, your shares will be voted, as applicable, “FOR” the election of each of the nominees for director; “FOR” the ratification of PricewaterhouseCoopers LLP as our independent registered public accounting firm for our fiscal year ending January 31, 2027; “FOR” the approval of an amendment and restatement of our amended and restated certificate of incorporation to limit officer liability as permitted by Delaware law; and “FOR” the ratification, on an advisory basis, supermajority voting provisions in our amended and restated certificate of incorporation and amended and restated bylaws. If any other matter is properly presented at the meeting, your proxyholder (one of the individuals named on your proxy card) will vote your shares using his or her best judgment.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Who is paying for this proxy solicitation?</w:t>
      </w:r>
    </w:p>
    <w:p>
      <w:pPr>
        <w:spacing w:after="0" w:line="120" w:lineRule="exact"/>
        <w:rPr>
          <w:sz w:val="20"/>
          <w:szCs w:val="20"/>
          <w:color w:val="auto"/>
        </w:rPr>
      </w:pPr>
    </w:p>
    <w:p>
      <w:pPr>
        <w:ind w:left="800" w:right="139"/>
        <w:spacing w:after="0" w:line="255"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online, by telephone, or by other means of communication. Directors and employees will not be paid any additional compensation for soliciting proxies. We may also reimburse brokerage firms, banks and other agents for the cost of forwarding proxy materials to beneficial owners. We retained D.F. King &amp; Co., Inc., a proxy solicitation firm, for assistance in connection with the Annual Meeting at a cost of approximately $20,000, plus reasonable out-of-pocket expenses.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does it mean if I receive more than one Notice?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you receive more than one Notice, your shares may be registered in more than one name or in different accounts.</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follow the voting instructions on the Notices to ensure that all of your shares are voted.</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Can I change my vote after submitting my proxy?</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Stockholder of Record: Shares Registered in Your Name</w:t>
      </w:r>
    </w:p>
    <w:p>
      <w:pPr>
        <w:spacing w:after="0" w:line="118" w:lineRule="exact"/>
        <w:rPr>
          <w:sz w:val="20"/>
          <w:szCs w:val="20"/>
          <w:color w:val="auto"/>
        </w:rPr>
      </w:pPr>
    </w:p>
    <w:p>
      <w:pPr>
        <w:ind w:left="800" w:right="219"/>
        <w:spacing w:after="0" w:line="282" w:lineRule="auto"/>
        <w:rPr>
          <w:sz w:val="20"/>
          <w:szCs w:val="20"/>
          <w:color w:val="auto"/>
        </w:rPr>
      </w:pPr>
      <w:r>
        <w:rPr>
          <w:rFonts w:ascii="Arial" w:cs="Arial" w:eastAsia="Arial" w:hAnsi="Arial"/>
          <w:sz w:val="17"/>
          <w:szCs w:val="17"/>
          <w:color w:val="auto"/>
        </w:rPr>
        <w:t>Yes. You can revoke your proxy at any time before the final vote at the meeting. If you are the record holder of your shares, you may revoke your proxy in any one of the following ways:</w:t>
      </w:r>
    </w:p>
    <w:p>
      <w:pPr>
        <w:spacing w:after="0" w:line="37" w:lineRule="exact"/>
        <w:rPr>
          <w:sz w:val="20"/>
          <w:szCs w:val="20"/>
          <w:color w:val="auto"/>
        </w:rPr>
      </w:pPr>
    </w:p>
    <w:p>
      <w:pPr>
        <w:ind w:left="1320" w:hanging="179"/>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may submit another properly completed proxy card with a later date.</w:t>
      </w:r>
    </w:p>
    <w:p>
      <w:pPr>
        <w:spacing w:after="0" w:line="118" w:lineRule="exact"/>
        <w:rPr>
          <w:rFonts w:ascii="Arial" w:cs="Arial" w:eastAsia="Arial" w:hAnsi="Arial"/>
          <w:sz w:val="17"/>
          <w:szCs w:val="17"/>
          <w:color w:val="auto"/>
        </w:rPr>
      </w:pPr>
    </w:p>
    <w:p>
      <w:pPr>
        <w:ind w:left="1320" w:hanging="179"/>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may grant a subsequent proxy by telephone or through the Internet.</w:t>
      </w:r>
    </w:p>
    <w:p>
      <w:pPr>
        <w:spacing w:after="0" w:line="118" w:lineRule="exact"/>
        <w:rPr>
          <w:rFonts w:ascii="Arial" w:cs="Arial" w:eastAsia="Arial" w:hAnsi="Arial"/>
          <w:sz w:val="17"/>
          <w:szCs w:val="17"/>
          <w:color w:val="auto"/>
        </w:rPr>
      </w:pPr>
    </w:p>
    <w:p>
      <w:pPr>
        <w:ind w:left="1320" w:right="519" w:hanging="179"/>
        <w:spacing w:after="0" w:line="260" w:lineRule="auto"/>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may send a written notice that you are revoking your proxy to the attention of Chief Legal Officer —  Proxy at CrowdStrike Holdings, Inc., 206 E. 9</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Street, Suite 1400, Austin, Texas 78701.</w:t>
      </w:r>
    </w:p>
    <w:p>
      <w:pPr>
        <w:ind w:left="1320" w:right="299" w:hanging="179"/>
        <w:spacing w:after="0" w:line="298" w:lineRule="auto"/>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may attend the Annual Meeting and vote online. Simply attending the meeting will not, by itself, revoke your proxy. Your most current proxy card or telephone or Internet proxy is the one that is counted.</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Beneficial Owner: Shares Registered in the Name of Broker or Bank</w:t>
      </w:r>
    </w:p>
    <w:p>
      <w:pPr>
        <w:spacing w:after="0" w:line="118" w:lineRule="exact"/>
        <w:rPr>
          <w:sz w:val="20"/>
          <w:szCs w:val="20"/>
          <w:color w:val="auto"/>
        </w:rPr>
      </w:pPr>
    </w:p>
    <w:p>
      <w:pPr>
        <w:ind w:left="800" w:right="139"/>
        <w:spacing w:after="0" w:line="298" w:lineRule="auto"/>
        <w:rPr>
          <w:sz w:val="20"/>
          <w:szCs w:val="20"/>
          <w:color w:val="auto"/>
        </w:rPr>
      </w:pPr>
      <w:r>
        <w:rPr>
          <w:rFonts w:ascii="Arial" w:cs="Arial" w:eastAsia="Arial" w:hAnsi="Arial"/>
          <w:sz w:val="17"/>
          <w:szCs w:val="17"/>
          <w:color w:val="auto"/>
        </w:rPr>
        <w:t>If your shares are held by your broker or bank as a nominee or agent, you should follow the instructions provided by your broker or bank.</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When are stockholder proposals due for inclusion in our proxy statement for next year’s annual meeting?</w:t>
      </w:r>
    </w:p>
    <w:p>
      <w:pPr>
        <w:spacing w:after="0" w:line="120" w:lineRule="exact"/>
        <w:rPr>
          <w:sz w:val="20"/>
          <w:szCs w:val="20"/>
          <w:color w:val="auto"/>
        </w:rPr>
      </w:pPr>
    </w:p>
    <w:p>
      <w:pPr>
        <w:ind w:left="800" w:right="239"/>
        <w:spacing w:after="0" w:line="260" w:lineRule="auto"/>
        <w:rPr>
          <w:sz w:val="20"/>
          <w:szCs w:val="20"/>
          <w:color w:val="auto"/>
        </w:rPr>
      </w:pPr>
      <w:r>
        <w:rPr>
          <w:rFonts w:ascii="Arial" w:cs="Arial" w:eastAsia="Arial" w:hAnsi="Arial"/>
          <w:sz w:val="17"/>
          <w:szCs w:val="17"/>
          <w:color w:val="auto"/>
        </w:rPr>
        <w:t>Stockholders wishing to present proposals for inclusion in our proxy statement for the 2027 Annual Meeting of Stockholders pursuant to Rule 14a-8 of the Exchange Act must submit their proposals in writing to the attention of Chief Legal Officer — Proxy at CrowdStrike Holdings, Inc., 206 E. 9th Street, Suite 1400, Austin, Texas 78701. The proposal must be received by us no later than January 5, 2027.</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When are stockholder proposals and director nominations due for next year’s annual meeting?</w:t>
      </w:r>
    </w:p>
    <w:p>
      <w:pPr>
        <w:spacing w:after="0" w:line="120" w:lineRule="exact"/>
        <w:rPr>
          <w:sz w:val="20"/>
          <w:szCs w:val="20"/>
          <w:color w:val="auto"/>
        </w:rPr>
      </w:pPr>
    </w:p>
    <w:p>
      <w:pPr>
        <w:ind w:left="800" w:right="139"/>
        <w:spacing w:after="0" w:line="249" w:lineRule="auto"/>
        <w:rPr>
          <w:sz w:val="20"/>
          <w:szCs w:val="20"/>
          <w:color w:val="auto"/>
        </w:rPr>
      </w:pPr>
      <w:r>
        <w:rPr>
          <w:rFonts w:ascii="Arial" w:cs="Arial" w:eastAsia="Arial" w:hAnsi="Arial"/>
          <w:sz w:val="17"/>
          <w:szCs w:val="17"/>
          <w:color w:val="auto"/>
        </w:rPr>
        <w:t>With respect to proposals and nominations not to be included in our proxy statement pursuant to Rule 14a-8 of the Exchange Act, our Bylaws provide that your proposal must be submitted in writing between January 18, 2027 and February 17, 2027 to the attention of Chief Legal Officer — Proxy at CrowdStrike Holdings, Inc., 206 E. 9th Street, Suite 1400, Austin, Texas 78701 and comply with the requirements in our Bylaws and all applicable requirements of Rule 14a-8 promulgated under the Exchange Act, provided, however, that if our 2027 Annual Meeting of Stockholders is held before May 18, 2027 or after August 26, 2027, then the proposal must be received by the Company no earlier than 120 days prior to such annual meeting and no later than the later of (i) 90 days prior to the date of such meeting or (ii) the 10th day following the day on which public announcement of the date of such meeting is first made by the Company. You are advised to review our Bylaws, which contain additional requirements about advance notice of stockholder proposals and director nominations. In addition to the requirements contained in our Bylaws, to comply with the universal proxy rules, stockholders who intend to solicit proxies in support of director nominees other than our nominees must provide notice that sets forth the information required by Rule 14a-19 of the Exchange Act no later than April 19, 2027.</w:t>
      </w:r>
    </w:p>
    <w:p>
      <w:pPr>
        <w:spacing w:after="0" w:line="39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8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are votes counted?</w:t>
      </w:r>
    </w:p>
    <w:p>
      <w:pPr>
        <w:spacing w:after="0" w:line="120" w:lineRule="exact"/>
        <w:rPr>
          <w:sz w:val="20"/>
          <w:szCs w:val="20"/>
          <w:color w:val="auto"/>
        </w:rPr>
      </w:pPr>
    </w:p>
    <w:p>
      <w:pPr>
        <w:ind w:left="800" w:right="199"/>
        <w:spacing w:after="0" w:line="274"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for the proposal to elect directors, votes “FOR” and “WITHHOLD”; for the proposal to ratify the selection of PricewaterhouseCoopers LLP, votes “FOR”, “AGAINST,” and abstentions; for the proposal to approve an amendment and restatement of our amended and restated certificate of incorporation to limit officer liability as permitted by Delaware law, votes “FOR”, “AGAINST,” and abstentions; and for the proposal to ratify, on an advisory basis, supermajority voting provisions in our amended and restated certificate of incorporation and amended and restated bylaws, votes “FOR”, “AGAINST,” and abstentions.</w:t>
      </w:r>
    </w:p>
    <w:p>
      <w:pPr>
        <w:spacing w:after="0" w:line="163" w:lineRule="exact"/>
        <w:rPr>
          <w:sz w:val="20"/>
          <w:szCs w:val="20"/>
          <w:color w:val="auto"/>
        </w:rPr>
      </w:pPr>
    </w:p>
    <w:p>
      <w:pPr>
        <w:jc w:val="both"/>
        <w:ind w:left="800" w:right="239"/>
        <w:spacing w:after="0" w:line="293" w:lineRule="auto"/>
        <w:rPr>
          <w:sz w:val="20"/>
          <w:szCs w:val="20"/>
          <w:color w:val="auto"/>
        </w:rPr>
      </w:pPr>
      <w:r>
        <w:rPr>
          <w:rFonts w:ascii="Arial" w:cs="Arial" w:eastAsia="Arial" w:hAnsi="Arial"/>
          <w:sz w:val="17"/>
          <w:szCs w:val="17"/>
          <w:i w:val="1"/>
          <w:iCs w:val="1"/>
          <w:color w:val="auto"/>
        </w:rPr>
        <w:t>Abstentions</w:t>
      </w:r>
      <w:r>
        <w:rPr>
          <w:rFonts w:ascii="Arial" w:cs="Arial" w:eastAsia="Arial" w:hAnsi="Arial"/>
          <w:sz w:val="17"/>
          <w:szCs w:val="17"/>
          <w:color w:val="auto"/>
        </w:rPr>
        <w:t>: Our Bylaws provide that a stockholder action (other than the election of directors as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decided by the vote of the holders of a majority of the total number of votes of the Company’s capital stock cast on the matter and that abstentions and broker non-votes are not treated as votes cast.</w:t>
      </w:r>
    </w:p>
    <w:p>
      <w:pPr>
        <w:spacing w:after="0" w:line="147" w:lineRule="exact"/>
        <w:rPr>
          <w:sz w:val="20"/>
          <w:szCs w:val="20"/>
          <w:color w:val="auto"/>
        </w:rPr>
      </w:pPr>
    </w:p>
    <w:p>
      <w:pPr>
        <w:ind w:left="800" w:right="139"/>
        <w:spacing w:after="0" w:line="272" w:lineRule="auto"/>
        <w:rPr>
          <w:sz w:val="20"/>
          <w:szCs w:val="20"/>
          <w:color w:val="auto"/>
        </w:rPr>
      </w:pPr>
      <w:r>
        <w:rPr>
          <w:rFonts w:ascii="Arial" w:cs="Arial" w:eastAsia="Arial" w:hAnsi="Arial"/>
          <w:sz w:val="17"/>
          <w:szCs w:val="17"/>
          <w:i w:val="1"/>
          <w:iCs w:val="1"/>
          <w:color w:val="auto"/>
        </w:rPr>
        <w:t>Broker Non-votes</w:t>
      </w:r>
      <w:r>
        <w:rPr>
          <w:rFonts w:ascii="Arial" w:cs="Arial" w:eastAsia="Arial" w:hAnsi="Arial"/>
          <w:sz w:val="17"/>
          <w:szCs w:val="17"/>
          <w:color w:val="auto"/>
        </w:rPr>
        <w:t>: A broker non-vote occurs when a nominee, such as a broker or bank, holding shares for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owner does not vote on a proposal because the nominee does not have discretionary authority to vote with respect to that proposal and has not received instructions with respect to that proposal from the beneficial owner. In the event that a broker, bank, custodian, nominee or other record holder of our common stock indicates on a proxy that it does not have discretionary authority to vote certain shares on a particular proposal, then those shares will be treated as broker non-votes with respect to that proposal. Proposals 1, 3, and 4 are considered non-routine matters and thus, if you do not instruct your broker how to vote for such proposals, your broker may not vote with respect to such proposals. Proposal 2 is considered a routine matter and accordingly, if you do not instruct your broker or other nominee on how to vote the shares in your account for such proposal, brokers will be permitted to exercise their discretionary authority to vote on that proposal. Accordingly, if you own shares through a nominee, such as a broker or bank, please be sure to instruct your nominee how to vote to ensure that your vote is counted on all the proposals.</w:t>
      </w:r>
    </w:p>
    <w:p>
      <w:pPr>
        <w:spacing w:after="0" w:line="164" w:lineRule="exact"/>
        <w:rPr>
          <w:sz w:val="20"/>
          <w:szCs w:val="20"/>
          <w:color w:val="auto"/>
        </w:rPr>
      </w:pPr>
    </w:p>
    <w:p>
      <w:pPr>
        <w:ind w:left="800" w:right="119"/>
        <w:spacing w:after="0" w:line="277" w:lineRule="auto"/>
        <w:rPr>
          <w:sz w:val="20"/>
          <w:szCs w:val="20"/>
          <w:color w:val="auto"/>
        </w:rPr>
      </w:pPr>
      <w:r>
        <w:rPr>
          <w:rFonts w:ascii="Arial" w:cs="Arial" w:eastAsia="Arial" w:hAnsi="Arial"/>
          <w:sz w:val="17"/>
          <w:szCs w:val="17"/>
          <w:color w:val="auto"/>
        </w:rPr>
        <w:t>Abstentions and broker non-votes will be treated as shares present for the purpose of determining the presence of a quorum for the transaction of business at the Annual Meeting. Broker non-votes will not be counted for purposes of determining the number of shares present online during the meeting or represented by proxy and entitled to vote with respect to Proposals 1 and 4. Thus, a broker non-vote will not affect the outcome of the vote on Proposals 1 and 4. However, with respect to Proposal 3, abstentions and broker non-votes will have the same effect of a vote against such proposals.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are “broker non-votes”?</w:t>
      </w:r>
    </w:p>
    <w:p>
      <w:pPr>
        <w:spacing w:after="0" w:line="120" w:lineRule="exact"/>
        <w:rPr>
          <w:sz w:val="20"/>
          <w:szCs w:val="20"/>
          <w:color w:val="auto"/>
        </w:rPr>
      </w:pPr>
    </w:p>
    <w:p>
      <w:pPr>
        <w:ind w:left="800" w:right="339"/>
        <w:spacing w:after="0" w:line="281" w:lineRule="auto"/>
        <w:rPr>
          <w:sz w:val="20"/>
          <w:szCs w:val="20"/>
          <w:color w:val="auto"/>
        </w:rPr>
      </w:pPr>
      <w:r>
        <w:rPr>
          <w:rFonts w:ascii="Arial" w:cs="Arial" w:eastAsia="Arial" w:hAnsi="Arial"/>
          <w:sz w:val="17"/>
          <w:szCs w:val="17"/>
          <w:color w:val="auto"/>
        </w:rPr>
        <w:t>As discussed above, when a beneficial owner of shares held in “street name” does not give instructions to the broker or nominee holding the shares as to how to vote on matters deemed to be “non-routine,” the broker or nominee cannot vote the shares with respect to such matters. These unvoted shares are considered “broker non-votes” with respect to such matters.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many votes are needed to approve each proposal?</w:t>
      </w:r>
    </w:p>
    <w:p>
      <w:pPr>
        <w:spacing w:after="0" w:line="146" w:lineRule="exact"/>
        <w:rPr>
          <w:sz w:val="20"/>
          <w:szCs w:val="20"/>
          <w:color w:val="auto"/>
        </w:rPr>
      </w:pPr>
    </w:p>
    <w:p>
      <w:pPr>
        <w:ind w:left="1320" w:right="159" w:hanging="179"/>
        <w:spacing w:after="0" w:line="267" w:lineRule="auto"/>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Proposal No. 1: The election of the director nominees requires a plurality of the votes of the shares of capital our stock present in person or represented by proxy at the meeting and entitled to vote on the election of directors. Plurality means that the nominees who receive the most “FOR” votes will be elected. You may vote “FOR” all nominees, “WITHHOLD” your vote as to all nominees or vote “FOR” all nominees except for those specific nominees from whom you “WITHHOLD” your vote.</w:t>
      </w:r>
    </w:p>
    <w:p>
      <w:pPr>
        <w:spacing w:after="0" w:line="75" w:lineRule="exact"/>
        <w:rPr>
          <w:rFonts w:ascii="Arial" w:cs="Arial" w:eastAsia="Arial" w:hAnsi="Arial"/>
          <w:sz w:val="17"/>
          <w:szCs w:val="17"/>
          <w:color w:val="auto"/>
        </w:rPr>
      </w:pPr>
    </w:p>
    <w:p>
      <w:pPr>
        <w:ind w:left="1320" w:right="279" w:hanging="179"/>
        <w:spacing w:after="0" w:line="277" w:lineRule="auto"/>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Proposal No. 2: The ratification of the selection of PricewaterhouseCoopers LLP as our independent registered public accounting firm for the fiscal year ending January 31, 2027, requires the affirmative “FOR” vote of a majority of the votes cast to be approved.</w:t>
      </w:r>
    </w:p>
    <w:p>
      <w:pPr>
        <w:spacing w:after="0" w:line="81" w:lineRule="exact"/>
        <w:rPr>
          <w:rFonts w:ascii="Arial" w:cs="Arial" w:eastAsia="Arial" w:hAnsi="Arial"/>
          <w:sz w:val="17"/>
          <w:szCs w:val="17"/>
          <w:color w:val="auto"/>
        </w:rPr>
      </w:pPr>
    </w:p>
    <w:p>
      <w:pPr>
        <w:ind w:left="1320" w:right="259" w:hanging="179"/>
        <w:spacing w:after="0" w:line="270" w:lineRule="auto"/>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Proposal No. 3: The approval of an amendment and restatement of our amended and restated certificate of incorporation to limit officer liability as permitted by Delaware law, requires the affirmative “FOR” vote of a majority of the voting power of the outstanding shares of our common stock entitled to vote at the Annual Meeting.</w:t>
      </w:r>
    </w:p>
    <w:p>
      <w:pPr>
        <w:spacing w:after="0" w:line="74" w:lineRule="exact"/>
        <w:rPr>
          <w:rFonts w:ascii="Arial" w:cs="Arial" w:eastAsia="Arial" w:hAnsi="Arial"/>
          <w:sz w:val="17"/>
          <w:szCs w:val="17"/>
          <w:color w:val="auto"/>
        </w:rPr>
      </w:pPr>
    </w:p>
    <w:p>
      <w:pPr>
        <w:ind w:left="1320" w:right="179" w:hanging="179"/>
        <w:spacing w:after="0" w:line="267" w:lineRule="auto"/>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Proposal No. 4: The ratification of, on an advisory basis, supermajority voting provisions in our amended and restated certificate of incorporation and amended and restated bylaws, requires the affirmative “FOR” vote of a majority of the votes cast to be approved. Because this proposal is an advisory vote, the result will not be binding on our Board. Our Board and our Nominating and Corporate Governance Committee will consider the outcome of the vote in making determinations in the future regarding our governance.</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299"/>
        <w:spacing w:after="0" w:line="298" w:lineRule="auto"/>
        <w:rPr>
          <w:sz w:val="20"/>
          <w:szCs w:val="20"/>
          <w:color w:val="auto"/>
        </w:rPr>
      </w:pPr>
      <w:r>
        <w:rPr>
          <w:rFonts w:ascii="Arial" w:cs="Arial" w:eastAsia="Arial" w:hAnsi="Arial"/>
          <w:sz w:val="17"/>
          <w:szCs w:val="17"/>
          <w:color w:val="auto"/>
        </w:rPr>
        <w:t>The following table summarizes the voting options, requirements, the effect of abstentions and the effect of broker non-votes for each proposal.</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10"/>
              <w:spacing w:after="0"/>
              <w:rPr>
                <w:sz w:val="20"/>
                <w:szCs w:val="20"/>
                <w:color w:val="auto"/>
              </w:rPr>
            </w:pPr>
            <w:r>
              <w:rPr>
                <w:rFonts w:ascii="Arial" w:cs="Arial" w:eastAsia="Arial" w:hAnsi="Arial"/>
                <w:sz w:val="14"/>
                <w:szCs w:val="14"/>
                <w:b w:val="1"/>
                <w:bCs w:val="1"/>
                <w:color w:val="auto"/>
                <w:w w:val="96"/>
              </w:rPr>
              <w:t>Voting</w:t>
            </w:r>
          </w:p>
        </w:tc>
        <w:tc>
          <w:tcPr>
            <w:tcW w:w="2100" w:type="dxa"/>
            <w:vAlign w:val="bottom"/>
          </w:tcPr>
          <w:p>
            <w:pPr>
              <w:ind w:left="280"/>
              <w:spacing w:after="0"/>
              <w:rPr>
                <w:sz w:val="20"/>
                <w:szCs w:val="20"/>
                <w:color w:val="auto"/>
              </w:rPr>
            </w:pPr>
            <w:r>
              <w:rPr>
                <w:rFonts w:ascii="Arial" w:cs="Arial" w:eastAsia="Arial" w:hAnsi="Arial"/>
                <w:sz w:val="14"/>
                <w:szCs w:val="14"/>
                <w:b w:val="1"/>
                <w:bCs w:val="1"/>
                <w:color w:val="auto"/>
              </w:rPr>
              <w:t>Vote Required to Adopt</w:t>
            </w: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Effect of</w:t>
            </w:r>
          </w:p>
        </w:tc>
        <w:tc>
          <w:tcPr>
            <w:tcW w:w="1880" w:type="dxa"/>
            <w:vAlign w:val="bottom"/>
          </w:tcPr>
          <w:p>
            <w:pPr>
              <w:ind w:left="700"/>
              <w:spacing w:after="0"/>
              <w:rPr>
                <w:sz w:val="20"/>
                <w:szCs w:val="20"/>
                <w:color w:val="auto"/>
              </w:rPr>
            </w:pPr>
            <w:r>
              <w:rPr>
                <w:rFonts w:ascii="Arial" w:cs="Arial" w:eastAsia="Arial" w:hAnsi="Arial"/>
                <w:sz w:val="14"/>
                <w:szCs w:val="14"/>
                <w:b w:val="1"/>
                <w:bCs w:val="1"/>
                <w:color w:val="auto"/>
              </w:rPr>
              <w:t>Effect of</w:t>
            </w: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920" w:type="dxa"/>
            <w:vAlign w:val="bottom"/>
          </w:tcPr>
          <w:p>
            <w:pPr>
              <w:jc w:val="center"/>
              <w:ind w:right="110"/>
              <w:spacing w:after="0"/>
              <w:rPr>
                <w:sz w:val="20"/>
                <w:szCs w:val="20"/>
                <w:color w:val="auto"/>
              </w:rPr>
            </w:pPr>
            <w:r>
              <w:rPr>
                <w:rFonts w:ascii="Arial" w:cs="Arial" w:eastAsia="Arial" w:hAnsi="Arial"/>
                <w:sz w:val="14"/>
                <w:szCs w:val="14"/>
                <w:b w:val="1"/>
                <w:bCs w:val="1"/>
                <w:color w:val="auto"/>
              </w:rPr>
              <w:t>Options</w:t>
            </w:r>
          </w:p>
        </w:tc>
        <w:tc>
          <w:tcPr>
            <w:tcW w:w="2100" w:type="dxa"/>
            <w:vAlign w:val="bottom"/>
          </w:tcPr>
          <w:p>
            <w:pPr>
              <w:ind w:left="640"/>
              <w:spacing w:after="0"/>
              <w:rPr>
                <w:sz w:val="20"/>
                <w:szCs w:val="20"/>
                <w:color w:val="auto"/>
              </w:rPr>
            </w:pPr>
            <w:r>
              <w:rPr>
                <w:rFonts w:ascii="Arial" w:cs="Arial" w:eastAsia="Arial" w:hAnsi="Arial"/>
                <w:sz w:val="14"/>
                <w:szCs w:val="14"/>
                <w:b w:val="1"/>
                <w:bCs w:val="1"/>
                <w:color w:val="auto"/>
              </w:rPr>
              <w:t>the Proposal</w:t>
            </w: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Abstentions</w:t>
            </w:r>
          </w:p>
        </w:tc>
        <w:tc>
          <w:tcPr>
            <w:tcW w:w="1880" w:type="dxa"/>
            <w:vAlign w:val="bottom"/>
          </w:tcPr>
          <w:p>
            <w:pPr>
              <w:ind w:left="320"/>
              <w:spacing w:after="0"/>
              <w:rPr>
                <w:sz w:val="20"/>
                <w:szCs w:val="20"/>
                <w:color w:val="auto"/>
              </w:rPr>
            </w:pPr>
            <w:r>
              <w:rPr>
                <w:rFonts w:ascii="Arial" w:cs="Arial" w:eastAsia="Arial" w:hAnsi="Arial"/>
                <w:sz w:val="14"/>
                <w:szCs w:val="14"/>
                <w:b w:val="1"/>
                <w:bCs w:val="1"/>
                <w:color w:val="auto"/>
              </w:rPr>
              <w:t>“Broker Non-Votes”</w:t>
            </w:r>
          </w:p>
        </w:tc>
        <w:tc>
          <w:tcPr>
            <w:tcW w:w="0" w:type="dxa"/>
            <w:vAlign w:val="bottom"/>
          </w:tcPr>
          <w:p>
            <w:pPr>
              <w:spacing w:after="0"/>
              <w:rPr>
                <w:sz w:val="1"/>
                <w:szCs w:val="1"/>
                <w:color w:val="auto"/>
              </w:rPr>
            </w:pPr>
          </w:p>
        </w:tc>
      </w:tr>
      <w:tr>
        <w:trPr>
          <w:trHeight w:val="66"/>
        </w:trPr>
        <w:tc>
          <w:tcPr>
            <w:tcW w:w="240" w:type="dxa"/>
            <w:vAlign w:val="bottom"/>
            <w:tcBorders>
              <w:bottom w:val="single" w:sz="8" w:color="D6515D"/>
            </w:tcBorders>
          </w:tcPr>
          <w:p>
            <w:pPr>
              <w:spacing w:after="0"/>
              <w:rPr>
                <w:sz w:val="5"/>
                <w:szCs w:val="5"/>
                <w:color w:val="auto"/>
              </w:rPr>
            </w:pPr>
          </w:p>
        </w:tc>
        <w:tc>
          <w:tcPr>
            <w:tcW w:w="2060" w:type="dxa"/>
            <w:vAlign w:val="bottom"/>
            <w:tcBorders>
              <w:bottom w:val="single" w:sz="8" w:color="D6515D"/>
            </w:tcBorders>
          </w:tcPr>
          <w:p>
            <w:pPr>
              <w:spacing w:after="0"/>
              <w:rPr>
                <w:sz w:val="5"/>
                <w:szCs w:val="5"/>
                <w:color w:val="auto"/>
              </w:rPr>
            </w:pPr>
          </w:p>
        </w:tc>
        <w:tc>
          <w:tcPr>
            <w:tcW w:w="220" w:type="dxa"/>
            <w:vAlign w:val="bottom"/>
            <w:tcBorders>
              <w:bottom w:val="single" w:sz="8" w:color="D6515D"/>
            </w:tcBorders>
            <w:vMerge w:val="continue"/>
          </w:tcPr>
          <w:p>
            <w:pPr>
              <w:spacing w:after="0"/>
              <w:rPr>
                <w:sz w:val="5"/>
                <w:szCs w:val="5"/>
                <w:color w:val="auto"/>
              </w:rPr>
            </w:pPr>
          </w:p>
        </w:tc>
        <w:tc>
          <w:tcPr>
            <w:tcW w:w="920" w:type="dxa"/>
            <w:vAlign w:val="bottom"/>
            <w:tcBorders>
              <w:bottom w:val="single" w:sz="8" w:color="D6515D"/>
            </w:tcBorders>
          </w:tcPr>
          <w:p>
            <w:pPr>
              <w:spacing w:after="0"/>
              <w:rPr>
                <w:sz w:val="5"/>
                <w:szCs w:val="5"/>
                <w:color w:val="auto"/>
              </w:rPr>
            </w:pPr>
          </w:p>
        </w:tc>
        <w:tc>
          <w:tcPr>
            <w:tcW w:w="2100" w:type="dxa"/>
            <w:vAlign w:val="bottom"/>
            <w:tcBorders>
              <w:bottom w:val="single" w:sz="8" w:color="D6515D"/>
            </w:tcBorders>
          </w:tcPr>
          <w:p>
            <w:pPr>
              <w:spacing w:after="0"/>
              <w:rPr>
                <w:sz w:val="5"/>
                <w:szCs w:val="5"/>
                <w:color w:val="auto"/>
              </w:rPr>
            </w:pPr>
          </w:p>
        </w:tc>
        <w:tc>
          <w:tcPr>
            <w:tcW w:w="1360" w:type="dxa"/>
            <w:vAlign w:val="bottom"/>
            <w:tcBorders>
              <w:bottom w:val="single" w:sz="8" w:color="D6515D"/>
            </w:tcBorders>
          </w:tcPr>
          <w:p>
            <w:pPr>
              <w:spacing w:after="0"/>
              <w:rPr>
                <w:sz w:val="5"/>
                <w:szCs w:val="5"/>
                <w:color w:val="auto"/>
              </w:rPr>
            </w:pPr>
          </w:p>
        </w:tc>
        <w:tc>
          <w:tcPr>
            <w:tcW w:w="1880" w:type="dxa"/>
            <w:vAlign w:val="bottom"/>
            <w:tcBorders>
              <w:bottom w:val="single" w:sz="8" w:color="D6515D"/>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300" w:type="dxa"/>
            <w:vAlign w:val="bottom"/>
            <w:gridSpan w:val="2"/>
          </w:tcPr>
          <w:p>
            <w:pPr>
              <w:spacing w:after="0"/>
              <w:rPr>
                <w:sz w:val="20"/>
                <w:szCs w:val="20"/>
                <w:color w:val="auto"/>
              </w:rPr>
            </w:pPr>
            <w:r>
              <w:rPr>
                <w:rFonts w:ascii="Arial" w:cs="Arial" w:eastAsia="Arial" w:hAnsi="Arial"/>
                <w:sz w:val="17"/>
                <w:szCs w:val="17"/>
                <w:color w:val="auto"/>
              </w:rPr>
              <w:t>1.  Election of the Class I</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or</w:t>
            </w:r>
          </w:p>
        </w:tc>
        <w:tc>
          <w:tcPr>
            <w:tcW w:w="2100" w:type="dxa"/>
            <w:vAlign w:val="bottom"/>
          </w:tcPr>
          <w:p>
            <w:pPr>
              <w:ind w:left="80"/>
              <w:spacing w:after="0"/>
              <w:rPr>
                <w:sz w:val="20"/>
                <w:szCs w:val="20"/>
                <w:color w:val="auto"/>
              </w:rPr>
            </w:pPr>
            <w:r>
              <w:rPr>
                <w:rFonts w:ascii="Arial" w:cs="Arial" w:eastAsia="Arial" w:hAnsi="Arial"/>
                <w:sz w:val="17"/>
                <w:szCs w:val="17"/>
                <w:color w:val="auto"/>
              </w:rPr>
              <w:t>The nominees who</w:t>
            </w:r>
          </w:p>
        </w:tc>
        <w:tc>
          <w:tcPr>
            <w:tcW w:w="1360" w:type="dxa"/>
            <w:vAlign w:val="bottom"/>
          </w:tcPr>
          <w:p>
            <w:pPr>
              <w:ind w:left="80"/>
              <w:spacing w:after="0"/>
              <w:rPr>
                <w:sz w:val="20"/>
                <w:szCs w:val="20"/>
                <w:color w:val="auto"/>
              </w:rPr>
            </w:pPr>
            <w:r>
              <w:rPr>
                <w:rFonts w:ascii="Arial" w:cs="Arial" w:eastAsia="Arial" w:hAnsi="Arial"/>
                <w:sz w:val="17"/>
                <w:szCs w:val="17"/>
                <w:color w:val="auto"/>
              </w:rPr>
              <w:t>N/A.</w:t>
            </w:r>
          </w:p>
        </w:tc>
        <w:tc>
          <w:tcPr>
            <w:tcW w:w="1880" w:type="dxa"/>
            <w:vAlign w:val="bottom"/>
          </w:tcPr>
          <w:p>
            <w:pPr>
              <w:ind w:left="80"/>
              <w:spacing w:after="0"/>
              <w:rPr>
                <w:sz w:val="20"/>
                <w:szCs w:val="20"/>
                <w:color w:val="auto"/>
              </w:rPr>
            </w:pPr>
            <w:r>
              <w:rPr>
                <w:rFonts w:ascii="Arial" w:cs="Arial" w:eastAsia="Arial" w:hAnsi="Arial"/>
                <w:sz w:val="17"/>
                <w:szCs w:val="17"/>
                <w:color w:val="auto"/>
              </w:rPr>
              <w:t>No effect. No broker</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director nominees</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withhold on</w:t>
            </w:r>
          </w:p>
        </w:tc>
        <w:tc>
          <w:tcPr>
            <w:tcW w:w="2100" w:type="dxa"/>
            <w:vAlign w:val="bottom"/>
          </w:tcPr>
          <w:p>
            <w:pPr>
              <w:ind w:left="80"/>
              <w:spacing w:after="0"/>
              <w:rPr>
                <w:sz w:val="20"/>
                <w:szCs w:val="20"/>
                <w:color w:val="auto"/>
              </w:rPr>
            </w:pPr>
            <w:r>
              <w:rPr>
                <w:rFonts w:ascii="Arial" w:cs="Arial" w:eastAsia="Arial" w:hAnsi="Arial"/>
                <w:sz w:val="17"/>
                <w:szCs w:val="17"/>
                <w:color w:val="auto"/>
              </w:rPr>
              <w:t>receive the most “FOR”</w:t>
            </w:r>
          </w:p>
        </w:tc>
        <w:tc>
          <w:tcPr>
            <w:tcW w:w="136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7"/>
                <w:szCs w:val="17"/>
                <w:color w:val="auto"/>
              </w:rPr>
              <w:t>discretion to vote.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Johanna Flower and</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each</w:t>
            </w:r>
          </w:p>
        </w:tc>
        <w:tc>
          <w:tcPr>
            <w:tcW w:w="2100" w:type="dxa"/>
            <w:vAlign w:val="bottom"/>
          </w:tcPr>
          <w:p>
            <w:pPr>
              <w:ind w:left="80"/>
              <w:spacing w:after="0"/>
              <w:rPr>
                <w:sz w:val="20"/>
                <w:szCs w:val="20"/>
                <w:color w:val="auto"/>
              </w:rPr>
            </w:pPr>
            <w:r>
              <w:rPr>
                <w:rFonts w:ascii="Arial" w:cs="Arial" w:eastAsia="Arial" w:hAnsi="Arial"/>
                <w:sz w:val="17"/>
                <w:szCs w:val="17"/>
                <w:color w:val="auto"/>
              </w:rPr>
              <w:t>votes will be elected.</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Denis J. O’Leary.</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nominee.</w:t>
            </w: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40" w:type="dxa"/>
            <w:vAlign w:val="bottom"/>
          </w:tcPr>
          <w:p>
            <w:pPr>
              <w:spacing w:after="0"/>
              <w:rPr>
                <w:sz w:val="20"/>
                <w:szCs w:val="20"/>
                <w:color w:val="auto"/>
              </w:rPr>
            </w:pPr>
            <w:r>
              <w:rPr>
                <w:rFonts w:ascii="Arial" w:cs="Arial" w:eastAsia="Arial" w:hAnsi="Arial"/>
                <w:sz w:val="17"/>
                <w:szCs w:val="17"/>
                <w:color w:val="auto"/>
              </w:rPr>
              <w:t>2.</w:t>
            </w:r>
          </w:p>
        </w:tc>
        <w:tc>
          <w:tcPr>
            <w:tcW w:w="2060" w:type="dxa"/>
            <w:vAlign w:val="bottom"/>
          </w:tcPr>
          <w:p>
            <w:pPr>
              <w:ind w:left="100"/>
              <w:spacing w:after="0"/>
              <w:rPr>
                <w:sz w:val="20"/>
                <w:szCs w:val="20"/>
                <w:color w:val="auto"/>
              </w:rPr>
            </w:pPr>
            <w:r>
              <w:rPr>
                <w:rFonts w:ascii="Arial" w:cs="Arial" w:eastAsia="Arial" w:hAnsi="Arial"/>
                <w:sz w:val="17"/>
                <w:szCs w:val="17"/>
                <w:color w:val="auto"/>
              </w:rPr>
              <w:t>Ratification of the</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against,</w:t>
            </w:r>
          </w:p>
        </w:tc>
        <w:tc>
          <w:tcPr>
            <w:tcW w:w="2100" w:type="dxa"/>
            <w:vAlign w:val="bottom"/>
          </w:tcPr>
          <w:p>
            <w:pPr>
              <w:ind w:left="80"/>
              <w:spacing w:after="0"/>
              <w:rPr>
                <w:sz w:val="20"/>
                <w:szCs w:val="20"/>
                <w:color w:val="auto"/>
              </w:rPr>
            </w:pPr>
            <w:r>
              <w:rPr>
                <w:rFonts w:ascii="Arial" w:cs="Arial" w:eastAsia="Arial" w:hAnsi="Arial"/>
                <w:sz w:val="17"/>
                <w:szCs w:val="17"/>
                <w:color w:val="auto"/>
              </w:rPr>
              <w:t>The affirmative “FOR”</w:t>
            </w:r>
          </w:p>
        </w:tc>
        <w:tc>
          <w:tcPr>
            <w:tcW w:w="1360" w:type="dxa"/>
            <w:vAlign w:val="bottom"/>
          </w:tcPr>
          <w:p>
            <w:pPr>
              <w:ind w:left="80"/>
              <w:spacing w:after="0"/>
              <w:rPr>
                <w:sz w:val="20"/>
                <w:szCs w:val="20"/>
                <w:color w:val="auto"/>
              </w:rPr>
            </w:pPr>
            <w:r>
              <w:rPr>
                <w:rFonts w:ascii="Arial" w:cs="Arial" w:eastAsia="Arial" w:hAnsi="Arial"/>
                <w:sz w:val="17"/>
                <w:szCs w:val="17"/>
                <w:color w:val="auto"/>
              </w:rPr>
              <w:t>No effect.</w:t>
            </w:r>
          </w:p>
        </w:tc>
        <w:tc>
          <w:tcPr>
            <w:tcW w:w="1880" w:type="dxa"/>
            <w:vAlign w:val="bottom"/>
          </w:tcPr>
          <w:p>
            <w:pPr>
              <w:ind w:left="80"/>
              <w:spacing w:after="0"/>
              <w:rPr>
                <w:sz w:val="20"/>
                <w:szCs w:val="20"/>
                <w:color w:val="auto"/>
              </w:rPr>
            </w:pPr>
            <w:r>
              <w:rPr>
                <w:rFonts w:ascii="Arial" w:cs="Arial" w:eastAsia="Arial" w:hAnsi="Arial"/>
                <w:sz w:val="17"/>
                <w:szCs w:val="17"/>
                <w:color w:val="auto"/>
              </w:rPr>
              <w:t>N/A. Brokers have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selection of</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or abstain.</w:t>
            </w:r>
          </w:p>
        </w:tc>
        <w:tc>
          <w:tcPr>
            <w:tcW w:w="2100" w:type="dxa"/>
            <w:vAlign w:val="bottom"/>
          </w:tcPr>
          <w:p>
            <w:pPr>
              <w:ind w:left="80"/>
              <w:spacing w:after="0"/>
              <w:rPr>
                <w:sz w:val="20"/>
                <w:szCs w:val="20"/>
                <w:color w:val="auto"/>
              </w:rPr>
            </w:pPr>
            <w:r>
              <w:rPr>
                <w:rFonts w:ascii="Arial" w:cs="Arial" w:eastAsia="Arial" w:hAnsi="Arial"/>
                <w:sz w:val="17"/>
                <w:szCs w:val="17"/>
                <w:color w:val="auto"/>
              </w:rPr>
              <w:t>vote of a majority of the</w:t>
            </w:r>
          </w:p>
        </w:tc>
        <w:tc>
          <w:tcPr>
            <w:tcW w:w="136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7"/>
                <w:szCs w:val="17"/>
                <w:color w:val="auto"/>
              </w:rPr>
              <w:t>discretion to vote.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PricewaterhouseCoopers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votes cast on the matter</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LLP as our independent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is required to ratify the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registered public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selection of</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accounting firm for the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PricewaterhouseCoopers</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fiscal year ending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LLP.</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January 31, 2027.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40" w:type="dxa"/>
            <w:vAlign w:val="bottom"/>
          </w:tcPr>
          <w:p>
            <w:pPr>
              <w:spacing w:after="0"/>
              <w:rPr>
                <w:sz w:val="20"/>
                <w:szCs w:val="20"/>
                <w:color w:val="auto"/>
              </w:rPr>
            </w:pPr>
            <w:r>
              <w:rPr>
                <w:rFonts w:ascii="Arial" w:cs="Arial" w:eastAsia="Arial" w:hAnsi="Arial"/>
                <w:sz w:val="17"/>
                <w:szCs w:val="17"/>
                <w:color w:val="auto"/>
              </w:rPr>
              <w:t>3.</w:t>
            </w:r>
          </w:p>
        </w:tc>
        <w:tc>
          <w:tcPr>
            <w:tcW w:w="2060" w:type="dxa"/>
            <w:vAlign w:val="bottom"/>
          </w:tcPr>
          <w:p>
            <w:pPr>
              <w:ind w:left="100"/>
              <w:spacing w:after="0"/>
              <w:rPr>
                <w:sz w:val="20"/>
                <w:szCs w:val="20"/>
                <w:color w:val="auto"/>
              </w:rPr>
            </w:pPr>
            <w:r>
              <w:rPr>
                <w:rFonts w:ascii="Arial" w:cs="Arial" w:eastAsia="Arial" w:hAnsi="Arial"/>
                <w:sz w:val="17"/>
                <w:szCs w:val="17"/>
                <w:color w:val="auto"/>
              </w:rPr>
              <w:t>Approval of an</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against,</w:t>
            </w:r>
          </w:p>
        </w:tc>
        <w:tc>
          <w:tcPr>
            <w:tcW w:w="2100" w:type="dxa"/>
            <w:vAlign w:val="bottom"/>
          </w:tcPr>
          <w:p>
            <w:pPr>
              <w:ind w:left="80"/>
              <w:spacing w:after="0"/>
              <w:rPr>
                <w:sz w:val="20"/>
                <w:szCs w:val="20"/>
                <w:color w:val="auto"/>
              </w:rPr>
            </w:pPr>
            <w:r>
              <w:rPr>
                <w:rFonts w:ascii="Arial" w:cs="Arial" w:eastAsia="Arial" w:hAnsi="Arial"/>
                <w:sz w:val="17"/>
                <w:szCs w:val="17"/>
                <w:color w:val="auto"/>
              </w:rPr>
              <w:t>The affirmative “FOR”</w:t>
            </w:r>
          </w:p>
        </w:tc>
        <w:tc>
          <w:tcPr>
            <w:tcW w:w="1360" w:type="dxa"/>
            <w:vAlign w:val="bottom"/>
          </w:tcPr>
          <w:p>
            <w:pPr>
              <w:ind w:left="80"/>
              <w:spacing w:after="0"/>
              <w:rPr>
                <w:sz w:val="20"/>
                <w:szCs w:val="20"/>
                <w:color w:val="auto"/>
              </w:rPr>
            </w:pPr>
            <w:r>
              <w:rPr>
                <w:rFonts w:ascii="Arial" w:cs="Arial" w:eastAsia="Arial" w:hAnsi="Arial"/>
                <w:sz w:val="17"/>
                <w:szCs w:val="17"/>
                <w:color w:val="auto"/>
              </w:rPr>
              <w:t>Counts against.</w:t>
            </w:r>
          </w:p>
        </w:tc>
        <w:tc>
          <w:tcPr>
            <w:tcW w:w="1880" w:type="dxa"/>
            <w:vAlign w:val="bottom"/>
          </w:tcPr>
          <w:p>
            <w:pPr>
              <w:ind w:left="80"/>
              <w:spacing w:after="0"/>
              <w:rPr>
                <w:sz w:val="20"/>
                <w:szCs w:val="20"/>
                <w:color w:val="auto"/>
              </w:rPr>
            </w:pPr>
            <w:r>
              <w:rPr>
                <w:rFonts w:ascii="Arial" w:cs="Arial" w:eastAsia="Arial" w:hAnsi="Arial"/>
                <w:sz w:val="17"/>
                <w:szCs w:val="17"/>
                <w:color w:val="auto"/>
              </w:rPr>
              <w:t>Counts against.</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amendment and</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or abstain.</w:t>
            </w:r>
          </w:p>
        </w:tc>
        <w:tc>
          <w:tcPr>
            <w:tcW w:w="2100" w:type="dxa"/>
            <w:vAlign w:val="bottom"/>
          </w:tcPr>
          <w:p>
            <w:pPr>
              <w:ind w:left="80"/>
              <w:spacing w:after="0"/>
              <w:rPr>
                <w:sz w:val="20"/>
                <w:szCs w:val="20"/>
                <w:color w:val="auto"/>
              </w:rPr>
            </w:pPr>
            <w:r>
              <w:rPr>
                <w:rFonts w:ascii="Arial" w:cs="Arial" w:eastAsia="Arial" w:hAnsi="Arial"/>
                <w:sz w:val="17"/>
                <w:szCs w:val="17"/>
                <w:color w:val="auto"/>
              </w:rPr>
              <w:t>vote of a majority of the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restatement of our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voting power of the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amended and restated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outstanding shares of our</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certificate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common stock entitled to</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incorporation to limit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vote at the Annual</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officer liability as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Meeting.</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permitted by Delaware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law.</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300" w:type="dxa"/>
            <w:vAlign w:val="bottom"/>
            <w:gridSpan w:val="2"/>
          </w:tcPr>
          <w:p>
            <w:pPr>
              <w:spacing w:after="0"/>
              <w:rPr>
                <w:sz w:val="20"/>
                <w:szCs w:val="20"/>
                <w:color w:val="auto"/>
              </w:rPr>
            </w:pPr>
            <w:r>
              <w:rPr>
                <w:rFonts w:ascii="Arial" w:cs="Arial" w:eastAsia="Arial" w:hAnsi="Arial"/>
                <w:sz w:val="17"/>
                <w:szCs w:val="17"/>
                <w:color w:val="auto"/>
              </w:rPr>
              <w:t>4.  Advisory vote on the</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For, against,</w:t>
            </w:r>
          </w:p>
        </w:tc>
        <w:tc>
          <w:tcPr>
            <w:tcW w:w="2100" w:type="dxa"/>
            <w:vAlign w:val="bottom"/>
          </w:tcPr>
          <w:p>
            <w:pPr>
              <w:ind w:left="80"/>
              <w:spacing w:after="0"/>
              <w:rPr>
                <w:sz w:val="20"/>
                <w:szCs w:val="20"/>
                <w:color w:val="auto"/>
              </w:rPr>
            </w:pPr>
            <w:r>
              <w:rPr>
                <w:rFonts w:ascii="Arial" w:cs="Arial" w:eastAsia="Arial" w:hAnsi="Arial"/>
                <w:sz w:val="17"/>
                <w:szCs w:val="17"/>
                <w:color w:val="auto"/>
              </w:rPr>
              <w:t>The affirmative “FOR”</w:t>
            </w:r>
          </w:p>
        </w:tc>
        <w:tc>
          <w:tcPr>
            <w:tcW w:w="1360" w:type="dxa"/>
            <w:vAlign w:val="bottom"/>
          </w:tcPr>
          <w:p>
            <w:pPr>
              <w:ind w:left="80"/>
              <w:spacing w:after="0"/>
              <w:rPr>
                <w:sz w:val="20"/>
                <w:szCs w:val="20"/>
                <w:color w:val="auto"/>
              </w:rPr>
            </w:pPr>
            <w:r>
              <w:rPr>
                <w:rFonts w:ascii="Arial" w:cs="Arial" w:eastAsia="Arial" w:hAnsi="Arial"/>
                <w:sz w:val="17"/>
                <w:szCs w:val="17"/>
                <w:color w:val="auto"/>
              </w:rPr>
              <w:t>No effect.</w:t>
            </w:r>
          </w:p>
        </w:tc>
        <w:tc>
          <w:tcPr>
            <w:tcW w:w="1880" w:type="dxa"/>
            <w:vAlign w:val="bottom"/>
          </w:tcPr>
          <w:p>
            <w:pPr>
              <w:ind w:left="80"/>
              <w:spacing w:after="0"/>
              <w:rPr>
                <w:sz w:val="20"/>
                <w:szCs w:val="20"/>
                <w:color w:val="auto"/>
              </w:rPr>
            </w:pPr>
            <w:r>
              <w:rPr>
                <w:rFonts w:ascii="Arial" w:cs="Arial" w:eastAsia="Arial" w:hAnsi="Arial"/>
                <w:sz w:val="17"/>
                <w:szCs w:val="17"/>
                <w:color w:val="auto"/>
              </w:rPr>
              <w:t>No effect. No broker</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ratification of</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or abstain.</w:t>
            </w:r>
          </w:p>
        </w:tc>
        <w:tc>
          <w:tcPr>
            <w:tcW w:w="2100" w:type="dxa"/>
            <w:vAlign w:val="bottom"/>
          </w:tcPr>
          <w:p>
            <w:pPr>
              <w:ind w:left="80"/>
              <w:spacing w:after="0"/>
              <w:rPr>
                <w:sz w:val="20"/>
                <w:szCs w:val="20"/>
                <w:color w:val="auto"/>
              </w:rPr>
            </w:pPr>
            <w:r>
              <w:rPr>
                <w:rFonts w:ascii="Arial" w:cs="Arial" w:eastAsia="Arial" w:hAnsi="Arial"/>
                <w:sz w:val="17"/>
                <w:szCs w:val="17"/>
                <w:color w:val="auto"/>
              </w:rPr>
              <w:t>vote of a majority of the</w:t>
            </w:r>
          </w:p>
        </w:tc>
        <w:tc>
          <w:tcPr>
            <w:tcW w:w="136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Arial" w:cs="Arial" w:eastAsia="Arial" w:hAnsi="Arial"/>
                <w:sz w:val="17"/>
                <w:szCs w:val="17"/>
                <w:color w:val="auto"/>
              </w:rPr>
              <w:t>discretion to vote.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supermajority voting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votes cast to be</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provisions in our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approved, on an advisory</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amended and restated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7"/>
                <w:szCs w:val="17"/>
                <w:color w:val="auto"/>
              </w:rPr>
              <w:t>basis.</w:t>
            </w: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certificate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Arial" w:cs="Arial" w:eastAsia="Arial" w:hAnsi="Arial"/>
                <w:sz w:val="17"/>
                <w:szCs w:val="17"/>
                <w:color w:val="auto"/>
              </w:rPr>
              <w:t>incorporation and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7"/>
          <w:szCs w:val="17"/>
          <w:color w:val="auto"/>
        </w:rPr>
        <w:t>amended and restated</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bylaws.</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What is the quorum requirement?</w:t>
      </w:r>
    </w:p>
    <w:p>
      <w:pPr>
        <w:spacing w:after="0" w:line="120" w:lineRule="exact"/>
        <w:rPr>
          <w:sz w:val="20"/>
          <w:szCs w:val="20"/>
          <w:color w:val="auto"/>
        </w:rPr>
      </w:pPr>
    </w:p>
    <w:p>
      <w:pPr>
        <w:ind w:left="800" w:right="299"/>
        <w:spacing w:after="0" w:line="279" w:lineRule="auto"/>
        <w:rPr>
          <w:sz w:val="20"/>
          <w:szCs w:val="20"/>
          <w:color w:val="auto"/>
        </w:rPr>
      </w:pPr>
      <w:r>
        <w:rPr>
          <w:rFonts w:ascii="Arial" w:cs="Arial" w:eastAsia="Arial" w:hAnsi="Arial"/>
          <w:sz w:val="17"/>
          <w:szCs w:val="17"/>
          <w:color w:val="auto"/>
        </w:rPr>
        <w:t>A quorum of stockholders is necessary to hold a valid meeting. A quorum will be present if stockholders holding at least a majority of the total voting power of all outstanding shares of the Company generally entitled to vote are present online at the meeting, by remote communication, if applicable, or represented by proxy. Each share of Class A common stock is entitled to one vote on each matter to be voted upon. On the record date, there were 254,536,521 shares of Class A common stock outstanding and entitled to vote.</w:t>
      </w:r>
    </w:p>
    <w:p>
      <w:pPr>
        <w:spacing w:after="0" w:line="158" w:lineRule="exact"/>
        <w:rPr>
          <w:sz w:val="20"/>
          <w:szCs w:val="20"/>
          <w:color w:val="auto"/>
        </w:rPr>
      </w:pPr>
    </w:p>
    <w:p>
      <w:pPr>
        <w:ind w:left="800" w:right="319"/>
        <w:spacing w:after="0" w:line="279" w:lineRule="auto"/>
        <w:rPr>
          <w:sz w:val="20"/>
          <w:szCs w:val="20"/>
          <w:color w:val="auto"/>
        </w:rPr>
      </w:pPr>
      <w:r>
        <w:rPr>
          <w:rFonts w:ascii="Arial" w:cs="Arial" w:eastAsia="Arial" w:hAnsi="Arial"/>
          <w:sz w:val="17"/>
          <w:szCs w:val="17"/>
          <w:color w:val="auto"/>
        </w:rPr>
        <w:t>Your shares will be counted towards the quorum if you submit a valid proxy (or one is submitted on your behalf by your broker, bank or other nominee) or if you vote by telephone, online or at the meeting. Abstentions and broker non-votes will be counted towards the quorum requirement. If there is no quorum, the meeting’s chairperson or holders of a majority in voting interest of the stockholders represented at the meeting (present in person or represented by proxy) may adjourn the meeting to another date.</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How can I find out the results of the voting at the Annual Meeting?</w:t>
      </w:r>
    </w:p>
    <w:p>
      <w:pPr>
        <w:spacing w:after="0" w:line="120" w:lineRule="exact"/>
        <w:rPr>
          <w:sz w:val="20"/>
          <w:szCs w:val="20"/>
          <w:color w:val="auto"/>
        </w:rPr>
      </w:pPr>
    </w:p>
    <w:p>
      <w:pPr>
        <w:ind w:left="800" w:right="519"/>
        <w:spacing w:after="0" w:line="298" w:lineRule="auto"/>
        <w:rPr>
          <w:sz w:val="20"/>
          <w:szCs w:val="20"/>
          <w:color w:val="auto"/>
        </w:rPr>
      </w:pPr>
      <w:r>
        <w:rPr>
          <w:rFonts w:ascii="Arial" w:cs="Arial" w:eastAsia="Arial" w:hAnsi="Arial"/>
          <w:sz w:val="17"/>
          <w:szCs w:val="17"/>
          <w:color w:val="auto"/>
        </w:rPr>
        <w:t>Final voting results will be published in a Current Report on Form 8-K that we expect to file within four business days after the Annual Meeting.</w:t>
      </w:r>
    </w:p>
    <w:p>
      <w:pPr>
        <w:spacing w:after="0" w:line="35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68 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6" w:lineRule="exact"/>
        <w:rPr>
          <w:sz w:val="20"/>
          <w:szCs w:val="20"/>
          <w:color w:val="auto"/>
        </w:rPr>
      </w:pPr>
    </w:p>
    <w:p>
      <w:pPr>
        <w:ind w:left="800"/>
        <w:spacing w:after="0"/>
        <w:rPr>
          <w:sz w:val="20"/>
          <w:szCs w:val="20"/>
          <w:color w:val="auto"/>
        </w:rPr>
      </w:pPr>
      <w:r>
        <w:rPr>
          <w:rFonts w:ascii="Arial" w:cs="Arial" w:eastAsia="Arial" w:hAnsi="Arial"/>
          <w:sz w:val="49"/>
          <w:szCs w:val="49"/>
          <w:b w:val="1"/>
          <w:bCs w:val="1"/>
          <w:color w:val="auto"/>
        </w:rPr>
        <w:t>Other Matters</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Forward-looking Statements</w:t>
      </w:r>
    </w:p>
    <w:p>
      <w:pPr>
        <w:spacing w:after="0" w:line="100" w:lineRule="exact"/>
        <w:rPr>
          <w:sz w:val="20"/>
          <w:szCs w:val="20"/>
          <w:color w:val="auto"/>
        </w:rPr>
      </w:pPr>
    </w:p>
    <w:p>
      <w:pPr>
        <w:ind w:left="800" w:right="139"/>
        <w:spacing w:after="0" w:line="260" w:lineRule="auto"/>
        <w:rPr>
          <w:sz w:val="20"/>
          <w:szCs w:val="20"/>
          <w:color w:val="auto"/>
        </w:rPr>
      </w:pPr>
      <w:r>
        <w:rPr>
          <w:rFonts w:ascii="Arial" w:cs="Arial" w:eastAsia="Arial" w:hAnsi="Arial"/>
          <w:sz w:val="17"/>
          <w:szCs w:val="17"/>
          <w:color w:val="auto"/>
        </w:rPr>
        <w:t>This Proxy Statement contains forward-looking statements that involve risks and uncertainties, including statements regarding CrowdStrike’s future growth and future financial and operating performance, the industry outlook, and our business strategy and plans. The words “believe,” “may,” “will,” “estimate,” “continue,” “anticipate,” “intend,” “expect,” and similar expressions are intended to identify forward-looking statements. These forward-looking statements are subject to a number of risks, uncertainties, and assumptions, including those described in our Annual Report on Form 10-K for the fiscal year ended January 31, 2026. Moreover, we operate in a very competitive and rapidly changing environment. New risks emerge from time to time. In light of these risks, uncertainties, and assumptions, the future events and trends discussed in this Proxy Statement may not occur and actual results could differ materially and adversely from those anticipated or implied in the forward-looking statements. All forward-looking statements in this Proxy Statement are based on information available to CrowdStrike as of the date hereof, and CrowdStrike does not assume any obligation to update the forward-looking statements provided to reflect events that occur or circumstances that exist after the date on which they were made.</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Other Business</w:t>
      </w:r>
    </w:p>
    <w:p>
      <w:pPr>
        <w:spacing w:after="0" w:line="109" w:lineRule="exact"/>
        <w:rPr>
          <w:sz w:val="20"/>
          <w:szCs w:val="20"/>
          <w:color w:val="auto"/>
        </w:rPr>
      </w:pPr>
    </w:p>
    <w:p>
      <w:pPr>
        <w:ind w:left="800" w:right="279"/>
        <w:spacing w:after="0" w:line="277" w:lineRule="auto"/>
        <w:rPr>
          <w:sz w:val="20"/>
          <w:szCs w:val="20"/>
          <w:color w:val="auto"/>
        </w:rPr>
      </w:pPr>
      <w:r>
        <w:rPr>
          <w:rFonts w:ascii="Arial" w:cs="Arial" w:eastAsia="Arial" w:hAnsi="Arial"/>
          <w:sz w:val="17"/>
          <w:szCs w:val="17"/>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52705</wp:posOffset>
            </wp:positionV>
            <wp:extent cx="871220" cy="307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71220"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George Kurtz</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May 5, 2026</w:t>
      </w:r>
    </w:p>
    <w:p>
      <w:pPr>
        <w:spacing w:after="0" w:line="221" w:lineRule="exact"/>
        <w:rPr>
          <w:sz w:val="20"/>
          <w:szCs w:val="20"/>
          <w:color w:val="auto"/>
        </w:rPr>
      </w:pPr>
    </w:p>
    <w:p>
      <w:pPr>
        <w:jc w:val="both"/>
        <w:ind w:left="800" w:right="259"/>
        <w:spacing w:after="0" w:line="283" w:lineRule="auto"/>
        <w:rPr>
          <w:sz w:val="20"/>
          <w:szCs w:val="20"/>
          <w:color w:val="auto"/>
        </w:rPr>
      </w:pPr>
      <w:r>
        <w:rPr>
          <w:rFonts w:ascii="Arial" w:cs="Arial" w:eastAsia="Arial" w:hAnsi="Arial"/>
          <w:sz w:val="17"/>
          <w:szCs w:val="17"/>
          <w:b w:val="1"/>
          <w:bCs w:val="1"/>
          <w:color w:val="auto"/>
        </w:rPr>
        <w:t>A copy of the Company’s Annual Report on Form 10-K for the fiscal year ended January 31, 2026 as filed with the Securities and Exchange Commission is available without charge upon written request to: Chief Legal Officer — Proxy, CrowdStrike Holdings, Inc., 206 E. 9th Street, Suite 1400, Austin, Texas 78701.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19"/>
        <w:spacing w:after="0"/>
        <w:rPr>
          <w:sz w:val="20"/>
          <w:szCs w:val="20"/>
          <w:color w:val="auto"/>
        </w:rPr>
      </w:pPr>
      <w:r>
        <w:rPr>
          <w:rFonts w:ascii="Arial" w:cs="Arial" w:eastAsia="Arial" w:hAnsi="Arial"/>
          <w:sz w:val="14"/>
          <w:szCs w:val="14"/>
          <w:b w:val="1"/>
          <w:bCs w:val="1"/>
          <w:color w:val="D6515D"/>
        </w:rPr>
        <w:t>|</w:t>
      </w:r>
      <w:r>
        <w:rPr>
          <w:rFonts w:ascii="Arial" w:cs="Arial" w:eastAsia="Arial" w:hAnsi="Arial"/>
          <w:sz w:val="14"/>
          <w:szCs w:val="14"/>
          <w:b w:val="1"/>
          <w:bCs w:val="1"/>
          <w:color w:val="000000"/>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8"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APPENDIX A</w:t>
      </w:r>
    </w:p>
    <w:p>
      <w:pPr>
        <w:spacing w:after="0" w:line="118"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ind w:left="800" w:right="139"/>
        <w:spacing w:after="0" w:line="275" w:lineRule="auto"/>
        <w:rPr>
          <w:sz w:val="20"/>
          <w:szCs w:val="20"/>
          <w:color w:val="auto"/>
        </w:rPr>
      </w:pPr>
      <w:r>
        <w:rPr>
          <w:rFonts w:ascii="Arial" w:cs="Arial" w:eastAsia="Arial" w:hAnsi="Arial"/>
          <w:sz w:val="17"/>
          <w:szCs w:val="17"/>
          <w:color w:val="auto"/>
        </w:rPr>
        <w:t>This Proxy Statement contains information regarding financial measures that are not calculated in accordance with GAAP. We believe that these non-GAAP financial measures are appropriate to enhance an overall understanding of our fiscal 2026 performance in relation to the principal elements of CrowdStrike’s annual executive compensation program considered by the Compensation Committee, as described in the “Executive Compensation Discussion and Analysis” section of this Proxy Statement.</w:t>
      </w:r>
    </w:p>
    <w:p>
      <w:pPr>
        <w:spacing w:after="0" w:line="174" w:lineRule="exact"/>
        <w:rPr>
          <w:sz w:val="20"/>
          <w:szCs w:val="20"/>
          <w:color w:val="auto"/>
        </w:rPr>
      </w:pPr>
    </w:p>
    <w:p>
      <w:pPr>
        <w:ind w:left="800" w:right="159"/>
        <w:spacing w:after="0" w:line="272" w:lineRule="auto"/>
        <w:rPr>
          <w:sz w:val="20"/>
          <w:szCs w:val="20"/>
          <w:color w:val="auto"/>
        </w:rPr>
      </w:pPr>
      <w:r>
        <w:rPr>
          <w:rFonts w:ascii="Arial" w:cs="Arial" w:eastAsia="Arial" w:hAnsi="Arial"/>
          <w:sz w:val="17"/>
          <w:szCs w:val="17"/>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is provided below for certain GAAP financial measures to the most directly comparable financial measure stated in accordance with GAAP. Investors are encouraged to review the related GAAP financial measures and the reconciliation of such non-GAAP financial measures to their most directly comparable GAAP financial measures. Management encourages stockholders and others to review CrowdStrike’s financial information in its entirety and not rely on a single financial measure.</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Non-GAAP Operating Income</w:t>
      </w:r>
    </w:p>
    <w:p>
      <w:pPr>
        <w:spacing w:after="0" w:line="118" w:lineRule="exact"/>
        <w:rPr>
          <w:sz w:val="20"/>
          <w:szCs w:val="20"/>
          <w:color w:val="auto"/>
        </w:rPr>
      </w:pPr>
    </w:p>
    <w:p>
      <w:pPr>
        <w:ind w:left="800" w:right="439"/>
        <w:spacing w:after="0" w:line="279" w:lineRule="auto"/>
        <w:rPr>
          <w:sz w:val="20"/>
          <w:szCs w:val="20"/>
          <w:color w:val="auto"/>
        </w:rPr>
      </w:pPr>
      <w:r>
        <w:rPr>
          <w:rFonts w:ascii="Arial" w:cs="Arial" w:eastAsia="Arial" w:hAnsi="Arial"/>
          <w:sz w:val="17"/>
          <w:szCs w:val="17"/>
          <w:color w:val="auto"/>
        </w:rPr>
        <w:t>We define non-GAAP operating income as GAAP income (loss) from operations excluding stock-based compensation expense and related employer payroll taxes, amortization of acquired intangible assets (including purchased patents), acquisition-related expenses (credits), net, mark-to-market adjustments on deferred compensation liabilities, legal reserve and settlement charges or benefits, costs (recoveries) associated with the July 19 Incident and related matters, net, and strategic plan related charges (benefits), net.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Non-GAAP Net Income Attributable to CrowdStrike</w:t>
      </w:r>
    </w:p>
    <w:p>
      <w:pPr>
        <w:spacing w:after="0" w:line="118" w:lineRule="exact"/>
        <w:rPr>
          <w:sz w:val="20"/>
          <w:szCs w:val="20"/>
          <w:color w:val="auto"/>
        </w:rPr>
      </w:pPr>
    </w:p>
    <w:p>
      <w:pPr>
        <w:ind w:left="800" w:right="139"/>
        <w:spacing w:after="0" w:line="274" w:lineRule="auto"/>
        <w:rPr>
          <w:sz w:val="20"/>
          <w:szCs w:val="20"/>
          <w:color w:val="auto"/>
        </w:rPr>
      </w:pPr>
      <w:r>
        <w:rPr>
          <w:rFonts w:ascii="Arial" w:cs="Arial" w:eastAsia="Arial" w:hAnsi="Arial"/>
          <w:sz w:val="17"/>
          <w:szCs w:val="17"/>
          <w:color w:val="auto"/>
        </w:rPr>
        <w:t>We define non-GAAP net income attributable to CrowdStrike as GAAP net income (loss) attributable to CrowdStrike excluding stock-based compensation expense and related employer payroll taxes, amortization of acquired intangible assets (including purchased patents), acquisition-related expenses (credits), net, amortization of debt issuance costs and discount, mark-to-market adjustments on deferred compensation liabilities, legal reserve and settlement charges or benefits, costs (recoveries) associated with the July 19 Incident and related matters, net, strategic plan related charges (benefits), net, losses (gains) and other expense (income) from strategic investments, and losses (gains) on deferred compensation assets, and is adjusted for our long-term non-GAAP effective tax rate.</w:t>
      </w:r>
    </w:p>
    <w:p>
      <w:pPr>
        <w:spacing w:after="0" w:line="176" w:lineRule="exact"/>
        <w:rPr>
          <w:sz w:val="20"/>
          <w:szCs w:val="20"/>
          <w:color w:val="auto"/>
        </w:rPr>
      </w:pPr>
    </w:p>
    <w:p>
      <w:pPr>
        <w:ind w:left="800" w:right="279"/>
        <w:spacing w:after="0" w:line="298" w:lineRule="auto"/>
        <w:rPr>
          <w:sz w:val="20"/>
          <w:szCs w:val="20"/>
          <w:color w:val="auto"/>
        </w:rPr>
      </w:pPr>
      <w:r>
        <w:rPr>
          <w:rFonts w:ascii="Arial" w:cs="Arial" w:eastAsia="Arial" w:hAnsi="Arial"/>
          <w:sz w:val="17"/>
          <w:szCs w:val="17"/>
          <w:color w:val="auto"/>
        </w:rPr>
        <w:t>The following table presents a reconciliation of our non-GAAP net income attributable to CrowdStrike to our GAAP net income (loss) attributable to CrowdStrike (in thousands):</w:t>
      </w:r>
    </w:p>
    <w:p>
      <w:pPr>
        <w:sectPr>
          <w:pgSz w:w="11900" w:h="16838" w:orient="portrait"/>
          <w:cols w:equalWidth="0" w:num="1">
            <w:col w:w="9699"/>
          </w:cols>
          <w:pgMar w:left="76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GAAP loss attributable to CrowdStrike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Stock based compensation expense and related employer payroll taxes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Acquisition-related expenses, net</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Amortization of debt issuance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Mark-to-market adjustments on deferred compensation liabilities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Costs associated with the July 19 Incident and related matters,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19050</wp:posOffset>
            </wp:positionV>
            <wp:extent cx="5576570" cy="165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Strategic plan related charges, net</w:t>
      </w:r>
    </w:p>
    <w:p>
      <w:pPr>
        <w:spacing w:after="0" w:line="66" w:lineRule="exact"/>
        <w:rPr>
          <w:sz w:val="20"/>
          <w:szCs w:val="20"/>
          <w:color w:val="auto"/>
        </w:rPr>
      </w:pPr>
    </w:p>
    <w:p>
      <w:pPr>
        <w:ind w:left="960"/>
        <w:spacing w:after="0" w:line="310" w:lineRule="auto"/>
        <w:rPr>
          <w:sz w:val="20"/>
          <w:szCs w:val="20"/>
          <w:color w:val="auto"/>
        </w:rPr>
      </w:pPr>
      <w:r>
        <w:rPr>
          <w:rFonts w:ascii="Arial" w:cs="Arial" w:eastAsia="Arial" w:hAnsi="Arial"/>
          <w:sz w:val="17"/>
          <w:szCs w:val="17"/>
          <w:color w:val="auto"/>
        </w:rPr>
        <w:t>Gains and other income from strategic investments attributable to CrowdStrike Gains on deferred compensation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-176530</wp:posOffset>
            </wp:positionV>
            <wp:extent cx="5576570" cy="165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76570" cy="16573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 xml:space="preserve">Income tax adjustments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1905</wp:posOffset>
            </wp:positionV>
            <wp:extent cx="5576570" cy="1993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76570" cy="199390"/>
                    </a:xfrm>
                    <a:prstGeom prst="rect">
                      <a:avLst/>
                    </a:prstGeom>
                    <a:noFill/>
                  </pic:spPr>
                </pic:pic>
              </a:graphicData>
            </a:graphic>
          </wp:anchor>
        </w:drawing>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Non-GAAP net income attributable to CrowdStrike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127000</wp:posOffset>
            </wp:positionV>
            <wp:extent cx="1195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13525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 w:type="dxa"/>
            <w:vAlign w:val="bottom"/>
            <w:tcBorders>
              <w:bottom w:val="single" w:sz="8" w:color="D6515D"/>
            </w:tcBorders>
          </w:tcPr>
          <w:p>
            <w:pPr>
              <w:spacing w:after="0"/>
              <w:rPr>
                <w:sz w:val="17"/>
                <w:szCs w:val="17"/>
                <w:color w:val="auto"/>
              </w:rPr>
            </w:pPr>
          </w:p>
        </w:tc>
        <w:tc>
          <w:tcPr>
            <w:tcW w:w="760" w:type="dxa"/>
            <w:vAlign w:val="bottom"/>
            <w:tcBorders>
              <w:bottom w:val="single" w:sz="8" w:color="D6515D"/>
            </w:tcBorders>
          </w:tcPr>
          <w:p>
            <w:pPr>
              <w:jc w:val="right"/>
              <w:ind w:right="235"/>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D6515D"/>
            </w:tcBorders>
          </w:tcPr>
          <w:p>
            <w:pPr>
              <w:ind w:left="40"/>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D6515D"/>
            </w:tcBorders>
          </w:tcPr>
          <w:p>
            <w:pPr>
              <w:jc w:val="right"/>
              <w:ind w:right="334"/>
              <w:spacing w:after="0"/>
              <w:rPr>
                <w:sz w:val="20"/>
                <w:szCs w:val="20"/>
                <w:color w:val="auto"/>
              </w:rPr>
            </w:pPr>
            <w:r>
              <w:rPr>
                <w:rFonts w:ascii="Arial" w:cs="Arial" w:eastAsia="Arial" w:hAnsi="Arial"/>
                <w:sz w:val="14"/>
                <w:szCs w:val="14"/>
                <w:b w:val="1"/>
                <w:bCs w:val="1"/>
                <w:color w:val="auto"/>
              </w:rPr>
              <w:t>2025</w:t>
            </w:r>
          </w:p>
        </w:tc>
      </w:tr>
      <w:tr>
        <w:trPr>
          <w:trHeight w:val="27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(162,502)​ ​​$</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(15,241)</w:t>
            </w:r>
          </w:p>
        </w:tc>
      </w:tr>
      <w:tr>
        <w:trPr>
          <w:trHeight w:val="261"/>
        </w:trPr>
        <w:tc>
          <w:tcPr>
            <w:tcW w:w="1000" w:type="dxa"/>
            <w:vAlign w:val="bottom"/>
            <w:gridSpan w:val="2"/>
          </w:tcPr>
          <w:p>
            <w:pPr>
              <w:jc w:val="right"/>
              <w:spacing w:after="0"/>
              <w:rPr>
                <w:sz w:val="20"/>
                <w:szCs w:val="20"/>
                <w:color w:val="auto"/>
              </w:rPr>
            </w:pPr>
            <w:r>
              <w:rPr>
                <w:rFonts w:ascii="Arial" w:cs="Arial" w:eastAsia="Arial" w:hAnsi="Arial"/>
                <w:sz w:val="17"/>
                <w:szCs w:val="17"/>
                <w:color w:val="auto"/>
              </w:rPr>
              <w:t>​ 1,130,571</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903,584</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31,233</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26,004</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14,036</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6,027</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2,186</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2,186</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1,412</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611</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117,730</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60,062</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44,777</w:t>
            </w:r>
          </w:p>
        </w:tc>
        <w:tc>
          <w:tcPr>
            <w:tcW w:w="320" w:type="dxa"/>
            <w:vAlign w:val="bottom"/>
          </w:tcPr>
          <w:p>
            <w:pPr>
              <w:ind w:left="40"/>
              <w:spacing w:after="0"/>
              <w:rPr>
                <w:sz w:val="20"/>
                <w:szCs w:val="20"/>
                <w:color w:val="auto"/>
              </w:rPr>
            </w:pPr>
            <w:r>
              <w:rPr>
                <w:rFonts w:ascii="Arial" w:cs="Arial" w:eastAsia="Arial" w:hAnsi="Arial"/>
                <w:sz w:val="17"/>
                <w:szCs w:val="17"/>
                <w:color w:val="auto"/>
              </w:rPr>
              <w:t>​ ​​</w:t>
            </w:r>
          </w:p>
        </w:tc>
        <w:tc>
          <w:tcPr>
            <w:tcW w:w="820" w:type="dxa"/>
            <w:vAlign w:val="bottom"/>
          </w:tcPr>
          <w:p>
            <w:pPr>
              <w:jc w:val="right"/>
              <w:ind w:right="74"/>
              <w:spacing w:after="0"/>
              <w:rPr>
                <w:sz w:val="20"/>
                <w:szCs w:val="20"/>
                <w:color w:val="auto"/>
              </w:rPr>
            </w:pPr>
            <w:r>
              <w:rPr>
                <w:rFonts w:ascii="Arial" w:cs="Arial" w:eastAsia="Arial" w:hAnsi="Arial"/>
                <w:sz w:val="17"/>
                <w:szCs w:val="17"/>
                <w:color w:val="auto"/>
              </w:rPr>
              <w:t>—</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(1,337)​ ​​</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(2,675)</w:t>
            </w:r>
          </w:p>
        </w:tc>
      </w:tr>
      <w:tr>
        <w:trPr>
          <w:trHeight w:val="261"/>
        </w:trPr>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(1,412)​ ​​</w:t>
            </w:r>
          </w:p>
        </w:tc>
        <w:tc>
          <w:tcPr>
            <w:tcW w:w="820" w:type="dxa"/>
            <w:vAlign w:val="bottom"/>
          </w:tcPr>
          <w:p>
            <w:pPr>
              <w:jc w:val="right"/>
              <w:ind w:right="14"/>
              <w:spacing w:after="0"/>
              <w:rPr>
                <w:sz w:val="20"/>
                <w:szCs w:val="20"/>
                <w:color w:val="auto"/>
              </w:rPr>
            </w:pPr>
            <w:r>
              <w:rPr>
                <w:rFonts w:ascii="Arial" w:cs="Arial" w:eastAsia="Arial" w:hAnsi="Arial"/>
                <w:sz w:val="17"/>
                <w:szCs w:val="17"/>
                <w:color w:val="auto"/>
              </w:rPr>
              <w:t>(611)</w:t>
            </w:r>
          </w:p>
        </w:tc>
      </w:tr>
    </w:tbl>
    <w:p>
      <w:pPr>
        <w:jc w:val="both"/>
        <w:ind w:left="80" w:right="219" w:firstLine="10"/>
        <w:spacing w:after="0" w:line="183" w:lineRule="auto"/>
        <w:tabs>
          <w:tab w:leader="none" w:pos="288" w:val="left"/>
        </w:tabs>
        <w:numPr>
          <w:ilvl w:val="0"/>
          <w:numId w:val="89"/>
        </w:numPr>
        <w:rPr>
          <w:rFonts w:ascii="Arial" w:cs="Arial" w:eastAsia="Arial" w:hAnsi="Arial"/>
          <w:sz w:val="34"/>
          <w:szCs w:val="34"/>
          <w:u w:val="single" w:color="auto"/>
          <w:color w:val="auto"/>
          <w:vertAlign w:val="subscript"/>
        </w:rPr>
      </w:pPr>
      <w:r>
        <w:rPr>
          <w:rFonts w:ascii="Arial" w:cs="Arial" w:eastAsia="Arial" w:hAnsi="Arial"/>
          <w:sz w:val="17"/>
          <w:szCs w:val="17"/>
          <w:u w:val="single" w:color="auto"/>
          <w:color w:val="auto"/>
        </w:rPr>
        <w:t>(220,107</w:t>
      </w:r>
      <w:r>
        <w:rPr>
          <w:rFonts w:ascii="Arial" w:cs="Arial" w:eastAsia="Arial" w:hAnsi="Arial"/>
          <w:sz w:val="17"/>
          <w:szCs w:val="17"/>
          <w:color w:val="auto"/>
        </w:rPr>
        <w:t>)</w:t>
      </w:r>
      <w:r>
        <w:rPr>
          <w:rFonts w:ascii="Arial" w:cs="Arial" w:eastAsia="Arial" w:hAnsi="Arial"/>
          <w:sz w:val="33"/>
          <w:szCs w:val="33"/>
          <w:color w:val="auto"/>
          <w:vertAlign w:val="subscript"/>
        </w:rPr>
        <w:t>​ ​</w:t>
      </w:r>
      <w:r>
        <w:rPr>
          <w:rFonts w:ascii="Arial" w:cs="Arial" w:eastAsia="Arial" w:hAnsi="Arial"/>
          <w:sz w:val="33"/>
          <w:szCs w:val="33"/>
          <w:u w:val="single" w:color="auto"/>
          <w:color w:val="auto"/>
          <w:vertAlign w:val="subscript"/>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(165,362</w:t>
      </w:r>
      <w:r>
        <w:rPr>
          <w:rFonts w:ascii="Arial" w:cs="Arial" w:eastAsia="Arial" w:hAnsi="Arial"/>
          <w:sz w:val="17"/>
          <w:szCs w:val="17"/>
          <w:color w:val="auto"/>
        </w:rPr>
        <w:t xml:space="preserve">) </w:t>
      </w:r>
      <w:r>
        <w:rPr>
          <w:rFonts w:ascii="Arial" w:cs="Arial" w:eastAsia="Arial" w:hAnsi="Arial"/>
          <w:sz w:val="33"/>
          <w:szCs w:val="33"/>
          <w:u w:val="single" w:color="auto"/>
          <w:color w:val="auto"/>
          <w:vertAlign w:val="subscript"/>
        </w:rPr>
        <w:t>​</w:t>
      </w:r>
      <w:r>
        <w:rPr>
          <w:rFonts w:ascii="Arial" w:cs="Arial" w:eastAsia="Arial" w:hAnsi="Arial"/>
          <w:sz w:val="17"/>
          <w:szCs w:val="17"/>
          <w:u w:val="single" w:color="auto"/>
          <w:color w:val="auto"/>
        </w:rPr>
        <w:t>$ 956,587</w:t>
      </w:r>
      <w:r>
        <w:rPr>
          <w:rFonts w:ascii="Arial" w:cs="Arial" w:eastAsia="Arial" w:hAnsi="Arial"/>
          <w:sz w:val="17"/>
          <w:szCs w:val="17"/>
          <w:color w:val="auto"/>
        </w:rPr>
        <w:t xml:space="preserve"> </w:t>
      </w:r>
      <w:r>
        <w:rPr>
          <w:rFonts w:ascii="Arial" w:cs="Arial" w:eastAsia="Arial" w:hAnsi="Arial"/>
          <w:sz w:val="33"/>
          <w:szCs w:val="33"/>
          <w:color w:val="auto"/>
          <w:vertAlign w:val="subscript"/>
        </w:rPr>
        <w:t>​ ​</w:t>
      </w:r>
      <w:r>
        <w:rPr>
          <w:rFonts w:ascii="Arial" w:cs="Arial" w:eastAsia="Arial" w:hAnsi="Arial"/>
          <w:sz w:val="33"/>
          <w:szCs w:val="33"/>
          <w:u w:val="single" w:color="auto"/>
          <w:color w:val="auto"/>
          <w:vertAlign w:val="subscript"/>
        </w:rPr>
        <w:t>​</w:t>
      </w:r>
      <w:r>
        <w:rPr>
          <w:rFonts w:ascii="Arial" w:cs="Arial" w:eastAsia="Arial" w:hAnsi="Arial"/>
          <w:sz w:val="17"/>
          <w:szCs w:val="17"/>
          <w:u w:val="single" w:color="auto"/>
          <w:color w:val="auto"/>
        </w:rPr>
        <w:t>$ 814,585</w:t>
      </w:r>
    </w:p>
    <w:p>
      <w:pPr>
        <w:spacing w:after="0" w:line="200" w:lineRule="exact"/>
        <w:rPr>
          <w:sz w:val="20"/>
          <w:szCs w:val="20"/>
          <w:color w:val="auto"/>
        </w:rPr>
      </w:pPr>
    </w:p>
    <w:p>
      <w:pPr>
        <w:sectPr>
          <w:pgSz w:w="11900" w:h="16838" w:orient="portrait"/>
          <w:cols w:equalWidth="0" w:num="2">
            <w:col w:w="6900" w:space="540"/>
            <w:col w:w="2259"/>
          </w:cols>
          <w:pgMar w:left="760" w:top="94" w:right="1440" w:bottom="1440" w:gutter="0" w:footer="0" w:header="0"/>
          <w:type w:val="continuous"/>
        </w:sectPr>
      </w:pPr>
    </w:p>
    <w:p>
      <w:pPr>
        <w:spacing w:after="0" w:line="68" w:lineRule="exact"/>
        <w:rPr>
          <w:sz w:val="20"/>
          <w:szCs w:val="20"/>
          <w:color w:val="auto"/>
        </w:rPr>
      </w:pPr>
    </w:p>
    <w:p>
      <w:pPr>
        <w:ind w:left="1140" w:right="719" w:hanging="347"/>
        <w:spacing w:after="0" w:line="298" w:lineRule="auto"/>
        <w:tabs>
          <w:tab w:leader="none" w:pos="11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Adjustments are related to the difference between the GAAP provision for income taxes and non-GAAP provision for income taxes.</w:t>
      </w:r>
    </w:p>
    <w:p>
      <w:pPr>
        <w:sectPr>
          <w:pgSz w:w="11900" w:h="16838" w:orient="portrait"/>
          <w:cols w:equalWidth="0" w:num="1">
            <w:col w:w="9699"/>
          </w:cols>
          <w:pgMar w:left="760" w:top="94" w:right="1440" w:bottom="1440" w:gutter="0" w:footer="0" w:header="0"/>
          <w:type w:val="continuous"/>
        </w:sectPr>
      </w:pPr>
    </w:p>
    <w:p>
      <w:pPr>
        <w:spacing w:after="0" w:line="358"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Non-GAAP EPS</w:t>
      </w:r>
    </w:p>
    <w:p>
      <w:pPr>
        <w:spacing w:after="0" w:line="118" w:lineRule="exact"/>
        <w:rPr>
          <w:sz w:val="20"/>
          <w:szCs w:val="20"/>
          <w:color w:val="auto"/>
        </w:rPr>
      </w:pPr>
    </w:p>
    <w:p>
      <w:pPr>
        <w:ind w:left="800" w:right="500"/>
        <w:spacing w:after="0" w:line="277" w:lineRule="auto"/>
        <w:rPr>
          <w:sz w:val="20"/>
          <w:szCs w:val="20"/>
          <w:color w:val="auto"/>
        </w:rPr>
      </w:pPr>
      <w:r>
        <w:rPr>
          <w:rFonts w:ascii="Arial" w:cs="Arial" w:eastAsia="Arial" w:hAnsi="Arial"/>
          <w:sz w:val="17"/>
          <w:szCs w:val="17"/>
          <w:color w:val="auto"/>
        </w:rPr>
        <w:t>We define non-GAAP EPS as non-GAAP net income attributable to CrowdStrike, excluding the effect of acquisitions, divided by the weighted-average number of shares outstanding, which includes the dilutive effect of potentially dilutive common stock equivalents outstanding during the period.</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8" w:lineRule="exact"/>
        <w:rPr>
          <w:sz w:val="20"/>
          <w:szCs w:val="20"/>
          <w:color w:val="auto"/>
        </w:rPr>
      </w:pPr>
    </w:p>
    <w:p>
      <w:pPr>
        <w:ind w:left="800" w:right="220"/>
        <w:spacing w:after="0" w:line="260" w:lineRule="auto"/>
        <w:rPr>
          <w:sz w:val="20"/>
          <w:szCs w:val="20"/>
          <w:color w:val="auto"/>
        </w:rPr>
      </w:pPr>
      <w:r>
        <w:rPr>
          <w:rFonts w:ascii="Arial" w:cs="Arial" w:eastAsia="Arial" w:hAnsi="Arial"/>
          <w:sz w:val="17"/>
          <w:szCs w:val="17"/>
          <w:color w:val="auto"/>
        </w:rPr>
        <w:t>We define free cash flow as net cash provided by operating activities less purchases of property and equipment, capitalized internal-use software and website development costs, purchases of deferred compensation investments, and proceeds from sale of deferred compensation investments. We monitor free cash flow as one measure of our overall business performance, which enables us to analyze our future performance without the effects of non-cash items and allow us to better understand the cash needs of our business. While we believe that free cash flow is useful in evaluating our business, free cash flow is a non-GAAP financial measure that has limitations as an analytical tool, and free cash flow should not be considered as an alternative to, or substitute for, net cash provided by operating activities in accordance with GAAP. The utility of free cash flow as a measure of our liquidity is further limited as it does not represent the total increase or decrease in our cash balance for any given period. In addition, other companies, including companies in our industry, may calculate free cash flow differently or not at all, which reduces the usefulness of free cash flow as a tool for comparison.</w:t>
      </w:r>
    </w:p>
    <w:p>
      <w:pPr>
        <w:spacing w:after="0" w:line="180" w:lineRule="exact"/>
        <w:rPr>
          <w:sz w:val="20"/>
          <w:szCs w:val="20"/>
          <w:color w:val="auto"/>
        </w:rPr>
      </w:pPr>
    </w:p>
    <w:p>
      <w:pPr>
        <w:ind w:left="800" w:right="680"/>
        <w:spacing w:after="0" w:line="298" w:lineRule="auto"/>
        <w:rPr>
          <w:sz w:val="20"/>
          <w:szCs w:val="20"/>
          <w:color w:val="auto"/>
        </w:rPr>
      </w:pPr>
      <w:r>
        <w:rPr>
          <w:rFonts w:ascii="Arial" w:cs="Arial" w:eastAsia="Arial" w:hAnsi="Arial"/>
          <w:sz w:val="17"/>
          <w:szCs w:val="17"/>
          <w:color w:val="auto"/>
        </w:rPr>
        <w:t>The following table presents a reconciliation of our free cash flow to our GAAP net cash provided by operating activities (in thousands):</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99"/>
        </w:trPr>
        <w:tc>
          <w:tcPr>
            <w:tcW w:w="7240" w:type="dxa"/>
            <w:vAlign w:val="bottom"/>
          </w:tcPr>
          <w:p>
            <w:pPr>
              <w:spacing w:after="0"/>
              <w:rPr>
                <w:sz w:val="17"/>
                <w:szCs w:val="17"/>
                <w:color w:val="auto"/>
              </w:rPr>
            </w:pPr>
          </w:p>
        </w:tc>
        <w:tc>
          <w:tcPr>
            <w:tcW w:w="1760" w:type="dxa"/>
            <w:vAlign w:val="bottom"/>
            <w:tcBorders>
              <w:bottom w:val="single" w:sz="8" w:color="D6515D"/>
            </w:tcBorders>
            <w:gridSpan w:val="4"/>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28"/>
        </w:trPr>
        <w:tc>
          <w:tcPr>
            <w:tcW w:w="7240" w:type="dxa"/>
            <w:vAlign w:val="bottom"/>
          </w:tcPr>
          <w:p>
            <w:pPr>
              <w:spacing w:after="0"/>
              <w:rPr>
                <w:sz w:val="19"/>
                <w:szCs w:val="19"/>
                <w:color w:val="auto"/>
              </w:rPr>
            </w:pPr>
          </w:p>
        </w:tc>
        <w:tc>
          <w:tcPr>
            <w:tcW w:w="860" w:type="dxa"/>
            <w:vAlign w:val="bottom"/>
            <w:tcBorders>
              <w:bottom w:val="single" w:sz="8" w:color="D6515D"/>
            </w:tcBorders>
          </w:tcPr>
          <w:p>
            <w:pPr>
              <w:jc w:val="right"/>
              <w:ind w:right="195"/>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D6515D"/>
            </w:tcBorders>
            <w:gridSpan w:val="2"/>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D6515D"/>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240" w:type="dxa"/>
            <w:vAlign w:val="bottom"/>
          </w:tcPr>
          <w:p>
            <w:pPr>
              <w:spacing w:after="0"/>
              <w:rPr>
                <w:sz w:val="20"/>
                <w:szCs w:val="20"/>
                <w:color w:val="auto"/>
              </w:rPr>
            </w:pPr>
            <w:r>
              <w:rPr>
                <w:rFonts w:ascii="Arial" w:cs="Arial" w:eastAsia="Arial" w:hAnsi="Arial"/>
                <w:sz w:val="17"/>
                <w:szCs w:val="17"/>
                <w:color w:val="auto"/>
              </w:rPr>
              <w:t>GAAP net cash provided by operating activities</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$1,612,349</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$1,381,727</w:t>
            </w: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property and equipment</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(302,108)</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(254,852)</w:t>
            </w:r>
          </w:p>
        </w:tc>
        <w:tc>
          <w:tcPr>
            <w:tcW w:w="0" w:type="dxa"/>
            <w:vAlign w:val="bottom"/>
          </w:tcPr>
          <w:p>
            <w:pPr>
              <w:spacing w:after="0"/>
              <w:rPr>
                <w:sz w:val="1"/>
                <w:szCs w:val="1"/>
                <w:color w:val="auto"/>
              </w:rPr>
            </w:pPr>
          </w:p>
        </w:tc>
      </w:tr>
      <w:tr>
        <w:trPr>
          <w:trHeight w:val="261"/>
        </w:trPr>
        <w:tc>
          <w:tcPr>
            <w:tcW w:w="7240" w:type="dxa"/>
            <w:vAlign w:val="bottom"/>
          </w:tcPr>
          <w:p>
            <w:pPr>
              <w:ind w:left="160"/>
              <w:spacing w:after="0"/>
              <w:rPr>
                <w:sz w:val="20"/>
                <w:szCs w:val="20"/>
                <w:color w:val="auto"/>
              </w:rPr>
            </w:pPr>
            <w:r>
              <w:rPr>
                <w:rFonts w:ascii="Arial" w:cs="Arial" w:eastAsia="Arial" w:hAnsi="Arial"/>
                <w:sz w:val="17"/>
                <w:szCs w:val="17"/>
                <w:color w:val="auto"/>
              </w:rPr>
              <w:t>Capitalized internal-use software and website development costs</w:t>
            </w:r>
          </w:p>
        </w:tc>
        <w:tc>
          <w:tcPr>
            <w:tcW w:w="860" w:type="dxa"/>
            <w:vAlign w:val="bottom"/>
          </w:tcPr>
          <w:p>
            <w:pPr>
              <w:jc w:val="right"/>
              <w:spacing w:after="0"/>
              <w:rPr>
                <w:sz w:val="20"/>
                <w:szCs w:val="20"/>
                <w:color w:val="auto"/>
              </w:rPr>
            </w:pPr>
            <w:r>
              <w:rPr>
                <w:rFonts w:ascii="Arial" w:cs="Arial" w:eastAsia="Arial" w:hAnsi="Arial"/>
                <w:sz w:val="17"/>
                <w:szCs w:val="17"/>
                <w:color w:val="auto"/>
              </w:rPr>
              <w:t>68,751</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(58,969)</w:t>
            </w: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deferred compensation investments</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(6,009)</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(2,721)</w:t>
            </w:r>
          </w:p>
        </w:tc>
        <w:tc>
          <w:tcPr>
            <w:tcW w:w="0" w:type="dxa"/>
            <w:vAlign w:val="bottom"/>
          </w:tcPr>
          <w:p>
            <w:pPr>
              <w:spacing w:after="0"/>
              <w:rPr>
                <w:sz w:val="1"/>
                <w:szCs w:val="1"/>
                <w:color w:val="auto"/>
              </w:rPr>
            </w:pPr>
          </w:p>
        </w:tc>
      </w:tr>
      <w:tr>
        <w:trPr>
          <w:trHeight w:val="270"/>
        </w:trPr>
        <w:tc>
          <w:tcPr>
            <w:tcW w:w="7240" w:type="dxa"/>
            <w:vAlign w:val="bottom"/>
            <w:tcBorders>
              <w:bottom w:val="single" w:sz="8" w:color="E5E5E5"/>
            </w:tcBorders>
          </w:tcPr>
          <w:p>
            <w:pPr>
              <w:ind w:left="160"/>
              <w:spacing w:after="0"/>
              <w:rPr>
                <w:sz w:val="20"/>
                <w:szCs w:val="20"/>
                <w:color w:val="auto"/>
              </w:rPr>
            </w:pPr>
            <w:r>
              <w:rPr>
                <w:rFonts w:ascii="Arial" w:cs="Arial" w:eastAsia="Arial" w:hAnsi="Arial"/>
                <w:sz w:val="17"/>
                <w:szCs w:val="17"/>
                <w:color w:val="auto"/>
              </w:rPr>
              <w:t>Proceeds from sales of deferred compensation investments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72"/>
        </w:trPr>
        <w:tc>
          <w:tcPr>
            <w:tcW w:w="7240" w:type="dxa"/>
            <w:vAlign w:val="bottom"/>
            <w:shd w:val="clear" w:color="auto" w:fill="E5E5E5"/>
          </w:tcPr>
          <w:p>
            <w:pPr>
              <w:spacing w:after="0"/>
              <w:rPr>
                <w:sz w:val="20"/>
                <w:szCs w:val="20"/>
                <w:color w:val="auto"/>
              </w:rPr>
            </w:pPr>
            <w:r>
              <w:rPr>
                <w:rFonts w:ascii="Arial" w:cs="Arial" w:eastAsia="Arial" w:hAnsi="Arial"/>
                <w:sz w:val="17"/>
                <w:szCs w:val="17"/>
                <w:color w:val="auto"/>
              </w:rPr>
              <w:t>Free cash flow</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w w:val="98"/>
              </w:rPr>
              <w:t>$1,372,776</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$1,065,079</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7"/>
                <w:szCs w:val="17"/>
                <w:color w:val="auto"/>
              </w:rPr>
              <w:t>GAAP net cash provided by operating activities as a percentage of revenue</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40" w:type="dxa"/>
            <w:vAlign w:val="bottom"/>
            <w:vMerge w:val="continue"/>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40" w:type="dxa"/>
            <w:vAlign w:val="bottom"/>
            <w:vMerge w:val="continue"/>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7"/>
                <w:szCs w:val="17"/>
                <w:color w:val="auto"/>
              </w:rPr>
              <w:t>34%</w:t>
            </w:r>
          </w:p>
        </w:tc>
        <w:tc>
          <w:tcPr>
            <w:tcW w:w="20" w:type="dxa"/>
            <w:vAlign w:val="bottom"/>
            <w:vMerge w:val="continue"/>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Arial" w:cs="Arial" w:eastAsia="Arial" w:hAnsi="Arial"/>
                <w:sz w:val="17"/>
                <w:szCs w:val="17"/>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property and equipment as a percentage of revenue</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61"/>
        </w:trPr>
        <w:tc>
          <w:tcPr>
            <w:tcW w:w="7240" w:type="dxa"/>
            <w:vAlign w:val="bottom"/>
          </w:tcPr>
          <w:p>
            <w:pPr>
              <w:ind w:left="160"/>
              <w:spacing w:after="0"/>
              <w:rPr>
                <w:sz w:val="20"/>
                <w:szCs w:val="20"/>
                <w:color w:val="auto"/>
              </w:rPr>
            </w:pPr>
            <w:r>
              <w:rPr>
                <w:rFonts w:ascii="Arial" w:cs="Arial" w:eastAsia="Arial" w:hAnsi="Arial"/>
                <w:sz w:val="17"/>
                <w:szCs w:val="17"/>
                <w:color w:val="auto"/>
              </w:rPr>
              <w:t>Capitalized internal-use software and website development costs as a percentage of revenue</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1"/>
        </w:trPr>
        <w:tc>
          <w:tcPr>
            <w:tcW w:w="7240" w:type="dxa"/>
            <w:vAlign w:val="bottom"/>
            <w:shd w:val="clear" w:color="auto" w:fill="E5E5E5"/>
          </w:tcPr>
          <w:p>
            <w:pPr>
              <w:ind w:left="160"/>
              <w:spacing w:after="0"/>
              <w:rPr>
                <w:sz w:val="20"/>
                <w:szCs w:val="20"/>
                <w:color w:val="auto"/>
              </w:rPr>
            </w:pPr>
            <w:r>
              <w:rPr>
                <w:rFonts w:ascii="Arial" w:cs="Arial" w:eastAsia="Arial" w:hAnsi="Arial"/>
                <w:sz w:val="17"/>
                <w:szCs w:val="17"/>
                <w:color w:val="auto"/>
              </w:rPr>
              <w:t>Purchases of deferred compensation investments as a percentage of revenue</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E5E5E5"/>
          </w:tcPr>
          <w:p>
            <w:pPr>
              <w:spacing w:after="0"/>
              <w:rPr>
                <w:sz w:val="22"/>
                <w:szCs w:val="22"/>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7240" w:type="dxa"/>
            <w:vAlign w:val="bottom"/>
          </w:tcPr>
          <w:p>
            <w:pPr>
              <w:ind w:left="160"/>
              <w:spacing w:after="0"/>
              <w:rPr>
                <w:sz w:val="20"/>
                <w:szCs w:val="20"/>
                <w:color w:val="auto"/>
              </w:rPr>
            </w:pPr>
            <w:r>
              <w:rPr>
                <w:rFonts w:ascii="Arial" w:cs="Arial" w:eastAsia="Arial" w:hAnsi="Arial"/>
                <w:sz w:val="17"/>
                <w:szCs w:val="17"/>
                <w:color w:val="auto"/>
              </w:rPr>
              <w:t>Proceeds from the sales of deferred compensation investments as a percentage of revenue</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7240" w:type="dxa"/>
            <w:vAlign w:val="bottom"/>
            <w:shd w:val="clear" w:color="auto" w:fill="E5E5E5"/>
          </w:tcPr>
          <w:p>
            <w:pPr>
              <w:spacing w:after="0"/>
              <w:rPr>
                <w:sz w:val="20"/>
                <w:szCs w:val="20"/>
                <w:color w:val="auto"/>
              </w:rPr>
            </w:pPr>
            <w:r>
              <w:rPr>
                <w:rFonts w:ascii="Arial" w:cs="Arial" w:eastAsia="Arial" w:hAnsi="Arial"/>
                <w:sz w:val="17"/>
                <w:szCs w:val="17"/>
                <w:color w:val="auto"/>
              </w:rPr>
              <w:t>Free cash flow margin</w:t>
            </w:r>
          </w:p>
        </w:tc>
        <w:tc>
          <w:tcPr>
            <w:tcW w:w="860" w:type="dxa"/>
            <w:vAlign w:val="bottom"/>
            <w:shd w:val="clear" w:color="auto" w:fill="E5E5E5"/>
          </w:tcPr>
          <w:p>
            <w:pPr>
              <w:jc w:val="right"/>
              <w:spacing w:after="0"/>
              <w:rPr>
                <w:sz w:val="20"/>
                <w:szCs w:val="20"/>
                <w:color w:val="auto"/>
              </w:rPr>
            </w:pPr>
            <w:r>
              <w:rPr>
                <w:rFonts w:ascii="Arial" w:cs="Arial" w:eastAsia="Arial" w:hAnsi="Arial"/>
                <w:sz w:val="17"/>
                <w:szCs w:val="17"/>
                <w:color w:val="auto"/>
              </w:rPr>
              <w:t>26%</w:t>
            </w:r>
          </w:p>
        </w:tc>
        <w:tc>
          <w:tcPr>
            <w:tcW w:w="900" w:type="dxa"/>
            <w:vAlign w:val="bottom"/>
            <w:gridSpan w:val="3"/>
            <w:shd w:val="clear" w:color="auto" w:fill="E5E5E5"/>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49"/>
        </w:trPr>
        <w:tc>
          <w:tcPr>
            <w:tcW w:w="7240" w:type="dxa"/>
            <w:vAlign w:val="bottom"/>
            <w:shd w:val="clear" w:color="auto" w:fill="E5E5E5"/>
          </w:tcPr>
          <w:p>
            <w:pPr>
              <w:spacing w:after="0"/>
              <w:rPr>
                <w:sz w:val="4"/>
                <w:szCs w:val="4"/>
                <w:color w:val="auto"/>
              </w:rPr>
            </w:pPr>
          </w:p>
        </w:tc>
        <w:tc>
          <w:tcPr>
            <w:tcW w:w="860" w:type="dxa"/>
            <w:vAlign w:val="bottom"/>
            <w:shd w:val="clear" w:color="auto" w:fill="E5E5E5"/>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860" w:type="dxa"/>
            <w:vAlign w:val="bottom"/>
            <w:shd w:val="clear" w:color="auto" w:fill="E5E5E5"/>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-1202690</wp:posOffset>
            </wp:positionV>
            <wp:extent cx="45974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9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A-2 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780"/>
          </w:cols>
          <w:pgMar w:left="760" w:top="94" w:right="135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88"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APPENDIX B</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Proposed Amended and Restated Charter</w:t>
      </w:r>
    </w:p>
    <w:p>
      <w:pPr>
        <w:spacing w:after="0" w:line="118"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AMENDED AND RESTATED</w:t>
      </w:r>
    </w:p>
    <w:p>
      <w:pPr>
        <w:spacing w:after="0" w:line="118"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CERTIFICATE OF INCORPORATION</w:t>
      </w:r>
    </w:p>
    <w:p>
      <w:pPr>
        <w:spacing w:after="0" w:line="118"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OF</w:t>
      </w:r>
    </w:p>
    <w:p>
      <w:pPr>
        <w:spacing w:after="0" w:line="118"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CROWDSTRIKE HOLDINGS, INC.</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CrowdStrike Holdings, Inc., a corporation organized under the laws of Delaware, hereby certifies as follows:</w:t>
      </w:r>
    </w:p>
    <w:p>
      <w:pPr>
        <w:spacing w:after="0" w:line="223" w:lineRule="exact"/>
        <w:rPr>
          <w:sz w:val="20"/>
          <w:szCs w:val="20"/>
          <w:color w:val="auto"/>
        </w:rPr>
      </w:pPr>
    </w:p>
    <w:p>
      <w:pPr>
        <w:ind w:left="1140" w:right="419" w:firstLine="1"/>
        <w:spacing w:after="0" w:line="298" w:lineRule="auto"/>
        <w:tabs>
          <w:tab w:leader="none" w:pos="1421"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name of the corporation is CrowdStrike Holdings, Inc. The original Certificate of Incorporation of the corporation was filed with the Secretary of State of the State of Delaware on November 7, 2011.</w:t>
      </w:r>
    </w:p>
    <w:p>
      <w:pPr>
        <w:spacing w:after="0" w:line="141" w:lineRule="exact"/>
        <w:rPr>
          <w:rFonts w:ascii="Arial" w:cs="Arial" w:eastAsia="Arial" w:hAnsi="Arial"/>
          <w:sz w:val="17"/>
          <w:szCs w:val="17"/>
          <w:color w:val="auto"/>
        </w:rPr>
      </w:pPr>
    </w:p>
    <w:p>
      <w:pPr>
        <w:ind w:left="1140" w:right="259" w:firstLine="1"/>
        <w:spacing w:after="0" w:line="265" w:lineRule="auto"/>
        <w:tabs>
          <w:tab w:leader="none" w:pos="142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0081C4"/>
        </w:rPr>
        <w:t>Amended Restated Certificate of Incorporation (as amended and/or restated from time to time, this</w:t>
      </w:r>
      <w:r>
        <w:rPr>
          <w:rFonts w:ascii="Arial" w:cs="Arial" w:eastAsia="Arial" w:hAnsi="Arial"/>
          <w:sz w:val="17"/>
          <w:szCs w:val="17"/>
          <w:color w:val="auto"/>
        </w:rPr>
        <w:t xml:space="preserve"> </w:t>
      </w:r>
      <w:r>
        <w:rPr>
          <w:rFonts w:ascii="Arial" w:cs="Arial" w:eastAsia="Arial" w:hAnsi="Arial"/>
          <w:sz w:val="17"/>
          <w:szCs w:val="17"/>
          <w:u w:val="single" w:color="auto"/>
          <w:color w:val="0081C4"/>
        </w:rPr>
        <w:t>“</w:t>
      </w:r>
      <w:r>
        <w:rPr>
          <w:rFonts w:ascii="Arial" w:cs="Arial" w:eastAsia="Arial" w:hAnsi="Arial"/>
          <w:sz w:val="17"/>
          <w:szCs w:val="17"/>
          <w:b w:val="1"/>
          <w:bCs w:val="1"/>
          <w:i w:val="1"/>
          <w:iCs w:val="1"/>
          <w:u w:val="single" w:color="auto"/>
          <w:color w:val="0081C4"/>
        </w:rPr>
        <w:t>Amended and Restated Certificate</w:t>
      </w:r>
      <w:r>
        <w:rPr>
          <w:rFonts w:ascii="Arial" w:cs="Arial" w:eastAsia="Arial" w:hAnsi="Arial"/>
          <w:sz w:val="17"/>
          <w:szCs w:val="17"/>
          <w:u w:val="single" w:color="auto"/>
          <w:color w:val="0081C4"/>
        </w:rPr>
        <w:t xml:space="preserve">”), which restates and integrates, and also further amends, the prior </w:t>
      </w:r>
      <w:r>
        <w:rPr>
          <w:rFonts w:ascii="Arial" w:cs="Arial" w:eastAsia="Arial" w:hAnsi="Arial"/>
          <w:sz w:val="17"/>
          <w:szCs w:val="17"/>
          <w:color w:val="000000"/>
        </w:rPr>
        <w:t xml:space="preserve">Amended and Restated Certificate of Incorporation </w:t>
      </w:r>
      <w:r>
        <w:rPr>
          <w:rFonts w:ascii="Arial" w:cs="Arial" w:eastAsia="Arial" w:hAnsi="Arial"/>
          <w:sz w:val="17"/>
          <w:szCs w:val="17"/>
          <w:u w:val="single" w:color="auto"/>
          <w:color w:val="0081C4"/>
        </w:rPr>
        <w:t>of the corporation (as heretofore amended, the “</w:t>
      </w:r>
      <w:r>
        <w:rPr>
          <w:rFonts w:ascii="Arial" w:cs="Arial" w:eastAsia="Arial" w:hAnsi="Arial"/>
          <w:sz w:val="17"/>
          <w:szCs w:val="17"/>
          <w:b w:val="1"/>
          <w:bCs w:val="1"/>
          <w:i w:val="1"/>
          <w:iCs w:val="1"/>
          <w:u w:val="single" w:color="auto"/>
          <w:color w:val="0081C4"/>
        </w:rPr>
        <w:t>Prior</w:t>
      </w:r>
      <w:r>
        <w:rPr>
          <w:rFonts w:ascii="Arial" w:cs="Arial" w:eastAsia="Arial" w:hAnsi="Arial"/>
          <w:sz w:val="17"/>
          <w:szCs w:val="17"/>
          <w:color w:val="000000"/>
        </w:rPr>
        <w:t xml:space="preserve"> </w:t>
      </w:r>
      <w:r>
        <w:rPr>
          <w:rFonts w:ascii="Arial" w:cs="Arial" w:eastAsia="Arial" w:hAnsi="Arial"/>
          <w:sz w:val="17"/>
          <w:szCs w:val="17"/>
          <w:b w:val="1"/>
          <w:bCs w:val="1"/>
          <w:i w:val="1"/>
          <w:iCs w:val="1"/>
          <w:u w:val="single" w:color="auto"/>
          <w:color w:val="0081C4"/>
        </w:rPr>
        <w:t>Certificate</w:t>
      </w:r>
      <w:r>
        <w:rPr>
          <w:rFonts w:ascii="Arial" w:cs="Arial" w:eastAsia="Arial" w:hAnsi="Arial"/>
          <w:sz w:val="17"/>
          <w:szCs w:val="17"/>
          <w:color w:val="000000"/>
        </w:rPr>
        <w:t>”), was duly adopted in accordance with Sections 242 and 245 of the General Corporation Law of</w:t>
      </w:r>
      <w:r>
        <w:rPr>
          <w:rFonts w:ascii="Arial" w:cs="Arial" w:eastAsia="Arial" w:hAnsi="Arial"/>
          <w:sz w:val="17"/>
          <w:szCs w:val="17"/>
          <w:b w:val="1"/>
          <w:bCs w:val="1"/>
          <w:i w:val="1"/>
          <w:iCs w:val="1"/>
          <w:color w:val="0081C4"/>
        </w:rPr>
        <w:t xml:space="preserve"> </w:t>
      </w:r>
      <w:r>
        <w:rPr>
          <w:rFonts w:ascii="Arial" w:cs="Arial" w:eastAsia="Arial" w:hAnsi="Arial"/>
          <w:sz w:val="17"/>
          <w:szCs w:val="17"/>
          <w:color w:val="000000"/>
        </w:rPr>
        <w:t>the State of Delaware</w:t>
      </w:r>
      <w:r>
        <w:rPr>
          <w:rFonts w:ascii="Arial" w:cs="Arial" w:eastAsia="Arial" w:hAnsi="Arial"/>
          <w:sz w:val="17"/>
          <w:szCs w:val="17"/>
          <w:color w:val="FC0014"/>
          <w:strike w:val="1"/>
        </w:rPr>
        <w:t>, and has been duly approved by the written consent of the corporation’s stockholders in</w:t>
      </w:r>
      <w:r>
        <w:rPr>
          <w:rFonts w:ascii="Arial" w:cs="Arial" w:eastAsia="Arial" w:hAnsi="Arial"/>
          <w:sz w:val="17"/>
          <w:szCs w:val="17"/>
          <w:color w:val="000000"/>
        </w:rPr>
        <w:t xml:space="preserve"> </w:t>
      </w:r>
      <w:r>
        <w:rPr>
          <w:rFonts w:ascii="Arial" w:cs="Arial" w:eastAsia="Arial" w:hAnsi="Arial"/>
          <w:sz w:val="17"/>
          <w:szCs w:val="17"/>
          <w:color w:val="FC0014"/>
          <w:strike w:val="1"/>
        </w:rPr>
        <w:t>accordance with Section 228 of the General Corporation Law of the State of Delaware</w:t>
      </w:r>
      <w:r>
        <w:rPr>
          <w:rFonts w:ascii="Arial" w:cs="Arial" w:eastAsia="Arial" w:hAnsi="Arial"/>
          <w:sz w:val="17"/>
          <w:szCs w:val="17"/>
          <w:color w:val="000000"/>
        </w:rPr>
        <w:t>.</w:t>
      </w:r>
    </w:p>
    <w:p>
      <w:pPr>
        <w:spacing w:after="0" w:line="168" w:lineRule="exact"/>
        <w:rPr>
          <w:rFonts w:ascii="Arial" w:cs="Arial" w:eastAsia="Arial" w:hAnsi="Arial"/>
          <w:sz w:val="17"/>
          <w:szCs w:val="17"/>
          <w:color w:val="auto"/>
        </w:rPr>
      </w:pPr>
    </w:p>
    <w:p>
      <w:pPr>
        <w:ind w:left="1420" w:hanging="279"/>
        <w:spacing w:after="0"/>
        <w:tabs>
          <w:tab w:leader="none" w:pos="14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text of the </w:t>
      </w:r>
      <w:r>
        <w:rPr>
          <w:rFonts w:ascii="Arial" w:cs="Arial" w:eastAsia="Arial" w:hAnsi="Arial"/>
          <w:sz w:val="17"/>
          <w:szCs w:val="17"/>
          <w:u w:val="single" w:color="auto"/>
          <w:color w:val="0081C4"/>
        </w:rPr>
        <w:t>Prior</w:t>
      </w:r>
      <w:r>
        <w:rPr>
          <w:rFonts w:ascii="Arial" w:cs="Arial" w:eastAsia="Arial" w:hAnsi="Arial"/>
          <w:sz w:val="17"/>
          <w:szCs w:val="17"/>
          <w:color w:val="auto"/>
        </w:rPr>
        <w:t xml:space="preserve"> Certificate </w:t>
      </w:r>
      <w:r>
        <w:rPr>
          <w:rFonts w:ascii="Arial" w:cs="Arial" w:eastAsia="Arial" w:hAnsi="Arial"/>
          <w:sz w:val="17"/>
          <w:szCs w:val="17"/>
          <w:color w:val="FC0014"/>
          <w:strike w:val="1"/>
        </w:rPr>
        <w:t>of Incorporation</w:t>
      </w:r>
      <w:r>
        <w:rPr>
          <w:rFonts w:ascii="Arial" w:cs="Arial" w:eastAsia="Arial" w:hAnsi="Arial"/>
          <w:sz w:val="17"/>
          <w:szCs w:val="17"/>
          <w:color w:val="auto"/>
        </w:rPr>
        <w:t xml:space="preserve"> is hereby amended and restated in its entirety as follows:</w:t>
      </w:r>
    </w:p>
    <w:p>
      <w:pPr>
        <w:spacing w:after="0" w:line="247"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NAME</w:t>
      </w:r>
    </w:p>
    <w:p>
      <w:pPr>
        <w:spacing w:after="0" w:line="2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name of the corporation is CrowdStrike Holdings,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60"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REGISTERED OFFICE AND AGENT</w:t>
      </w:r>
    </w:p>
    <w:p>
      <w:pPr>
        <w:spacing w:after="0" w:line="223" w:lineRule="exact"/>
        <w:rPr>
          <w:sz w:val="20"/>
          <w:szCs w:val="20"/>
          <w:color w:val="auto"/>
        </w:rPr>
      </w:pPr>
    </w:p>
    <w:p>
      <w:pPr>
        <w:jc w:val="both"/>
        <w:ind w:left="800" w:right="159"/>
        <w:spacing w:after="0" w:line="277" w:lineRule="auto"/>
        <w:rPr>
          <w:sz w:val="20"/>
          <w:szCs w:val="20"/>
          <w:color w:val="auto"/>
        </w:rPr>
      </w:pPr>
      <w:r>
        <w:rPr>
          <w:rFonts w:ascii="Arial" w:cs="Arial" w:eastAsia="Arial" w:hAnsi="Arial"/>
          <w:sz w:val="17"/>
          <w:szCs w:val="17"/>
          <w:color w:val="auto"/>
        </w:rPr>
        <w:t>The address of the registered office of the Corporation in the State of Delaware is 251 Little Falls Drive, Wilmington, in the county of New Castle, Delaware 19808. The name of the registered agent of the Corporation at such address is Corporation Service Company.</w:t>
      </w:r>
    </w:p>
    <w:p>
      <w:pPr>
        <w:spacing w:after="0" w:line="197"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PURPOSE AND POWERS</w:t>
      </w:r>
    </w:p>
    <w:p>
      <w:pPr>
        <w:spacing w:after="0" w:line="223" w:lineRule="exact"/>
        <w:rPr>
          <w:sz w:val="20"/>
          <w:szCs w:val="20"/>
          <w:color w:val="auto"/>
        </w:rPr>
      </w:pPr>
    </w:p>
    <w:p>
      <w:pPr>
        <w:ind w:left="800" w:right="379"/>
        <w:spacing w:after="0" w:line="308"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7"/>
          <w:szCs w:val="17"/>
          <w:b w:val="1"/>
          <w:bCs w:val="1"/>
          <w:i w:val="1"/>
          <w:iCs w:val="1"/>
          <w:color w:val="auto"/>
        </w:rPr>
        <w:t>Delaware General Corporation Law</w:t>
      </w:r>
      <w:r>
        <w:rPr>
          <w:rFonts w:ascii="Arial" w:cs="Arial" w:eastAsia="Arial" w:hAnsi="Arial"/>
          <w:sz w:val="17"/>
          <w:szCs w:val="17"/>
          <w:color w:val="auto"/>
        </w:rPr>
        <w:t>”).</w:t>
      </w:r>
    </w:p>
    <w:p>
      <w:pPr>
        <w:spacing w:after="0" w:line="150"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IV</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CAPITAL STOCK</w:t>
      </w:r>
    </w:p>
    <w:p>
      <w:pPr>
        <w:spacing w:after="0" w:line="223" w:lineRule="exact"/>
        <w:rPr>
          <w:sz w:val="20"/>
          <w:szCs w:val="20"/>
          <w:color w:val="auto"/>
        </w:rPr>
      </w:pPr>
    </w:p>
    <w:p>
      <w:pPr>
        <w:ind w:left="800" w:right="239" w:hanging="7"/>
        <w:spacing w:after="0" w:line="267" w:lineRule="auto"/>
        <w:tabs>
          <w:tab w:leader="none" w:pos="108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The total number of shares of stock that the Corporation shall have authority to issue is 2,400,000,000, consisting of (a) 2,300,000,000 shares of Common Stock, par value $0.0005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2,000,000,000 shares of which are designated Class A Common Stock, par value $0.0005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and 300,000,000 shares of which are designated Class B Common Stock, par value $0.0005 per share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 and (b) 100,000,000 shares of Preferred Stock, par value $0.0005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800" w:right="199" w:hanging="7"/>
        <w:spacing w:after="0" w:line="262" w:lineRule="auto"/>
        <w:tabs>
          <w:tab w:leader="none" w:pos="108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hereby empowered, without any action or vote by the Corporation’s stockholders (except 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Delaware General Corporation Law.</w:t>
      </w:r>
    </w:p>
    <w:p>
      <w:pPr>
        <w:sectPr>
          <w:pgSz w:w="11900" w:h="16838" w:orient="portrait"/>
          <w:cols w:equalWidth="0" w:num="1">
            <w:col w:w="9699"/>
          </w:cols>
          <w:pgMar w:left="760" w:top="94" w:right="1440" w:bottom="1440" w:gutter="0" w:footer="0" w:header="0"/>
        </w:sectPr>
      </w:pPr>
    </w:p>
    <w:p>
      <w:pPr>
        <w:spacing w:after="0" w:line="391"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080" w:hanging="287"/>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23" w:lineRule="exact"/>
        <w:rPr>
          <w:sz w:val="20"/>
          <w:szCs w:val="20"/>
          <w:color w:val="auto"/>
        </w:rPr>
      </w:pPr>
    </w:p>
    <w:p>
      <w:pPr>
        <w:ind w:left="800" w:right="539"/>
        <w:spacing w:after="0" w:line="298" w:lineRule="auto"/>
        <w:rPr>
          <w:sz w:val="20"/>
          <w:szCs w:val="20"/>
          <w:color w:val="auto"/>
        </w:rPr>
      </w:pPr>
      <w:r>
        <w:rPr>
          <w:rFonts w:ascii="Arial" w:cs="Arial" w:eastAsia="Arial" w:hAnsi="Arial"/>
          <w:sz w:val="17"/>
          <w:szCs w:val="17"/>
          <w:color w:val="auto"/>
        </w:rPr>
        <w:t>The rights, powers, preferences, privileges, restrictions and other matters relating to the Common Stock are as follows:</w:t>
      </w:r>
    </w:p>
    <w:p>
      <w:pPr>
        <w:spacing w:after="0" w:line="142" w:lineRule="exact"/>
        <w:rPr>
          <w:sz w:val="20"/>
          <w:szCs w:val="20"/>
          <w:color w:val="auto"/>
        </w:rPr>
      </w:pPr>
    </w:p>
    <w:p>
      <w:pPr>
        <w:ind w:left="1140" w:right="179"/>
        <w:spacing w:after="0" w:line="25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Identical Rights</w:t>
      </w:r>
      <w:r>
        <w:rPr>
          <w:rFonts w:ascii="Arial" w:cs="Arial" w:eastAsia="Arial" w:hAnsi="Arial"/>
          <w:sz w:val="17"/>
          <w:szCs w:val="17"/>
          <w:color w:val="auto"/>
        </w:rPr>
        <w:t>. Except as otherwise expressly provided in this Amended and Restated Certificate or required by applicable law, shares of Class A Common Stock and Class B Common Stock shall have the same rights and powers (including as to dividends and distributions, and any liquidation, dissolution or winding up of the Corporation but excluding voting and other matters as described in Article IV, Section 3.2 below), share ratably and be identical in all respects as to all matters, including:</w:t>
      </w:r>
    </w:p>
    <w:p>
      <w:pPr>
        <w:spacing w:after="0" w:line="164" w:lineRule="exact"/>
        <w:rPr>
          <w:sz w:val="20"/>
          <w:szCs w:val="20"/>
          <w:color w:val="auto"/>
        </w:rPr>
      </w:pPr>
    </w:p>
    <w:p>
      <w:pPr>
        <w:ind w:left="1500" w:right="219" w:hanging="10"/>
        <w:spacing w:after="0" w:line="255" w:lineRule="auto"/>
        <w:tabs>
          <w:tab w:leader="none" w:pos="185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Subject to the prior rights of holders of any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to the holders of the Class A Common Stock and Class B Common Stock, on an equal priority,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w:t>
      </w:r>
    </w:p>
    <w:p>
      <w:pPr>
        <w:spacing w:after="0" w:line="165" w:lineRule="exact"/>
        <w:rPr>
          <w:rFonts w:ascii="Arial" w:cs="Arial" w:eastAsia="Arial" w:hAnsi="Arial"/>
          <w:sz w:val="17"/>
          <w:szCs w:val="17"/>
          <w:color w:val="auto"/>
        </w:rPr>
      </w:pPr>
    </w:p>
    <w:p>
      <w:pPr>
        <w:ind w:left="1500" w:right="139" w:hanging="10"/>
        <w:spacing w:after="0" w:line="249" w:lineRule="auto"/>
        <w:tabs>
          <w:tab w:leader="none" w:pos="184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Class B Common Stock if, and only if, a dividend payable in shares of Class B Common Stock, or rights to acquire shares of Class B Common Stock,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Class A Common Stock if, and only if, a dividend payable in shares of Class A Common Stock, or rights to acquire shares of Class A Common Stock, are declared and paid to the holders of Class A Common Stock at the same rate and with the same record date and payment date; and for the avoidance of doubt, nothing in this paragraph (b) shall prevent the Corporation from declaring and paying dividends or other distributions payable in shares of one class of Common Stock or rights to acquire one class of Common Stock to holders of all classes of Common Stock.</w:t>
      </w:r>
    </w:p>
    <w:p>
      <w:pPr>
        <w:spacing w:after="0" w:line="172" w:lineRule="exact"/>
        <w:rPr>
          <w:rFonts w:ascii="Arial" w:cs="Arial" w:eastAsia="Arial" w:hAnsi="Arial"/>
          <w:sz w:val="17"/>
          <w:szCs w:val="17"/>
          <w:color w:val="auto"/>
        </w:rPr>
      </w:pPr>
    </w:p>
    <w:p>
      <w:pPr>
        <w:ind w:left="1840" w:hanging="350"/>
        <w:spacing w:after="0"/>
        <w:tabs>
          <w:tab w:leader="none" w:pos="18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Corporation in any manner reclassifies, subdivides or combines the outstanding shares of</w:t>
      </w:r>
    </w:p>
    <w:p>
      <w:pPr>
        <w:spacing w:after="0" w:line="17" w:lineRule="exact"/>
        <w:rPr>
          <w:sz w:val="20"/>
          <w:szCs w:val="20"/>
          <w:color w:val="auto"/>
        </w:rPr>
      </w:pPr>
    </w:p>
    <w:p>
      <w:pPr>
        <w:ind w:left="1500" w:right="219"/>
        <w:spacing w:after="0" w:line="254" w:lineRule="auto"/>
        <w:rPr>
          <w:sz w:val="20"/>
          <w:szCs w:val="20"/>
          <w:color w:val="auto"/>
        </w:rPr>
      </w:pPr>
      <w:r>
        <w:rPr>
          <w:rFonts w:ascii="Arial" w:cs="Arial" w:eastAsia="Arial" w:hAnsi="Arial"/>
          <w:sz w:val="17"/>
          <w:szCs w:val="17"/>
          <w:color w:val="auto"/>
        </w:rPr>
        <w:t>Class A Common Stock or Class B Common Stock, then the outstanding shares of all Common Stock will be concurrently therewith be proportionately reclassified, subdivided or combined in a manner that maintains the same proportionate equity ownership and voting rights between the holders of the outstanding shares of Class A Common Stock and the holders of the outstanding shares of Class B Common stock on the record date for such reclassification, subdivision or combination.</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223" w:lineRule="exact"/>
        <w:rPr>
          <w:sz w:val="20"/>
          <w:szCs w:val="20"/>
          <w:color w:val="auto"/>
        </w:rPr>
      </w:pPr>
    </w:p>
    <w:p>
      <w:pPr>
        <w:ind w:left="1840" w:hanging="350"/>
        <w:spacing w:after="0"/>
        <w:tabs>
          <w:tab w:leader="none" w:pos="18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Common Stock.</w:t>
      </w:r>
    </w:p>
    <w:p>
      <w:pPr>
        <w:spacing w:after="0" w:line="222" w:lineRule="exact"/>
        <w:rPr>
          <w:rFonts w:ascii="Arial" w:cs="Arial" w:eastAsia="Arial" w:hAnsi="Arial"/>
          <w:sz w:val="17"/>
          <w:szCs w:val="17"/>
          <w:color w:val="auto"/>
        </w:rPr>
      </w:pPr>
    </w:p>
    <w:p>
      <w:pPr>
        <w:ind w:left="1840" w:right="159" w:hanging="2"/>
        <w:spacing w:after="0" w:line="269" w:lineRule="auto"/>
        <w:tabs>
          <w:tab w:leader="none" w:pos="2132" w:val="left"/>
        </w:tabs>
        <w:numPr>
          <w:ilvl w:val="1"/>
          <w:numId w:val="95"/>
        </w:numPr>
        <w:rPr>
          <w:rFonts w:ascii="Arial" w:cs="Arial" w:eastAsia="Arial" w:hAnsi="Arial"/>
          <w:sz w:val="17"/>
          <w:szCs w:val="17"/>
          <w:color w:val="auto"/>
        </w:rPr>
      </w:pPr>
      <w:r>
        <w:rPr>
          <w:rFonts w:ascii="Arial" w:cs="Arial" w:eastAsia="Arial" w:hAnsi="Arial"/>
          <w:sz w:val="17"/>
          <w:szCs w:val="17"/>
          <w:color w:val="auto"/>
        </w:rPr>
        <w:t>Class A Common Stock. Each holder of shares of Class A Common Stock will be entitled to one vote for each share thereof held at the record date for the determination of the stockholders entitled to vote on such matters.</w:t>
      </w:r>
    </w:p>
    <w:p>
      <w:pPr>
        <w:spacing w:after="0" w:line="152" w:lineRule="exact"/>
        <w:rPr>
          <w:rFonts w:ascii="Arial" w:cs="Arial" w:eastAsia="Arial" w:hAnsi="Arial"/>
          <w:sz w:val="17"/>
          <w:szCs w:val="17"/>
          <w:color w:val="auto"/>
        </w:rPr>
      </w:pPr>
    </w:p>
    <w:p>
      <w:pPr>
        <w:jc w:val="both"/>
        <w:ind w:left="1840" w:right="259" w:hanging="2"/>
        <w:spacing w:after="0" w:line="269" w:lineRule="auto"/>
        <w:tabs>
          <w:tab w:leader="none" w:pos="2169" w:val="left"/>
        </w:tabs>
        <w:numPr>
          <w:ilvl w:val="1"/>
          <w:numId w:val="95"/>
        </w:numPr>
        <w:rPr>
          <w:rFonts w:ascii="Arial" w:cs="Arial" w:eastAsia="Arial" w:hAnsi="Arial"/>
          <w:sz w:val="17"/>
          <w:szCs w:val="17"/>
          <w:color w:val="auto"/>
        </w:rPr>
      </w:pPr>
      <w:r>
        <w:rPr>
          <w:rFonts w:ascii="Arial" w:cs="Arial" w:eastAsia="Arial" w:hAnsi="Arial"/>
          <w:sz w:val="17"/>
          <w:szCs w:val="17"/>
          <w:color w:val="auto"/>
        </w:rPr>
        <w:t>Class B Common Stock. Each holder of shares of Class B Common Stock will be entitled to ten votes for each share thereof held at the record date for the determination of the stockholders entitled to vote on such matters.</w:t>
      </w:r>
    </w:p>
    <w:p>
      <w:pPr>
        <w:spacing w:after="0" w:line="152" w:lineRule="exact"/>
        <w:rPr>
          <w:rFonts w:ascii="Arial" w:cs="Arial" w:eastAsia="Arial" w:hAnsi="Arial"/>
          <w:sz w:val="17"/>
          <w:szCs w:val="17"/>
          <w:color w:val="auto"/>
        </w:rPr>
      </w:pPr>
    </w:p>
    <w:p>
      <w:pPr>
        <w:ind w:left="1500" w:right="139" w:hanging="10"/>
        <w:spacing w:after="0" w:line="250" w:lineRule="auto"/>
        <w:tabs>
          <w:tab w:leader="none" w:pos="1850" w:val="left"/>
        </w:tabs>
        <w:numPr>
          <w:ilvl w:val="0"/>
          <w:numId w:val="95"/>
        </w:numPr>
        <w:rPr>
          <w:rFonts w:ascii="Arial" w:cs="Arial" w:eastAsia="Arial" w:hAnsi="Arial"/>
          <w:sz w:val="17"/>
          <w:szCs w:val="17"/>
          <w:color w:val="auto"/>
        </w:rPr>
      </w:pPr>
      <w:r>
        <w:rPr>
          <w:rFonts w:ascii="Arial" w:cs="Arial" w:eastAsia="Arial" w:hAnsi="Arial"/>
          <w:sz w:val="17"/>
          <w:szCs w:val="17"/>
          <w:color w:val="auto"/>
        </w:rPr>
        <w:t>General. Except as otherwise provided in this Amended and Restated Certificate or as required by law, the holders of Class A Common Stock and the holders of Class B Common Stock will vote together as a single class and not as separate series or classes; provided, however, that, except as otherwise required by the Delaware General Corporation Law or other applicable law, holders of shares of Common Stock, as such, shall not be entitled to vote on any amendment to this Amended and Restated Certificate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Delaware General Corporation Law.</w:t>
      </w:r>
    </w:p>
    <w:p>
      <w:pPr>
        <w:spacing w:after="0" w:line="172" w:lineRule="exact"/>
        <w:rPr>
          <w:rFonts w:ascii="Arial" w:cs="Arial" w:eastAsia="Arial" w:hAnsi="Arial"/>
          <w:sz w:val="17"/>
          <w:szCs w:val="17"/>
          <w:color w:val="auto"/>
        </w:rPr>
      </w:pPr>
    </w:p>
    <w:p>
      <w:pPr>
        <w:ind w:left="1500" w:right="119" w:hanging="10"/>
        <w:spacing w:after="0" w:line="269" w:lineRule="auto"/>
        <w:tabs>
          <w:tab w:leader="none" w:pos="184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The number of authorized shares of Common Stock or any class or series thereof may be increased or decreased (but not below (i) the number of shares of Common Stock or, in the case of a class or series of Common Stock, such class</w:t>
      </w:r>
    </w:p>
    <w:p>
      <w:pPr>
        <w:spacing w:after="0" w:line="37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875"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00" w:right="139"/>
        <w:spacing w:after="0" w:line="253" w:lineRule="auto"/>
        <w:rPr>
          <w:sz w:val="20"/>
          <w:szCs w:val="20"/>
          <w:color w:val="auto"/>
        </w:rPr>
      </w:pPr>
      <w:r>
        <w:rPr>
          <w:rFonts w:ascii="Arial" w:cs="Arial" w:eastAsia="Arial" w:hAnsi="Arial"/>
          <w:sz w:val="17"/>
          <w:szCs w:val="17"/>
          <w:color w:val="auto"/>
        </w:rPr>
        <w:t>or series, then outstanding plus (ii) with respect to Class A Common Stock, the number of shares reserved for issuance pursuant to Article IV, Section 3.4(e)) by the affirmative vote of the holders of a majority of the voting power of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Liquidation Rights</w:t>
      </w:r>
      <w:r>
        <w:rPr>
          <w:rFonts w:ascii="Arial" w:cs="Arial" w:eastAsia="Arial" w:hAnsi="Arial"/>
          <w:sz w:val="17"/>
          <w:szCs w:val="17"/>
          <w:color w:val="auto"/>
        </w:rPr>
        <w:t>.</w:t>
      </w:r>
    </w:p>
    <w:p>
      <w:pPr>
        <w:spacing w:after="0" w:line="223" w:lineRule="exact"/>
        <w:rPr>
          <w:sz w:val="20"/>
          <w:szCs w:val="20"/>
          <w:color w:val="auto"/>
        </w:rPr>
      </w:pPr>
    </w:p>
    <w:p>
      <w:pPr>
        <w:ind w:left="1500" w:right="179" w:hanging="10"/>
        <w:spacing w:after="0" w:line="260" w:lineRule="auto"/>
        <w:tabs>
          <w:tab w:leader="none" w:pos="185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event of a Liquidation Event, subject to the rights of any Preferred Stock that may then be outstanding, and subject to Article IV, Section 3.3(c), the assets of the Corporation legally available for distribution to stockholders shall be distributed on an equal priority, pro rata basis to the holders of Class A Common Stock and Class B Common Stock.</w:t>
      </w:r>
    </w:p>
    <w:p>
      <w:pPr>
        <w:spacing w:after="0" w:line="159" w:lineRule="exact"/>
        <w:rPr>
          <w:rFonts w:ascii="Arial" w:cs="Arial" w:eastAsia="Arial" w:hAnsi="Arial"/>
          <w:sz w:val="17"/>
          <w:szCs w:val="17"/>
          <w:color w:val="auto"/>
        </w:rPr>
      </w:pPr>
    </w:p>
    <w:p>
      <w:pPr>
        <w:ind w:left="1500" w:right="139" w:hanging="10"/>
        <w:spacing w:after="0" w:line="250" w:lineRule="auto"/>
        <w:tabs>
          <w:tab w:leader="none" w:pos="185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Subject to Article IV, Section 3.3(c), any merger or consolidation of the Corporation with or into any other entity, that is not a Liquidation Event, shall require approval of the affirmative vote of the holders of a majority of the outstanding shares of Class A Common Stock entitled to vote thereon and by the affirmative vote of the holders of a majority of the outstanding shares of Class B Common Stock entitled to vote thereon, each voting separately as a class, unless (i) the shares of Class A Common Stock and Class B Common Stock outstanding immediately prior to such merger or consolidation are treated equally, identically and ratably, on a per share basis, including whether such shares remain outstanding with respect to any consideration into which such shares are converted or any consideration paid or otherwise distributed to stockholders of the Corporation in respect thereof; and (ii) such shares are converted on a pro rata basis into shares of the surviving entity or its Parent in such transaction having substantially identical rights, powers and privileges to the shares of Class A Common Stock and Class B Common Stock in effect immediately prior to such merger or consolidation, respectively.</w:t>
      </w:r>
    </w:p>
    <w:p>
      <w:pPr>
        <w:spacing w:after="0" w:line="170" w:lineRule="exact"/>
        <w:rPr>
          <w:rFonts w:ascii="Arial" w:cs="Arial" w:eastAsia="Arial" w:hAnsi="Arial"/>
          <w:sz w:val="17"/>
          <w:szCs w:val="17"/>
          <w:color w:val="auto"/>
        </w:rPr>
      </w:pPr>
    </w:p>
    <w:p>
      <w:pPr>
        <w:ind w:left="1500" w:right="119" w:hanging="10"/>
        <w:spacing w:after="0" w:line="251" w:lineRule="auto"/>
        <w:tabs>
          <w:tab w:leader="none" w:pos="18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Article IV, Section 3.3, (i) consideration to be paid or received by a holder of Common Stock in connection with any Liquidation Event or any merger or consolidation of the Corporation with or into any entity pursuant to any employment, consulting, severance or similar services arrangement shall not be deemed to be a “distribution to stockholders” for the purpose of this Article IV, Section 3.3; and (ii) holders of shares of Class A Common Stock and holders of shares of Class B Common Stock may receive, or have the right to elect to receive, different or disproportionate consideration in connection with such Liquidation Event or such merger or consolidation of the Corporation, if the only difference in the per share consideration to the holders of Class A Common Stock and Class B Common Stock is that any securities distributed to the holder of a share of Class B Common Stock have a greater number of votes per share (but in no event greater than ten (10) times) the voting power of any securities distributed to the holder of a share of Class A Common Stock.</w:t>
      </w:r>
    </w:p>
    <w:p>
      <w:pPr>
        <w:spacing w:after="0" w:line="169" w:lineRule="exact"/>
        <w:rPr>
          <w:sz w:val="20"/>
          <w:szCs w:val="20"/>
          <w:color w:val="auto"/>
        </w:rPr>
      </w:pPr>
    </w:p>
    <w:p>
      <w:pPr>
        <w:ind w:left="1140" w:right="279"/>
        <w:spacing w:after="0" w:line="28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Conversion of the Class B Common Stock</w:t>
      </w:r>
      <w:r>
        <w:rPr>
          <w:rFonts w:ascii="Arial" w:cs="Arial" w:eastAsia="Arial" w:hAnsi="Arial"/>
          <w:sz w:val="17"/>
          <w:szCs w:val="17"/>
          <w:color w:val="auto"/>
        </w:rPr>
        <w:t>. The Class B Common Stock will be convertible into Class A Common Stock as follows:</w:t>
      </w:r>
    </w:p>
    <w:p>
      <w:pPr>
        <w:spacing w:after="0" w:line="155" w:lineRule="exact"/>
        <w:rPr>
          <w:sz w:val="20"/>
          <w:szCs w:val="20"/>
          <w:color w:val="auto"/>
        </w:rPr>
      </w:pPr>
    </w:p>
    <w:p>
      <w:pPr>
        <w:ind w:left="1500" w:right="1279" w:hanging="10"/>
        <w:spacing w:after="0" w:line="282" w:lineRule="auto"/>
        <w:tabs>
          <w:tab w:leader="none" w:pos="18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share of Class B Common Stock will automatically convert into one fully paid and nonassessable share of Class A Common Stock on the Final Conversion Date.</w:t>
      </w:r>
    </w:p>
    <w:p>
      <w:pPr>
        <w:spacing w:after="0" w:line="141" w:lineRule="exact"/>
        <w:rPr>
          <w:rFonts w:ascii="Arial" w:cs="Arial" w:eastAsia="Arial" w:hAnsi="Arial"/>
          <w:sz w:val="17"/>
          <w:szCs w:val="17"/>
          <w:color w:val="auto"/>
        </w:rPr>
      </w:pPr>
    </w:p>
    <w:p>
      <w:pPr>
        <w:ind w:left="1500" w:right="219" w:hanging="10"/>
        <w:spacing w:after="0" w:line="269" w:lineRule="auto"/>
        <w:tabs>
          <w:tab w:leader="none" w:pos="18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 respect to any holder of Class B Common Stock, each share of Class B Common Stock held by such holder will automatically be converted into one fully paid and nonassessable share of Class A Common Stock, as follows:</w:t>
      </w:r>
    </w:p>
    <w:p>
      <w:pPr>
        <w:spacing w:after="0" w:line="152" w:lineRule="exact"/>
        <w:rPr>
          <w:rFonts w:ascii="Arial" w:cs="Arial" w:eastAsia="Arial" w:hAnsi="Arial"/>
          <w:sz w:val="17"/>
          <w:szCs w:val="17"/>
          <w:color w:val="auto"/>
        </w:rPr>
      </w:pPr>
    </w:p>
    <w:p>
      <w:pPr>
        <w:ind w:left="1840" w:right="159" w:hanging="2"/>
        <w:spacing w:after="0" w:line="260" w:lineRule="auto"/>
        <w:tabs>
          <w:tab w:leader="none" w:pos="2132" w:val="left"/>
        </w:tabs>
        <w:numPr>
          <w:ilvl w:val="1"/>
          <w:numId w:val="97"/>
        </w:numPr>
        <w:rPr>
          <w:rFonts w:ascii="Arial" w:cs="Arial" w:eastAsia="Arial" w:hAnsi="Arial"/>
          <w:sz w:val="17"/>
          <w:szCs w:val="17"/>
          <w:color w:val="auto"/>
        </w:rPr>
      </w:pPr>
      <w:r>
        <w:rPr>
          <w:rFonts w:ascii="Arial" w:cs="Arial" w:eastAsia="Arial" w:hAnsi="Arial"/>
          <w:sz w:val="17"/>
          <w:szCs w:val="17"/>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2" w:lineRule="exact"/>
        <w:rPr>
          <w:rFonts w:ascii="Arial" w:cs="Arial" w:eastAsia="Arial" w:hAnsi="Arial"/>
          <w:sz w:val="17"/>
          <w:szCs w:val="17"/>
          <w:color w:val="auto"/>
        </w:rPr>
      </w:pPr>
    </w:p>
    <w:p>
      <w:pPr>
        <w:ind w:left="1840" w:right="239" w:hanging="2"/>
        <w:spacing w:after="0" w:line="298" w:lineRule="auto"/>
        <w:tabs>
          <w:tab w:leader="none" w:pos="2169" w:val="left"/>
        </w:tabs>
        <w:numPr>
          <w:ilvl w:val="1"/>
          <w:numId w:val="97"/>
        </w:numPr>
        <w:rPr>
          <w:rFonts w:ascii="Arial" w:cs="Arial" w:eastAsia="Arial" w:hAnsi="Arial"/>
          <w:sz w:val="17"/>
          <w:szCs w:val="17"/>
          <w:color w:val="auto"/>
        </w:rPr>
      </w:pPr>
      <w:r>
        <w:rPr>
          <w:rFonts w:ascii="Arial" w:cs="Arial" w:eastAsia="Arial" w:hAnsi="Arial"/>
          <w:sz w:val="17"/>
          <w:szCs w:val="17"/>
          <w:color w:val="auto"/>
        </w:rPr>
        <w:t>on the occurrence of a Transfer of such share of Class B Common Stock, other than a Permitted Transfer; or</w:t>
      </w:r>
    </w:p>
    <w:p>
      <w:pPr>
        <w:spacing w:after="0" w:line="141" w:lineRule="exact"/>
        <w:rPr>
          <w:rFonts w:ascii="Arial" w:cs="Arial" w:eastAsia="Arial" w:hAnsi="Arial"/>
          <w:sz w:val="17"/>
          <w:szCs w:val="17"/>
          <w:color w:val="auto"/>
        </w:rPr>
      </w:pPr>
    </w:p>
    <w:p>
      <w:pPr>
        <w:ind w:left="1840" w:right="279" w:hanging="2"/>
        <w:spacing w:after="0" w:line="261" w:lineRule="auto"/>
        <w:tabs>
          <w:tab w:leader="none" w:pos="2207" w:val="left"/>
        </w:tabs>
        <w:numPr>
          <w:ilvl w:val="1"/>
          <w:numId w:val="97"/>
        </w:numPr>
        <w:rPr>
          <w:rFonts w:ascii="Arial" w:cs="Arial" w:eastAsia="Arial" w:hAnsi="Arial"/>
          <w:sz w:val="17"/>
          <w:szCs w:val="17"/>
          <w:color w:val="auto"/>
        </w:rPr>
      </w:pPr>
      <w:r>
        <w:rPr>
          <w:rFonts w:ascii="Arial" w:cs="Arial" w:eastAsia="Arial" w:hAnsi="Arial"/>
          <w:sz w:val="17"/>
          <w:szCs w:val="17"/>
          <w:color w:val="auto"/>
        </w:rPr>
        <w:t>with respect to Class B Common Stock held by a holder who is a natural person (other than the Founder), or a Permitted Transferee or Permitted Entity of such natural person, upon the death of such natural person.</w:t>
      </w:r>
    </w:p>
    <w:p>
      <w:pPr>
        <w:spacing w:after="0" w:line="172" w:lineRule="exact"/>
        <w:rPr>
          <w:rFonts w:ascii="Arial" w:cs="Arial" w:eastAsia="Arial" w:hAnsi="Arial"/>
          <w:sz w:val="17"/>
          <w:szCs w:val="17"/>
          <w:color w:val="auto"/>
        </w:rPr>
      </w:pPr>
    </w:p>
    <w:p>
      <w:pPr>
        <w:ind w:left="1500" w:right="179" w:hanging="10"/>
        <w:spacing w:after="0" w:line="251" w:lineRule="auto"/>
        <w:tabs>
          <w:tab w:leader="none" w:pos="184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The Corporation may, from time to time, establish such policies and procedures relating to the conversion of the Class B Common Stock 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ectPr>
          <w:pgSz w:w="11900" w:h="16838" w:orient="portrait"/>
          <w:cols w:equalWidth="0" w:num="1">
            <w:col w:w="9699"/>
          </w:cols>
          <w:pgMar w:left="760" w:top="94" w:right="1440" w:bottom="704" w:gutter="0" w:footer="0" w:header="0"/>
        </w:sectPr>
      </w:pPr>
    </w:p>
    <w:p>
      <w:pPr>
        <w:spacing w:after="0" w:line="385"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704"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00" w:right="159" w:hanging="10"/>
        <w:spacing w:after="0" w:line="249" w:lineRule="auto"/>
        <w:tabs>
          <w:tab w:leader="none" w:pos="185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Immediate Effect</w:t>
      </w:r>
      <w:r>
        <w:rPr>
          <w:rFonts w:ascii="Arial" w:cs="Arial" w:eastAsia="Arial" w:hAnsi="Arial"/>
          <w:sz w:val="17"/>
          <w:szCs w:val="17"/>
          <w:color w:val="auto"/>
        </w:rPr>
        <w:t>. In the event of and upon a conversion of shares of Class B Common Stock to shares of Class A Common Stock pursuant to Article IV, Section 3.4(b)(ii) or Section 3.4(b)(iii), such conversion shall be deemed effective at the time that the Transfer or death, as applicable, occurred, and in the event of an upon a conversion of shares of Class B Common Stock to shares of Class A Common Stock pursuant to Article IV, Section 3.4(a), such conversion shall be deemed effective immediately upon the Final Conversion Date, subject in all cases to any transition periods specifically provided for in this Amended and Restated Certificate. Upon any conversion of Class B Common Stock to Class A Common Stock in accordance with this Amended and Restated Certificate, all rights of the holder of Class B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73" w:lineRule="exact"/>
        <w:rPr>
          <w:rFonts w:ascii="Arial" w:cs="Arial" w:eastAsia="Arial" w:hAnsi="Arial"/>
          <w:sz w:val="17"/>
          <w:szCs w:val="17"/>
          <w:color w:val="auto"/>
        </w:rPr>
      </w:pPr>
    </w:p>
    <w:p>
      <w:pPr>
        <w:ind w:left="1500" w:right="159" w:hanging="10"/>
        <w:spacing w:after="0" w:line="251" w:lineRule="auto"/>
        <w:tabs>
          <w:tab w:leader="none" w:pos="185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The Corporation will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172" w:lineRule="exact"/>
        <w:rPr>
          <w:rFonts w:ascii="Arial" w:cs="Arial" w:eastAsia="Arial" w:hAnsi="Arial"/>
          <w:sz w:val="17"/>
          <w:szCs w:val="17"/>
          <w:color w:val="auto"/>
        </w:rPr>
      </w:pPr>
    </w:p>
    <w:p>
      <w:pPr>
        <w:jc w:val="both"/>
        <w:ind w:left="1500" w:right="259" w:hanging="10"/>
        <w:spacing w:after="0" w:line="260" w:lineRule="auto"/>
        <w:tabs>
          <w:tab w:leader="none" w:pos="1802"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No Reissuance of Class B Common Stock</w:t>
      </w:r>
      <w:r>
        <w:rPr>
          <w:rFonts w:ascii="Arial" w:cs="Arial" w:eastAsia="Arial" w:hAnsi="Arial"/>
          <w:sz w:val="17"/>
          <w:szCs w:val="17"/>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72" w:lineRule="exact"/>
        <w:rPr>
          <w:sz w:val="20"/>
          <w:szCs w:val="20"/>
          <w:color w:val="auto"/>
        </w:rPr>
      </w:pPr>
    </w:p>
    <w:p>
      <w:pPr>
        <w:ind w:left="1140" w:right="199"/>
        <w:spacing w:after="0" w:line="26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Class B Protective Provisions</w:t>
      </w:r>
      <w:r>
        <w:rPr>
          <w:rFonts w:ascii="Arial" w:cs="Arial" w:eastAsia="Arial" w:hAnsi="Arial"/>
          <w:sz w:val="17"/>
          <w:szCs w:val="17"/>
          <w:color w:val="auto"/>
        </w:rPr>
        <w:t>. Prior to the Final Conversion Date, the Corporation shall not, without the prior affirmative vote of the holders of two-thirds the outstanding shares of Class B Common Stock, voting as a separate class, in addition to any other vote required by applicable law or this Amended and Restated Certificate:</w:t>
      </w:r>
    </w:p>
    <w:p>
      <w:pPr>
        <w:spacing w:after="0" w:line="159" w:lineRule="exact"/>
        <w:rPr>
          <w:sz w:val="20"/>
          <w:szCs w:val="20"/>
          <w:color w:val="auto"/>
        </w:rPr>
      </w:pPr>
    </w:p>
    <w:p>
      <w:pPr>
        <w:ind w:left="1500" w:right="239" w:hanging="10"/>
        <w:spacing w:after="0" w:line="260" w:lineRule="auto"/>
        <w:tabs>
          <w:tab w:leader="none" w:pos="185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159" w:lineRule="exact"/>
        <w:rPr>
          <w:rFonts w:ascii="Arial" w:cs="Arial" w:eastAsia="Arial" w:hAnsi="Arial"/>
          <w:sz w:val="17"/>
          <w:szCs w:val="17"/>
          <w:color w:val="auto"/>
        </w:rPr>
      </w:pPr>
    </w:p>
    <w:p>
      <w:pPr>
        <w:ind w:left="1500" w:right="139" w:hanging="10"/>
        <w:spacing w:after="0" w:line="258" w:lineRule="auto"/>
        <w:tabs>
          <w:tab w:leader="none" w:pos="1850" w:val="left"/>
        </w:tabs>
        <w:numPr>
          <w:ilvl w:val="1"/>
          <w:numId w:val="99"/>
        </w:numPr>
        <w:rPr>
          <w:rFonts w:ascii="Arial" w:cs="Arial" w:eastAsia="Arial" w:hAnsi="Arial"/>
          <w:sz w:val="17"/>
          <w:szCs w:val="17"/>
          <w:color w:val="auto"/>
        </w:rPr>
      </w:pPr>
      <w:r>
        <w:rPr>
          <w:rFonts w:ascii="Arial" w:cs="Arial" w:eastAsia="Arial" w:hAnsi="Arial"/>
          <w:sz w:val="17"/>
          <w:szCs w:val="17"/>
          <w:color w:val="auto"/>
        </w:rPr>
        <w:t>reclassify any outstanding shares of Class A Common Stock into shares having (i) rights as to dividends or liquidation that are senior to the Class B Common Stock or (ii) the right to have more than one</w:t>
      </w:r>
    </w:p>
    <w:p>
      <w:pPr>
        <w:ind w:left="1500"/>
        <w:spacing w:after="0"/>
        <w:rPr>
          <w:rFonts w:ascii="Arial" w:cs="Arial" w:eastAsia="Arial" w:hAnsi="Arial"/>
          <w:sz w:val="17"/>
          <w:szCs w:val="17"/>
          <w:color w:val="auto"/>
        </w:rPr>
      </w:pPr>
      <w:r>
        <w:rPr>
          <w:rFonts w:ascii="Arial" w:cs="Arial" w:eastAsia="Arial" w:hAnsi="Arial"/>
          <w:sz w:val="17"/>
          <w:szCs w:val="17"/>
          <w:color w:val="auto"/>
        </w:rPr>
        <w:t>(1) vote for each share thereof, except as required by law;</w:t>
      </w:r>
    </w:p>
    <w:p>
      <w:pPr>
        <w:spacing w:after="0" w:line="193" w:lineRule="exact"/>
        <w:rPr>
          <w:rFonts w:ascii="Arial" w:cs="Arial" w:eastAsia="Arial" w:hAnsi="Arial"/>
          <w:sz w:val="17"/>
          <w:szCs w:val="17"/>
          <w:color w:val="auto"/>
        </w:rPr>
      </w:pPr>
    </w:p>
    <w:p>
      <w:pPr>
        <w:ind w:left="1500" w:right="179" w:hanging="10"/>
        <w:spacing w:after="0" w:line="269" w:lineRule="auto"/>
        <w:tabs>
          <w:tab w:leader="none" w:pos="18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issue any shares of Class B Common Stock (other than shares of Class B Common Stock originally issued by the Corporation after the IPO Date pursuant to the exercise or conversion of options or warrants or settlement of RSUs that, in each case, are outstanding as of the IPO Date); or</w:t>
      </w:r>
    </w:p>
    <w:p>
      <w:pPr>
        <w:spacing w:after="0" w:line="152" w:lineRule="exact"/>
        <w:rPr>
          <w:rFonts w:ascii="Arial" w:cs="Arial" w:eastAsia="Arial" w:hAnsi="Arial"/>
          <w:sz w:val="17"/>
          <w:szCs w:val="17"/>
          <w:color w:val="auto"/>
        </w:rPr>
      </w:pPr>
    </w:p>
    <w:p>
      <w:pPr>
        <w:ind w:left="1500" w:right="439" w:hanging="10"/>
        <w:spacing w:after="0" w:line="298" w:lineRule="auto"/>
        <w:tabs>
          <w:tab w:leader="none" w:pos="185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authorize, or issue any shares of, any class or series of capital stock of the Corporation having the right to more than (1) vote for each share thereof.</w:t>
      </w:r>
    </w:p>
    <w:p>
      <w:pPr>
        <w:spacing w:after="0" w:line="128" w:lineRule="exact"/>
        <w:rPr>
          <w:rFonts w:ascii="Arial" w:cs="Arial" w:eastAsia="Arial" w:hAnsi="Arial"/>
          <w:sz w:val="17"/>
          <w:szCs w:val="17"/>
          <w:color w:val="auto"/>
        </w:rPr>
      </w:pPr>
    </w:p>
    <w:p>
      <w:pPr>
        <w:ind w:left="1080" w:hanging="287"/>
        <w:spacing w:after="0"/>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Article IV, the following definitions apply:</w:t>
      </w:r>
    </w:p>
    <w:p>
      <w:pPr>
        <w:spacing w:after="0" w:line="221" w:lineRule="exact"/>
        <w:rPr>
          <w:sz w:val="20"/>
          <w:szCs w:val="20"/>
          <w:color w:val="auto"/>
        </w:rPr>
      </w:pPr>
    </w:p>
    <w:p>
      <w:pPr>
        <w:ind w:left="1140" w:right="259"/>
        <w:spacing w:after="0" w:line="285" w:lineRule="auto"/>
        <w:rPr>
          <w:sz w:val="20"/>
          <w:szCs w:val="20"/>
          <w:color w:val="auto"/>
        </w:rPr>
      </w:pPr>
      <w:r>
        <w:rPr>
          <w:rFonts w:ascii="Arial" w:cs="Arial" w:eastAsia="Arial" w:hAnsi="Arial"/>
          <w:sz w:val="17"/>
          <w:szCs w:val="17"/>
          <w:color w:val="auto"/>
        </w:rPr>
        <w:t>4.1 “</w:t>
      </w:r>
      <w:r>
        <w:rPr>
          <w:rFonts w:ascii="Arial" w:cs="Arial" w:eastAsia="Arial" w:hAnsi="Arial"/>
          <w:sz w:val="17"/>
          <w:szCs w:val="17"/>
          <w:b w:val="1"/>
          <w:bCs w:val="1"/>
          <w:i w:val="1"/>
          <w:iCs w:val="1"/>
          <w:color w:val="auto"/>
        </w:rPr>
        <w:t>Amended and Restated Certificat</w:t>
      </w:r>
      <w:r>
        <w:rPr>
          <w:rFonts w:ascii="Arial" w:cs="Arial" w:eastAsia="Arial" w:hAnsi="Arial"/>
          <w:sz w:val="17"/>
          <w:szCs w:val="17"/>
          <w:b w:val="1"/>
          <w:bCs w:val="1"/>
          <w:color w:val="auto"/>
        </w:rPr>
        <w:t>e</w:t>
      </w:r>
      <w:r>
        <w:rPr>
          <w:rFonts w:ascii="Arial" w:cs="Arial" w:eastAsia="Arial" w:hAnsi="Arial"/>
          <w:sz w:val="17"/>
          <w:szCs w:val="17"/>
          <w:color w:val="auto"/>
        </w:rPr>
        <w:t>” means this Amended and Restated Certificate of Incorporation of the Corporation, as may be amended.</w:t>
      </w:r>
    </w:p>
    <w:p>
      <w:pPr>
        <w:spacing w:after="0" w:line="152" w:lineRule="exact"/>
        <w:rPr>
          <w:sz w:val="20"/>
          <w:szCs w:val="20"/>
          <w:color w:val="auto"/>
        </w:rPr>
      </w:pPr>
    </w:p>
    <w:p>
      <w:pPr>
        <w:ind w:left="1140" w:right="139"/>
        <w:spacing w:after="0" w:line="249" w:lineRule="auto"/>
        <w:rPr>
          <w:sz w:val="20"/>
          <w:szCs w:val="20"/>
          <w:color w:val="auto"/>
        </w:rPr>
      </w:pPr>
      <w:r>
        <w:rPr>
          <w:rFonts w:ascii="Arial" w:cs="Arial" w:eastAsia="Arial" w:hAnsi="Arial"/>
          <w:sz w:val="17"/>
          <w:szCs w:val="17"/>
          <w:color w:val="auto"/>
        </w:rPr>
        <w:t>4.2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Disabled</w:t>
      </w:r>
      <w:r>
        <w:rPr>
          <w:rFonts w:ascii="Arial" w:cs="Arial" w:eastAsia="Arial" w:hAnsi="Arial"/>
          <w:sz w:val="17"/>
          <w:szCs w:val="17"/>
          <w:color w:val="auto"/>
        </w:rPr>
        <w:t>” means the permanent and total disability of the Founder such that the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the Founder. If the Founder is incapable of selecting a licensed physician, then the Founder’s spouse shall make the selection on behalf of the Founder, or in the absence or incapacity of the Founder’s spouse, the Founder’s adult children by majority vote shall make the selection on behalf of the Founder, or in the absence of adult children of the Founder or their inability to act by majority vote, a natural person then acting as the successor trustee of a revocable living trust which was created by the Founder and which holds more shares of all classes of capital stock of the Corporation than any other revocable living trust created by the Founder shall make the selection on behalf of the Founder, or in absence of any such successor trustee, the legal guardian or conservator of the estate of the Founder shall make the selection on behalf of the Founder.</w:t>
      </w:r>
    </w:p>
    <w:p>
      <w:pPr>
        <w:spacing w:after="0" w:line="39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B-4 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140" w:right="299"/>
        <w:spacing w:after="0" w:line="298" w:lineRule="auto"/>
        <w:rPr>
          <w:sz w:val="20"/>
          <w:szCs w:val="20"/>
          <w:color w:val="auto"/>
        </w:rPr>
      </w:pPr>
      <w:r>
        <w:rPr>
          <w:rFonts w:ascii="Arial" w:cs="Arial" w:eastAsia="Arial" w:hAnsi="Arial"/>
          <w:sz w:val="17"/>
          <w:szCs w:val="17"/>
          <w:color w:val="auto"/>
        </w:rPr>
        <w:t>4.3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that this Amended and Restated Certificate is accepted for filing by the Secretary of State of the State of Delaware.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4.4  “</w:t>
      </w:r>
      <w:r>
        <w:rPr>
          <w:rFonts w:ascii="Arial" w:cs="Arial" w:eastAsia="Arial" w:hAnsi="Arial"/>
          <w:sz w:val="17"/>
          <w:szCs w:val="17"/>
          <w:b w:val="1"/>
          <w:bCs w:val="1"/>
          <w:i w:val="1"/>
          <w:iCs w:val="1"/>
          <w:color w:val="auto"/>
        </w:rPr>
        <w:t>Final Conversion Date</w:t>
      </w:r>
      <w:r>
        <w:rPr>
          <w:rFonts w:ascii="Arial" w:cs="Arial" w:eastAsia="Arial" w:hAnsi="Arial"/>
          <w:sz w:val="17"/>
          <w:szCs w:val="17"/>
          <w:color w:val="auto"/>
        </w:rPr>
        <w:t>” means the earliest to occur of:</w:t>
      </w:r>
    </w:p>
    <w:p>
      <w:pPr>
        <w:spacing w:after="0" w:line="223" w:lineRule="exact"/>
        <w:rPr>
          <w:sz w:val="20"/>
          <w:szCs w:val="20"/>
          <w:color w:val="auto"/>
        </w:rPr>
      </w:pPr>
    </w:p>
    <w:p>
      <w:pPr>
        <w:ind w:left="1500" w:right="499" w:hanging="10"/>
        <w:spacing w:after="0" w:line="298" w:lineRule="auto"/>
        <w:tabs>
          <w:tab w:leader="none" w:pos="185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date specified by the holders of two-thirds of the then outstanding shares of Class B Common Stock, voting as a separate class;</w:t>
      </w:r>
    </w:p>
    <w:p>
      <w:pPr>
        <w:spacing w:after="0" w:line="141" w:lineRule="exact"/>
        <w:rPr>
          <w:rFonts w:ascii="Arial" w:cs="Arial" w:eastAsia="Arial" w:hAnsi="Arial"/>
          <w:sz w:val="17"/>
          <w:szCs w:val="17"/>
          <w:color w:val="auto"/>
        </w:rPr>
      </w:pPr>
    </w:p>
    <w:p>
      <w:pPr>
        <w:ind w:left="1500" w:right="119" w:hanging="10"/>
        <w:spacing w:after="0" w:line="261" w:lineRule="auto"/>
        <w:tabs>
          <w:tab w:leader="none" w:pos="185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first date on which the number of outstanding shares of Class B Common Stock represents less than 5% of the aggregate number of outstanding shares of Class A Common Stock and Class B Common Stock, taken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shares of Class A Common Stock issued after the IPO Date in connection with any acquisition by the Corporation or any of its subsidiaries of the securities, business, technology, property or other assets of another person or entity or in connection with the entry by the Corporation or any of its subsidiaries into any joint venture, commercial relationship or other strategic transaction (any such shares of Class A Common Stock, “</w:t>
      </w:r>
      <w:r>
        <w:rPr>
          <w:rFonts w:ascii="Arial" w:cs="Arial" w:eastAsia="Arial" w:hAnsi="Arial"/>
          <w:sz w:val="17"/>
          <w:szCs w:val="17"/>
          <w:b w:val="1"/>
          <w:bCs w:val="1"/>
          <w:i w:val="1"/>
          <w:iCs w:val="1"/>
          <w:color w:val="auto"/>
        </w:rPr>
        <w:t>Acquisition Securities</w:t>
      </w:r>
      <w:r>
        <w:rPr>
          <w:rFonts w:ascii="Arial" w:cs="Arial" w:eastAsia="Arial" w:hAnsi="Arial"/>
          <w:sz w:val="17"/>
          <w:szCs w:val="17"/>
          <w:color w:val="auto"/>
        </w:rPr>
        <w:t xml:space="preserve">”) shall not be considered to be “outstanding” for the purposes of this Section 4.4(b);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determination by the Board of Directors as to whether shares of Class A Common Stock constitute Acquisition Securities shall be conclusive and binding; or</w:t>
      </w:r>
    </w:p>
    <w:p>
      <w:pPr>
        <w:spacing w:after="0" w:line="174" w:lineRule="exact"/>
        <w:rPr>
          <w:rFonts w:ascii="Arial" w:cs="Arial" w:eastAsia="Arial" w:hAnsi="Arial"/>
          <w:sz w:val="17"/>
          <w:szCs w:val="17"/>
          <w:color w:val="auto"/>
        </w:rPr>
      </w:pPr>
    </w:p>
    <w:p>
      <w:pPr>
        <w:ind w:left="1500" w:right="119" w:hanging="10"/>
        <w:spacing w:after="0" w:line="260" w:lineRule="auto"/>
        <w:tabs>
          <w:tab w:leader="none" w:pos="18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date that is nine months after the death or Disability of the Founder; provided, that such date may be extended (but not for a total period of longer than eighteen (18) months from the date of such death or Disability) to a date approved by a majority of the Independent Directors then in office. From the time of the death or Disability of the Founder until the Final Conversion Date, Voting Control over the Founder’s shares (including shares held of record by the Founder’s Permitted Entities and Permitted Transferees) shall be exercised in accordance with any proxy or voting agreement entered into in accordance with Article IV, Section 4.17(d) of this Amended and Restated Certificate or, if no such proxy or voting agreement is in place at the time of such death or Disability, a person (including a person serving as trustee) previously designated by the Founder and approved by the Board of Directors may exercise Voting Control over the Founder’s shares (including shares held of record by the Founder’s Permitted Entities and Permitted Transferees) of Class B Common Stock.</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4.5  “</w:t>
      </w:r>
      <w:r>
        <w:rPr>
          <w:rFonts w:ascii="Arial" w:cs="Arial" w:eastAsia="Arial" w:hAnsi="Arial"/>
          <w:sz w:val="17"/>
          <w:szCs w:val="17"/>
          <w:b w:val="1"/>
          <w:bCs w:val="1"/>
          <w:i w:val="1"/>
          <w:iCs w:val="1"/>
          <w:color w:val="auto"/>
        </w:rPr>
        <w:t>Founder</w:t>
      </w:r>
      <w:r>
        <w:rPr>
          <w:rFonts w:ascii="Arial" w:cs="Arial" w:eastAsia="Arial" w:hAnsi="Arial"/>
          <w:sz w:val="17"/>
          <w:szCs w:val="17"/>
          <w:color w:val="auto"/>
        </w:rPr>
        <w:t>” means George Kurtz.</w:t>
      </w:r>
    </w:p>
    <w:p>
      <w:pPr>
        <w:spacing w:after="0" w:line="223" w:lineRule="exact"/>
        <w:rPr>
          <w:sz w:val="20"/>
          <w:szCs w:val="20"/>
          <w:color w:val="auto"/>
        </w:rPr>
      </w:pPr>
    </w:p>
    <w:p>
      <w:pPr>
        <w:ind w:left="1140" w:right="419"/>
        <w:spacing w:after="0" w:line="277" w:lineRule="auto"/>
        <w:rPr>
          <w:sz w:val="20"/>
          <w:szCs w:val="20"/>
          <w:color w:val="auto"/>
        </w:rPr>
      </w:pPr>
      <w:r>
        <w:rPr>
          <w:rFonts w:ascii="Arial" w:cs="Arial" w:eastAsia="Arial" w:hAnsi="Arial"/>
          <w:sz w:val="17"/>
          <w:szCs w:val="17"/>
          <w:color w:val="auto"/>
        </w:rPr>
        <w:t>4.6 “</w:t>
      </w:r>
      <w:r>
        <w:rPr>
          <w:rFonts w:ascii="Arial" w:cs="Arial" w:eastAsia="Arial" w:hAnsi="Arial"/>
          <w:sz w:val="17"/>
          <w:szCs w:val="17"/>
          <w:b w:val="1"/>
          <w:bCs w:val="1"/>
          <w:i w:val="1"/>
          <w:iCs w:val="1"/>
          <w:color w:val="auto"/>
        </w:rPr>
        <w:t>Identified Fund Stockholder</w:t>
      </w:r>
      <w:r>
        <w:rPr>
          <w:rFonts w:ascii="Arial" w:cs="Arial" w:eastAsia="Arial" w:hAnsi="Arial"/>
          <w:sz w:val="17"/>
          <w:szCs w:val="17"/>
          <w:color w:val="auto"/>
        </w:rPr>
        <w:t>” means each of (i) Accel (as defined in Article IX, Section 6.1 of this Amended and Restated Certificate), (ii) CapitalG LP and CapitalG 2015 LP (together with their successors), and (iii) Warburg Pincus (as defined in Article IX, Section 6.5 of this Amended and Restated Certificate).</w:t>
      </w:r>
    </w:p>
    <w:p>
      <w:pPr>
        <w:spacing w:after="0" w:line="160" w:lineRule="exact"/>
        <w:rPr>
          <w:sz w:val="20"/>
          <w:szCs w:val="20"/>
          <w:color w:val="auto"/>
        </w:rPr>
      </w:pPr>
    </w:p>
    <w:p>
      <w:pPr>
        <w:ind w:left="1140" w:right="139"/>
        <w:spacing w:after="0" w:line="298" w:lineRule="auto"/>
        <w:rPr>
          <w:sz w:val="20"/>
          <w:szCs w:val="20"/>
          <w:color w:val="auto"/>
        </w:rPr>
      </w:pPr>
      <w:r>
        <w:rPr>
          <w:rFonts w:ascii="Arial" w:cs="Arial" w:eastAsia="Arial" w:hAnsi="Arial"/>
          <w:sz w:val="17"/>
          <w:szCs w:val="17"/>
          <w:color w:val="auto"/>
        </w:rPr>
        <w:t>4.7 “</w:t>
      </w:r>
      <w:r>
        <w:rPr>
          <w:rFonts w:ascii="Arial" w:cs="Arial" w:eastAsia="Arial" w:hAnsi="Arial"/>
          <w:sz w:val="17"/>
          <w:szCs w:val="17"/>
          <w:b w:val="1"/>
          <w:bCs w:val="1"/>
          <w:i w:val="1"/>
          <w:iCs w:val="1"/>
          <w:color w:val="auto"/>
        </w:rPr>
        <w:t>Identified Fund Stockholder Permitted Entity</w:t>
      </w:r>
      <w:r>
        <w:rPr>
          <w:rFonts w:ascii="Arial" w:cs="Arial" w:eastAsia="Arial" w:hAnsi="Arial"/>
          <w:sz w:val="17"/>
          <w:szCs w:val="17"/>
          <w:color w:val="auto"/>
        </w:rPr>
        <w:t>” of an Identified Fund Stockholder means an investment fund that is managed or advised by the manager or advisor of such Identified Fund Stockholder.</w:t>
      </w:r>
    </w:p>
    <w:p>
      <w:pPr>
        <w:spacing w:after="0" w:line="142" w:lineRule="exact"/>
        <w:rPr>
          <w:sz w:val="20"/>
          <w:szCs w:val="20"/>
          <w:color w:val="auto"/>
        </w:rPr>
      </w:pPr>
    </w:p>
    <w:p>
      <w:pPr>
        <w:ind w:left="1140" w:right="599"/>
        <w:spacing w:after="0" w:line="298" w:lineRule="auto"/>
        <w:rPr>
          <w:sz w:val="20"/>
          <w:szCs w:val="20"/>
          <w:color w:val="auto"/>
        </w:rPr>
      </w:pPr>
      <w:r>
        <w:rPr>
          <w:rFonts w:ascii="Arial" w:cs="Arial" w:eastAsia="Arial" w:hAnsi="Arial"/>
          <w:sz w:val="17"/>
          <w:szCs w:val="17"/>
          <w:color w:val="auto"/>
        </w:rPr>
        <w:t>4.8 “</w:t>
      </w:r>
      <w:r>
        <w:rPr>
          <w:rFonts w:ascii="Arial" w:cs="Arial" w:eastAsia="Arial" w:hAnsi="Arial"/>
          <w:sz w:val="17"/>
          <w:szCs w:val="17"/>
          <w:b w:val="1"/>
          <w:bCs w:val="1"/>
          <w:i w:val="1"/>
          <w:iCs w:val="1"/>
          <w:color w:val="auto"/>
        </w:rPr>
        <w:t>Independent Directors</w:t>
      </w:r>
      <w:r>
        <w:rPr>
          <w:rFonts w:ascii="Arial" w:cs="Arial" w:eastAsia="Arial" w:hAnsi="Arial"/>
          <w:sz w:val="17"/>
          <w:szCs w:val="17"/>
          <w:color w:val="auto"/>
        </w:rPr>
        <w:t>” means the members of the Board of Directors designated as independent directors in accordance with the Listing Standards.</w:t>
      </w:r>
    </w:p>
    <w:p>
      <w:pPr>
        <w:spacing w:after="0" w:line="142" w:lineRule="exact"/>
        <w:rPr>
          <w:sz w:val="20"/>
          <w:szCs w:val="20"/>
          <w:color w:val="auto"/>
        </w:rPr>
      </w:pPr>
    </w:p>
    <w:p>
      <w:pPr>
        <w:ind w:left="1140" w:right="299"/>
        <w:spacing w:after="0" w:line="282" w:lineRule="auto"/>
        <w:rPr>
          <w:sz w:val="20"/>
          <w:szCs w:val="20"/>
          <w:color w:val="auto"/>
        </w:rPr>
      </w:pPr>
      <w:r>
        <w:rPr>
          <w:rFonts w:ascii="Arial" w:cs="Arial" w:eastAsia="Arial" w:hAnsi="Arial"/>
          <w:sz w:val="17"/>
          <w:szCs w:val="17"/>
          <w:color w:val="auto"/>
        </w:rPr>
        <w:t>4.9 “</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first date that shares of a class of the Corporation’s capital stock have been listed for trading on the New York Stock Exchange, the Nasdaq Stock Market or any successor markets or exchanges (each, a “</w:t>
      </w:r>
      <w:r>
        <w:rPr>
          <w:rFonts w:ascii="Arial" w:cs="Arial" w:eastAsia="Arial" w:hAnsi="Arial"/>
          <w:sz w:val="17"/>
          <w:szCs w:val="17"/>
          <w:b w:val="1"/>
          <w:bCs w:val="1"/>
          <w:i w:val="1"/>
          <w:iCs w:val="1"/>
          <w:color w:val="auto"/>
        </w:rPr>
        <w:t>Securities Exchange</w:t>
      </w:r>
      <w:r>
        <w:rPr>
          <w:rFonts w:ascii="Arial" w:cs="Arial" w:eastAsia="Arial" w:hAnsi="Arial"/>
          <w:sz w:val="17"/>
          <w:szCs w:val="17"/>
          <w:color w:val="auto"/>
        </w:rPr>
        <w:t>”).</w:t>
      </w:r>
    </w:p>
    <w:p>
      <w:pPr>
        <w:spacing w:after="0" w:line="147" w:lineRule="exact"/>
        <w:rPr>
          <w:sz w:val="20"/>
          <w:szCs w:val="20"/>
          <w:color w:val="auto"/>
        </w:rPr>
      </w:pPr>
    </w:p>
    <w:p>
      <w:pPr>
        <w:ind w:left="1140" w:right="659"/>
        <w:spacing w:after="0" w:line="298" w:lineRule="auto"/>
        <w:rPr>
          <w:sz w:val="20"/>
          <w:szCs w:val="20"/>
          <w:color w:val="auto"/>
        </w:rPr>
      </w:pPr>
      <w:r>
        <w:rPr>
          <w:rFonts w:ascii="Arial" w:cs="Arial" w:eastAsia="Arial" w:hAnsi="Arial"/>
          <w:sz w:val="17"/>
          <w:szCs w:val="17"/>
          <w:color w:val="auto"/>
        </w:rPr>
        <w:t>4.10 “</w:t>
      </w:r>
      <w:r>
        <w:rPr>
          <w:rFonts w:ascii="Arial" w:cs="Arial" w:eastAsia="Arial" w:hAnsi="Arial"/>
          <w:sz w:val="17"/>
          <w:szCs w:val="17"/>
          <w:b w:val="1"/>
          <w:bCs w:val="1"/>
          <w:i w:val="1"/>
          <w:iCs w:val="1"/>
          <w:color w:val="auto"/>
        </w:rPr>
        <w:t>Liquidation Event</w:t>
      </w:r>
      <w:r>
        <w:rPr>
          <w:rFonts w:ascii="Arial" w:cs="Arial" w:eastAsia="Arial" w:hAnsi="Arial"/>
          <w:sz w:val="17"/>
          <w:szCs w:val="17"/>
          <w:color w:val="auto"/>
        </w:rPr>
        <w:t>” means any liquidation, dissolution, or winding up of the Corporation, whether voluntary or involuntary.</w:t>
      </w:r>
    </w:p>
    <w:p>
      <w:pPr>
        <w:spacing w:after="0" w:line="142" w:lineRule="exact"/>
        <w:rPr>
          <w:sz w:val="20"/>
          <w:szCs w:val="20"/>
          <w:color w:val="auto"/>
        </w:rPr>
      </w:pPr>
    </w:p>
    <w:p>
      <w:pPr>
        <w:ind w:left="1140" w:right="199"/>
        <w:spacing w:after="0" w:line="267" w:lineRule="auto"/>
        <w:rPr>
          <w:sz w:val="20"/>
          <w:szCs w:val="20"/>
          <w:color w:val="auto"/>
        </w:rPr>
      </w:pPr>
      <w:r>
        <w:rPr>
          <w:rFonts w:ascii="Arial" w:cs="Arial" w:eastAsia="Arial" w:hAnsi="Arial"/>
          <w:sz w:val="17"/>
          <w:szCs w:val="17"/>
          <w:color w:val="auto"/>
        </w:rPr>
        <w:t>4.11 “</w:t>
      </w:r>
      <w:r>
        <w:rPr>
          <w:rFonts w:ascii="Arial" w:cs="Arial" w:eastAsia="Arial" w:hAnsi="Arial"/>
          <w:sz w:val="17"/>
          <w:szCs w:val="17"/>
          <w:b w:val="1"/>
          <w:bCs w:val="1"/>
          <w:i w:val="1"/>
          <w:iCs w:val="1"/>
          <w:color w:val="auto"/>
        </w:rPr>
        <w:t>Listing Standards</w:t>
      </w:r>
      <w:r>
        <w:rPr>
          <w:rFonts w:ascii="Arial" w:cs="Arial" w:eastAsia="Arial" w:hAnsi="Arial"/>
          <w:sz w:val="17"/>
          <w:szCs w:val="17"/>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167" w:lineRule="exact"/>
        <w:rPr>
          <w:sz w:val="20"/>
          <w:szCs w:val="20"/>
          <w:color w:val="auto"/>
        </w:rPr>
      </w:pPr>
    </w:p>
    <w:p>
      <w:pPr>
        <w:ind w:left="1140" w:right="299"/>
        <w:spacing w:after="0" w:line="298" w:lineRule="auto"/>
        <w:rPr>
          <w:sz w:val="20"/>
          <w:szCs w:val="20"/>
          <w:color w:val="auto"/>
        </w:rPr>
      </w:pPr>
      <w:r>
        <w:rPr>
          <w:rFonts w:ascii="Arial" w:cs="Arial" w:eastAsia="Arial" w:hAnsi="Arial"/>
          <w:sz w:val="17"/>
          <w:szCs w:val="17"/>
          <w:color w:val="auto"/>
        </w:rPr>
        <w:t>4.12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of an entity means any entity that directly or indirectly owns or controls a majority of the voting power of the voting securities of such entity.</w:t>
      </w:r>
    </w:p>
    <w:p>
      <w:pPr>
        <w:spacing w:after="0" w:line="142" w:lineRule="exact"/>
        <w:rPr>
          <w:sz w:val="20"/>
          <w:szCs w:val="20"/>
          <w:color w:val="auto"/>
        </w:rPr>
      </w:pPr>
    </w:p>
    <w:p>
      <w:pPr>
        <w:ind w:left="1140" w:right="219"/>
        <w:spacing w:after="0" w:line="267" w:lineRule="auto"/>
        <w:rPr>
          <w:sz w:val="20"/>
          <w:szCs w:val="20"/>
          <w:color w:val="auto"/>
        </w:rPr>
      </w:pPr>
      <w:r>
        <w:rPr>
          <w:rFonts w:ascii="Arial" w:cs="Arial" w:eastAsia="Arial" w:hAnsi="Arial"/>
          <w:sz w:val="17"/>
          <w:szCs w:val="17"/>
          <w:color w:val="auto"/>
        </w:rPr>
        <w:t>4.13 “</w:t>
      </w:r>
      <w:r>
        <w:rPr>
          <w:rFonts w:ascii="Arial" w:cs="Arial" w:eastAsia="Arial" w:hAnsi="Arial"/>
          <w:sz w:val="17"/>
          <w:szCs w:val="17"/>
          <w:b w:val="1"/>
          <w:bCs w:val="1"/>
          <w:i w:val="1"/>
          <w:iCs w:val="1"/>
          <w:color w:val="auto"/>
        </w:rPr>
        <w:t>Permitted Entity</w:t>
      </w:r>
      <w:r>
        <w:rPr>
          <w:rFonts w:ascii="Arial" w:cs="Arial" w:eastAsia="Arial" w:hAnsi="Arial"/>
          <w:sz w:val="17"/>
          <w:szCs w:val="17"/>
          <w:color w:val="auto"/>
        </w:rPr>
        <w:t>” means, with respect to any Qualified Stockholder, any trust, account, plan, corporation, partnership, limited liability company or charitable organization, foundation or similar entity specified in Article IV, Section 4.14(b) with respect to such Qualified Stockholder, so long as such Permitted Entity meets the requirements of the exception set forth in Article IV, Section 4.14 applicable to such Permitted Entity.</w:t>
      </w:r>
    </w:p>
    <w:p>
      <w:pPr>
        <w:sectPr>
          <w:pgSz w:w="11900" w:h="16838" w:orient="portrait"/>
          <w:cols w:equalWidth="0" w:num="1">
            <w:col w:w="9699"/>
          </w:cols>
          <w:pgMar w:left="760" w:top="94" w:right="1440" w:bottom="1440" w:gutter="0" w:footer="0" w:header="0"/>
        </w:sectPr>
      </w:pPr>
    </w:p>
    <w:p>
      <w:pPr>
        <w:spacing w:after="0" w:line="384"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4.14  “</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means any of the following:</w:t>
      </w:r>
    </w:p>
    <w:p>
      <w:pPr>
        <w:spacing w:after="0" w:line="223" w:lineRule="exact"/>
        <w:rPr>
          <w:sz w:val="20"/>
          <w:szCs w:val="20"/>
          <w:color w:val="auto"/>
        </w:rPr>
      </w:pPr>
    </w:p>
    <w:p>
      <w:pPr>
        <w:ind w:left="1500" w:right="379" w:hanging="10"/>
        <w:spacing w:after="0" w:line="255" w:lineRule="auto"/>
        <w:tabs>
          <w:tab w:leader="none" w:pos="18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Transfer of a share of Class B Common Stock from the Founder, from the Founder’s Permitted Entities or from the Founder’s Permitted Transferees, to the Founder’s estate or heirs as a result of the Founder’s death; provided that any Voting Control following the Founder’s death is exercised in accordance with a proxy or voting agreement entered into in compliance with the provisions set forth in Article IV, Section 4.17(d) hereof; and</w:t>
      </w:r>
    </w:p>
    <w:p>
      <w:pPr>
        <w:spacing w:after="0" w:line="163" w:lineRule="exact"/>
        <w:rPr>
          <w:rFonts w:ascii="Arial" w:cs="Arial" w:eastAsia="Arial" w:hAnsi="Arial"/>
          <w:sz w:val="17"/>
          <w:szCs w:val="17"/>
          <w:color w:val="auto"/>
        </w:rPr>
      </w:pPr>
    </w:p>
    <w:p>
      <w:pPr>
        <w:jc w:val="both"/>
        <w:ind w:left="1500" w:right="179" w:hanging="10"/>
        <w:spacing w:after="0" w:line="269" w:lineRule="auto"/>
        <w:tabs>
          <w:tab w:leader="none" w:pos="18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52" w:lineRule="exact"/>
        <w:rPr>
          <w:rFonts w:ascii="Arial" w:cs="Arial" w:eastAsia="Arial" w:hAnsi="Arial"/>
          <w:sz w:val="17"/>
          <w:szCs w:val="17"/>
          <w:color w:val="auto"/>
        </w:rPr>
      </w:pPr>
    </w:p>
    <w:p>
      <w:pPr>
        <w:ind w:left="1840" w:right="219" w:hanging="2"/>
        <w:spacing w:after="0" w:line="251" w:lineRule="auto"/>
        <w:tabs>
          <w:tab w:leader="none" w:pos="213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such transfer does not involve any payment of cash, securities, property or other consideration (other than an interest in such trust) to the holder of shares of Class B Common Stock;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72" w:lineRule="exact"/>
        <w:rPr>
          <w:rFonts w:ascii="Arial" w:cs="Arial" w:eastAsia="Arial" w:hAnsi="Arial"/>
          <w:sz w:val="17"/>
          <w:szCs w:val="17"/>
          <w:color w:val="auto"/>
        </w:rPr>
      </w:pPr>
    </w:p>
    <w:p>
      <w:pPr>
        <w:ind w:left="1840" w:right="119" w:hanging="2"/>
        <w:spacing w:after="0" w:line="253" w:lineRule="auto"/>
        <w:tabs>
          <w:tab w:leader="none" w:pos="2169"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68" w:lineRule="exact"/>
        <w:rPr>
          <w:rFonts w:ascii="Arial" w:cs="Arial" w:eastAsia="Arial" w:hAnsi="Arial"/>
          <w:sz w:val="17"/>
          <w:szCs w:val="17"/>
          <w:color w:val="auto"/>
        </w:rPr>
      </w:pPr>
    </w:p>
    <w:p>
      <w:pPr>
        <w:ind w:left="1840" w:right="159" w:hanging="2"/>
        <w:spacing w:after="0" w:line="250" w:lineRule="auto"/>
        <w:tabs>
          <w:tab w:leader="none" w:pos="220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then held by such account, plan or trust shall automatically convert into one (1) fully paid and nonassessable share of Class A Common Stock;</w:t>
      </w:r>
    </w:p>
    <w:p>
      <w:pPr>
        <w:spacing w:after="0" w:line="172" w:lineRule="exact"/>
        <w:rPr>
          <w:rFonts w:ascii="Arial" w:cs="Arial" w:eastAsia="Arial" w:hAnsi="Arial"/>
          <w:sz w:val="17"/>
          <w:szCs w:val="17"/>
          <w:color w:val="auto"/>
        </w:rPr>
      </w:pPr>
    </w:p>
    <w:p>
      <w:pPr>
        <w:ind w:left="1840" w:right="119" w:hanging="2"/>
        <w:spacing w:after="0" w:line="251" w:lineRule="auto"/>
        <w:tabs>
          <w:tab w:leader="none" w:pos="221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72" w:lineRule="exact"/>
        <w:rPr>
          <w:rFonts w:ascii="Arial" w:cs="Arial" w:eastAsia="Arial" w:hAnsi="Arial"/>
          <w:sz w:val="17"/>
          <w:szCs w:val="17"/>
          <w:color w:val="auto"/>
        </w:rPr>
      </w:pPr>
    </w:p>
    <w:p>
      <w:pPr>
        <w:ind w:left="1840" w:right="119" w:hanging="2"/>
        <w:spacing w:after="0" w:line="250" w:lineRule="auto"/>
        <w:tabs>
          <w:tab w:leader="none" w:pos="21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w:t>
      </w:r>
    </w:p>
    <w:p>
      <w:pPr>
        <w:spacing w:after="0" w:line="185" w:lineRule="exact"/>
        <w:rPr>
          <w:rFonts w:ascii="Arial" w:cs="Arial" w:eastAsia="Arial" w:hAnsi="Arial"/>
          <w:sz w:val="17"/>
          <w:szCs w:val="17"/>
          <w:color w:val="auto"/>
        </w:rPr>
      </w:pPr>
    </w:p>
    <w:p>
      <w:pPr>
        <w:ind w:left="1840" w:right="279" w:hanging="2"/>
        <w:spacing w:after="0" w:line="250" w:lineRule="auto"/>
        <w:tabs>
          <w:tab w:leader="none" w:pos="221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w:t>
      </w:r>
    </w:p>
    <w:p>
      <w:pPr>
        <w:spacing w:after="0" w:line="39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B-6 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732"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840" w:right="199"/>
        <w:spacing w:after="0" w:line="270" w:lineRule="auto"/>
        <w:rPr>
          <w:sz w:val="20"/>
          <w:szCs w:val="20"/>
          <w:color w:val="auto"/>
        </w:rPr>
      </w:pPr>
      <w:r>
        <w:rPr>
          <w:rFonts w:ascii="Arial" w:cs="Arial" w:eastAsia="Arial" w:hAnsi="Arial"/>
          <w:sz w:val="17"/>
          <w:szCs w:val="17"/>
          <w:color w:val="auto"/>
        </w:rPr>
        <w:t>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66" w:lineRule="exact"/>
        <w:rPr>
          <w:sz w:val="20"/>
          <w:szCs w:val="20"/>
          <w:color w:val="auto"/>
        </w:rPr>
      </w:pPr>
    </w:p>
    <w:p>
      <w:pPr>
        <w:ind w:left="1840" w:right="119" w:hanging="2"/>
        <w:spacing w:after="0" w:line="261" w:lineRule="auto"/>
        <w:tabs>
          <w:tab w:leader="none" w:pos="22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charitable organization, foundation or similar entity established by a Qualified Stockholder directly, or indirectly through one or more Permitted Entities, so long as such Qualified Stockholder has sole dispositive power and exclusive Voting Control with respect to the shares of Class B Common Stock held by such entity; provided such Transfer does not involve any payment of cash, securities, property or other consideration (other than an interest in such entity) to such Qualified Stockholder; provided, further, that in the event a Qualified Stockholder no longer has sole dispositive power and exclusive Voting Control with respect to the shares of Class B Common Stock held by such entity, each share of Class B Common Stock then held by such entity shall automatically convert into one (1) fully paid and nonassessable share of Class A Common Stock; or</w:t>
      </w:r>
    </w:p>
    <w:p>
      <w:pPr>
        <w:spacing w:after="0" w:line="177" w:lineRule="exact"/>
        <w:rPr>
          <w:rFonts w:ascii="Arial" w:cs="Arial" w:eastAsia="Arial" w:hAnsi="Arial"/>
          <w:sz w:val="17"/>
          <w:szCs w:val="17"/>
          <w:color w:val="auto"/>
        </w:rPr>
      </w:pPr>
    </w:p>
    <w:p>
      <w:pPr>
        <w:ind w:left="1840" w:right="319" w:hanging="2"/>
        <w:spacing w:after="0" w:line="266" w:lineRule="auto"/>
        <w:tabs>
          <w:tab w:leader="none" w:pos="229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the case of a Qualified Stockholder that is an Identified Fund Stockholder, any Transfer of a share of Class B Common Stock by such Identified Fund Stockholder to any Identified</w:t>
      </w:r>
    </w:p>
    <w:p>
      <w:pPr>
        <w:ind w:left="1840" w:right="139"/>
        <w:spacing w:after="0" w:line="256" w:lineRule="auto"/>
        <w:rPr>
          <w:rFonts w:ascii="Arial" w:cs="Arial" w:eastAsia="Arial" w:hAnsi="Arial"/>
          <w:sz w:val="17"/>
          <w:szCs w:val="17"/>
          <w:color w:val="auto"/>
        </w:rPr>
      </w:pPr>
      <w:r>
        <w:rPr>
          <w:rFonts w:ascii="Arial" w:cs="Arial" w:eastAsia="Arial" w:hAnsi="Arial"/>
          <w:sz w:val="17"/>
          <w:szCs w:val="17"/>
          <w:color w:val="auto"/>
        </w:rPr>
        <w:t>Fund Stockholder Permitted Entity, and any transfer of a share of Class B Common Stock by an Identified Fund Stockholder Permitted Entity of an Identified Fund Stockholder to any other Identified Fund Stockholder Permitted Entity of such Identified Fund Stockholder; provided, that in the event that such transferee is no longer an Identified Fund Stockholder Permitted Entity of such Identified</w:t>
      </w:r>
    </w:p>
    <w:p>
      <w:pPr>
        <w:spacing w:after="0" w:line="2" w:lineRule="exact"/>
        <w:rPr>
          <w:rFonts w:ascii="Arial" w:cs="Arial" w:eastAsia="Arial" w:hAnsi="Arial"/>
          <w:sz w:val="17"/>
          <w:szCs w:val="17"/>
          <w:color w:val="auto"/>
        </w:rPr>
      </w:pPr>
    </w:p>
    <w:p>
      <w:pPr>
        <w:ind w:left="1840" w:right="1239"/>
        <w:spacing w:after="0" w:line="267" w:lineRule="auto"/>
        <w:rPr>
          <w:rFonts w:ascii="Arial" w:cs="Arial" w:eastAsia="Arial" w:hAnsi="Arial"/>
          <w:sz w:val="17"/>
          <w:szCs w:val="17"/>
          <w:color w:val="auto"/>
        </w:rPr>
      </w:pPr>
      <w:r>
        <w:rPr>
          <w:rFonts w:ascii="Arial" w:cs="Arial" w:eastAsia="Arial" w:hAnsi="Arial"/>
          <w:sz w:val="17"/>
          <w:szCs w:val="17"/>
          <w:color w:val="auto"/>
        </w:rPr>
        <w:t>Fund Stockholder, each share of Class B Common Stock then held by such Identified Fund Stockholder Permitted Entity shall automatically convert into one (1) fully paid and nonassessable share of Class A Common Stock.</w:t>
      </w:r>
    </w:p>
    <w:p>
      <w:pPr>
        <w:spacing w:after="0" w:line="168" w:lineRule="exact"/>
        <w:rPr>
          <w:sz w:val="20"/>
          <w:szCs w:val="20"/>
          <w:color w:val="auto"/>
        </w:rPr>
      </w:pPr>
    </w:p>
    <w:p>
      <w:pPr>
        <w:ind w:left="800" w:right="139"/>
        <w:spacing w:after="0" w:line="270" w:lineRule="auto"/>
        <w:rPr>
          <w:sz w:val="20"/>
          <w:szCs w:val="20"/>
          <w:color w:val="auto"/>
        </w:rPr>
      </w:pPr>
      <w:r>
        <w:rPr>
          <w:rFonts w:ascii="Arial" w:cs="Arial" w:eastAsia="Arial" w:hAnsi="Arial"/>
          <w:sz w:val="17"/>
          <w:szCs w:val="17"/>
          <w:color w:val="auto"/>
        </w:rPr>
        <w:t>For the avoidance of doubt, to the extent any shares are deemed to be held by a trustee of a trust described in Article IV, Section 4.14(b)(i) or (ii) above, the Transfer shall be a Permitted Transfer and the trustee shall be deemed a Permitted Entity so long as the other requirements of Article IV, Section 4.14(b)(i) or (ii) above are otherwise satisfied.</w:t>
      </w:r>
    </w:p>
    <w:p>
      <w:pPr>
        <w:spacing w:after="0" w:line="166" w:lineRule="exact"/>
        <w:rPr>
          <w:sz w:val="20"/>
          <w:szCs w:val="20"/>
          <w:color w:val="auto"/>
        </w:rPr>
      </w:pPr>
    </w:p>
    <w:p>
      <w:pPr>
        <w:ind w:left="1140" w:right="299"/>
        <w:spacing w:after="0" w:line="298" w:lineRule="auto"/>
        <w:rPr>
          <w:sz w:val="20"/>
          <w:szCs w:val="20"/>
          <w:color w:val="auto"/>
        </w:rPr>
      </w:pPr>
      <w:r>
        <w:rPr>
          <w:rFonts w:ascii="Arial" w:cs="Arial" w:eastAsia="Arial" w:hAnsi="Arial"/>
          <w:sz w:val="17"/>
          <w:szCs w:val="17"/>
          <w:color w:val="auto"/>
        </w:rPr>
        <w:t>4.15 “</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 transferee of shares of Class B Common Stock, or rights or interests therein, received in a Transfer that constitutes a Permitted Transfer.</w:t>
      </w:r>
    </w:p>
    <w:p>
      <w:pPr>
        <w:spacing w:after="0" w:line="142" w:lineRule="exact"/>
        <w:rPr>
          <w:sz w:val="20"/>
          <w:szCs w:val="20"/>
          <w:color w:val="auto"/>
        </w:rPr>
      </w:pPr>
    </w:p>
    <w:p>
      <w:pPr>
        <w:ind w:left="1140" w:right="159"/>
        <w:spacing w:after="0" w:line="261" w:lineRule="auto"/>
        <w:rPr>
          <w:sz w:val="20"/>
          <w:szCs w:val="20"/>
          <w:color w:val="auto"/>
        </w:rPr>
      </w:pPr>
      <w:r>
        <w:rPr>
          <w:rFonts w:ascii="Arial" w:cs="Arial" w:eastAsia="Arial" w:hAnsi="Arial"/>
          <w:sz w:val="17"/>
          <w:szCs w:val="17"/>
          <w:color w:val="auto"/>
        </w:rPr>
        <w:t>4.16 “</w:t>
      </w:r>
      <w:r>
        <w:rPr>
          <w:rFonts w:ascii="Arial" w:cs="Arial" w:eastAsia="Arial" w:hAnsi="Arial"/>
          <w:sz w:val="17"/>
          <w:szCs w:val="17"/>
          <w:b w:val="1"/>
          <w:bCs w:val="1"/>
          <w:i w:val="1"/>
          <w:iCs w:val="1"/>
          <w:color w:val="auto"/>
        </w:rPr>
        <w:t>Qualified Stockholder</w:t>
      </w:r>
      <w:r>
        <w:rPr>
          <w:rFonts w:ascii="Arial" w:cs="Arial" w:eastAsia="Arial" w:hAnsi="Arial"/>
          <w:sz w:val="17"/>
          <w:szCs w:val="17"/>
          <w:color w:val="auto"/>
        </w:rPr>
        <w:t>” means (a) any registered holder of a share of Class B Common Stock immediately after the IPO Date; (b) the initial registered holder of any shares of Class B Common Stock that are originally issued by the Corporation after the IPO Date pursuant to the exercise or conversion of options or warrants or settlement of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that, in each case, are outstanding as of the IPO Date;</w:t>
      </w:r>
    </w:p>
    <w:p>
      <w:pPr>
        <w:spacing w:after="0" w:line="2" w:lineRule="exact"/>
        <w:rPr>
          <w:sz w:val="20"/>
          <w:szCs w:val="20"/>
          <w:color w:val="auto"/>
        </w:rPr>
      </w:pPr>
    </w:p>
    <w:p>
      <w:pPr>
        <w:ind w:left="1140" w:right="419" w:firstLine="1"/>
        <w:spacing w:after="0" w:line="267" w:lineRule="auto"/>
        <w:tabs>
          <w:tab w:leader="none" w:pos="138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Permitted Transferee; and (d) the initial registered holder of any shares of Class B Common Stock that are originally issued by the Corporation after the IPO Date in compliance with this Amended and Restated Certificate.</w:t>
      </w:r>
    </w:p>
    <w:p>
      <w:pPr>
        <w:spacing w:after="0" w:line="168" w:lineRule="exact"/>
        <w:rPr>
          <w:sz w:val="20"/>
          <w:szCs w:val="20"/>
          <w:color w:val="auto"/>
        </w:rPr>
      </w:pPr>
    </w:p>
    <w:p>
      <w:pPr>
        <w:ind w:left="1140" w:right="139"/>
        <w:spacing w:after="0" w:line="261" w:lineRule="auto"/>
        <w:rPr>
          <w:sz w:val="20"/>
          <w:szCs w:val="20"/>
          <w:color w:val="auto"/>
        </w:rPr>
      </w:pPr>
      <w:r>
        <w:rPr>
          <w:rFonts w:ascii="Arial" w:cs="Arial" w:eastAsia="Arial" w:hAnsi="Arial"/>
          <w:sz w:val="17"/>
          <w:szCs w:val="17"/>
          <w:color w:val="auto"/>
        </w:rPr>
        <w:t>4.17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of a share of Class B Common Stock means any direct or indirect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after 11:59 p.m. Eastern Time on the IPO Date,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will also be deemed to have occurred with respect to all shares of Class B Common Stock beneficially held by an entity that is a Qualified Stockholder, if after 11:59 p.m. Eastern Time on the IPO Date there is a Transfer on a cumulative basis of a majority of the voting power of the voting securities of such entity or any direct or indirect Parent of such entity, such that the previous holders of such voting power no longer retain Voting Control with respect to the shares of Class B Common Stock held by such entity. Notwithstanding the foregoing, the following will not be considered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w:t>
      </w:r>
    </w:p>
    <w:p>
      <w:pPr>
        <w:spacing w:after="0" w:line="164" w:lineRule="exact"/>
        <w:rPr>
          <w:sz w:val="20"/>
          <w:szCs w:val="20"/>
          <w:color w:val="auto"/>
        </w:rPr>
      </w:pPr>
    </w:p>
    <w:p>
      <w:pPr>
        <w:ind w:left="1500" w:right="479" w:hanging="10"/>
        <w:spacing w:after="0" w:line="277" w:lineRule="auto"/>
        <w:tabs>
          <w:tab w:leader="none" w:pos="185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granting a revocable proxy to officers or directors of the Corporation at the request of the Board of Directors in connection with actions to be taken at an annual or special meeting of stockholders or in connection with any action by written consent of the stockholders solicited by the Board of Directors;</w:t>
      </w:r>
    </w:p>
    <w:p>
      <w:pPr>
        <w:spacing w:after="0" w:line="159" w:lineRule="exact"/>
        <w:rPr>
          <w:rFonts w:ascii="Arial" w:cs="Arial" w:eastAsia="Arial" w:hAnsi="Arial"/>
          <w:sz w:val="17"/>
          <w:szCs w:val="17"/>
          <w:color w:val="auto"/>
        </w:rPr>
      </w:pPr>
    </w:p>
    <w:p>
      <w:pPr>
        <w:jc w:val="both"/>
        <w:ind w:left="1500" w:right="379" w:hanging="10"/>
        <w:spacing w:after="0" w:line="266" w:lineRule="auto"/>
        <w:tabs>
          <w:tab w:leader="none" w:pos="185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entering into a voting trust, agreement or arrangement (with or without granting a proxy) solely with stockholders who are holders of Class B Common Stock, which voting trust, agreement or arrangement</w:t>
      </w:r>
    </w:p>
    <w:p>
      <w:pPr>
        <w:ind w:left="1500" w:right="159" w:hanging="10"/>
        <w:spacing w:after="0" w:line="262" w:lineRule="auto"/>
        <w:tabs>
          <w:tab w:leader="none" w:pos="169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ectPr>
          <w:pgSz w:w="11900" w:h="16838" w:orient="portrait"/>
          <w:cols w:equalWidth="0" w:num="1">
            <w:col w:w="9699"/>
          </w:cols>
          <w:pgMar w:left="760" w:top="94" w:right="1440" w:bottom="1044" w:gutter="0" w:footer="0" w:header="0"/>
        </w:sectPr>
      </w:pPr>
    </w:p>
    <w:p>
      <w:pPr>
        <w:spacing w:after="0" w:line="388"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114300</wp:posOffset>
            </wp:positionV>
            <wp:extent cx="661416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044"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1500" w:right="319" w:hanging="10"/>
        <w:spacing w:after="0" w:line="255" w:lineRule="auto"/>
        <w:tabs>
          <w:tab w:leader="none" w:pos="18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63" w:lineRule="exact"/>
        <w:rPr>
          <w:rFonts w:ascii="Arial" w:cs="Arial" w:eastAsia="Arial" w:hAnsi="Arial"/>
          <w:sz w:val="17"/>
          <w:szCs w:val="17"/>
          <w:color w:val="auto"/>
        </w:rPr>
      </w:pPr>
    </w:p>
    <w:p>
      <w:pPr>
        <w:ind w:left="1500" w:right="219" w:hanging="10"/>
        <w:spacing w:after="0" w:line="253" w:lineRule="auto"/>
        <w:tabs>
          <w:tab w:leader="none" w:pos="185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granting a proxy by the Founder, the Founder’s Permitted Entities or the Founder’s Permitted Transferees to a person designated by the Founder and approved by a majority of the Independent Directors then in office, to exercise Voting Control of shares of Class B Common Stock owned directly or indirectly, beneficially and of record, by the Founder, the Founder’s Permitted Entities the Founder’s Permitted Transferees, the Founder’s estate or the Founder’s heirs, or over which the Founder has Voting Control pursuant to proxy or voting agreements then in place, effective either (i) on the death of the Founder or (ii) during any Disability of the Founder, including the exercise of such proxy by such person;</w:t>
      </w:r>
    </w:p>
    <w:p>
      <w:pPr>
        <w:spacing w:after="0" w:line="178" w:lineRule="exact"/>
        <w:rPr>
          <w:rFonts w:ascii="Arial" w:cs="Arial" w:eastAsia="Arial" w:hAnsi="Arial"/>
          <w:sz w:val="17"/>
          <w:szCs w:val="17"/>
          <w:color w:val="auto"/>
        </w:rPr>
      </w:pPr>
    </w:p>
    <w:p>
      <w:pPr>
        <w:jc w:val="both"/>
        <w:ind w:left="1500" w:right="139" w:hanging="10"/>
        <w:spacing w:after="0" w:line="261" w:lineRule="auto"/>
        <w:tabs>
          <w:tab w:leader="none" w:pos="185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granting a proxy to, or entering into a voting arrangement with, the Founder to exercise Voting Control of shares of Class B Common Stock owned directly or indirectly, beneficially and of record by any holder of Class B Common Stock in a form approved by a majority of the Independent Directors then in office;</w:t>
      </w:r>
    </w:p>
    <w:p>
      <w:pPr>
        <w:spacing w:after="0" w:line="172" w:lineRule="exact"/>
        <w:rPr>
          <w:rFonts w:ascii="Arial" w:cs="Arial" w:eastAsia="Arial" w:hAnsi="Arial"/>
          <w:sz w:val="17"/>
          <w:szCs w:val="17"/>
          <w:color w:val="auto"/>
        </w:rPr>
      </w:pPr>
    </w:p>
    <w:p>
      <w:pPr>
        <w:ind w:left="1500" w:right="419" w:hanging="10"/>
        <w:spacing w:after="0" w:line="261" w:lineRule="auto"/>
        <w:tabs>
          <w:tab w:leader="none" w:pos="180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172" w:lineRule="exact"/>
        <w:rPr>
          <w:rFonts w:ascii="Arial" w:cs="Arial" w:eastAsia="Arial" w:hAnsi="Arial"/>
          <w:sz w:val="17"/>
          <w:szCs w:val="17"/>
          <w:color w:val="auto"/>
        </w:rPr>
      </w:pPr>
    </w:p>
    <w:p>
      <w:pPr>
        <w:ind w:left="1500" w:right="139" w:hanging="10"/>
        <w:spacing w:after="0" w:line="260" w:lineRule="auto"/>
        <w:tabs>
          <w:tab w:leader="none" w:pos="185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59" w:lineRule="exact"/>
        <w:rPr>
          <w:rFonts w:ascii="Arial" w:cs="Arial" w:eastAsia="Arial" w:hAnsi="Arial"/>
          <w:sz w:val="17"/>
          <w:szCs w:val="17"/>
          <w:color w:val="auto"/>
        </w:rPr>
      </w:pPr>
    </w:p>
    <w:p>
      <w:pPr>
        <w:ind w:left="1500" w:right="219" w:hanging="10"/>
        <w:spacing w:after="0" w:line="269" w:lineRule="auto"/>
        <w:tabs>
          <w:tab w:leader="none" w:pos="185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53" w:lineRule="exact"/>
        <w:rPr>
          <w:sz w:val="20"/>
          <w:szCs w:val="20"/>
          <w:color w:val="auto"/>
        </w:rPr>
      </w:pPr>
    </w:p>
    <w:p>
      <w:pPr>
        <w:ind w:left="1140" w:right="379"/>
        <w:spacing w:after="0" w:line="269" w:lineRule="auto"/>
        <w:rPr>
          <w:sz w:val="20"/>
          <w:szCs w:val="20"/>
          <w:color w:val="auto"/>
        </w:rPr>
      </w:pPr>
      <w:r>
        <w:rPr>
          <w:rFonts w:ascii="Arial" w:cs="Arial" w:eastAsia="Arial" w:hAnsi="Arial"/>
          <w:sz w:val="17"/>
          <w:szCs w:val="17"/>
          <w:color w:val="auto"/>
        </w:rPr>
        <w:t>4.18 “</w:t>
      </w:r>
      <w:r>
        <w:rPr>
          <w:rFonts w:ascii="Arial" w:cs="Arial" w:eastAsia="Arial" w:hAnsi="Arial"/>
          <w:sz w:val="17"/>
          <w:szCs w:val="17"/>
          <w:b w:val="1"/>
          <w:bCs w:val="1"/>
          <w:i w:val="1"/>
          <w:iCs w:val="1"/>
          <w:color w:val="auto"/>
        </w:rPr>
        <w:t>Voting Control</w:t>
      </w:r>
      <w:r>
        <w:rPr>
          <w:rFonts w:ascii="Arial" w:cs="Arial" w:eastAsia="Arial" w:hAnsi="Arial"/>
          <w:sz w:val="17"/>
          <w:szCs w:val="17"/>
          <w:color w:val="auto"/>
        </w:rPr>
        <w:t>” means, with respect to a share of capital stock or other security, the power (whether exclusive or shared) to vote or direct the voting of such security, including by proxy, voting agreement or otherwise.</w:t>
      </w:r>
    </w:p>
    <w:p>
      <w:pPr>
        <w:spacing w:after="0" w:line="190"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BYLAWS</w:t>
      </w:r>
    </w:p>
    <w:p>
      <w:pPr>
        <w:spacing w:after="0" w:line="223" w:lineRule="exact"/>
        <w:rPr>
          <w:sz w:val="20"/>
          <w:szCs w:val="20"/>
          <w:color w:val="auto"/>
        </w:rPr>
      </w:pPr>
    </w:p>
    <w:p>
      <w:pPr>
        <w:ind w:left="800" w:right="339"/>
        <w:spacing w:after="0" w:line="253" w:lineRule="auto"/>
        <w:rPr>
          <w:sz w:val="20"/>
          <w:szCs w:val="20"/>
          <w:color w:val="auto"/>
        </w:rPr>
      </w:pPr>
      <w:r>
        <w:rPr>
          <w:rFonts w:ascii="Arial" w:cs="Arial" w:eastAsia="Arial" w:hAnsi="Arial"/>
          <w:sz w:val="17"/>
          <w:szCs w:val="17"/>
          <w:color w:val="auto"/>
        </w:rPr>
        <w:t>The Board of Directors shall have the power to adopt, amend or repeal the bylaws of the Corporation. Prior to the Final Conversion Date, the stockholders may adopt, amend or repeal the bylaws of the Corporation only with the affirmative vote of the holders of not less than a majority of the total voting power of the capital stock of the Corporation then entitled to vote generally in the election of directors, voting together as a single class. After the Final Conversion Date, the stockholders may adopt, amend or repeal the bylaws of the Corporation only with the affirmative vote of the holders of not less than two-thirds of the total voting power of the capital stock of the Corporation then entitled to vote generally in the election of directors, voting together as a single class.</w:t>
      </w:r>
    </w:p>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BOARD OF DIRECTORS</w:t>
      </w:r>
    </w:p>
    <w:p>
      <w:pPr>
        <w:spacing w:after="0" w:line="223" w:lineRule="exact"/>
        <w:rPr>
          <w:sz w:val="20"/>
          <w:szCs w:val="20"/>
          <w:color w:val="auto"/>
        </w:rPr>
      </w:pPr>
    </w:p>
    <w:p>
      <w:pPr>
        <w:ind w:left="800" w:right="399" w:hanging="7"/>
        <w:spacing w:after="0" w:line="298" w:lineRule="auto"/>
        <w:tabs>
          <w:tab w:leader="none" w:pos="1084"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Board Power</w:t>
      </w:r>
      <w:r>
        <w:rPr>
          <w:rFonts w:ascii="Arial" w:cs="Arial" w:eastAsia="Arial" w:hAnsi="Arial"/>
          <w:sz w:val="17"/>
          <w:szCs w:val="17"/>
          <w:color w:val="auto"/>
        </w:rPr>
        <w:t>. The business and affairs of the Corporation shall be managed by or under the direction of the Board of Directors.</w:t>
      </w:r>
    </w:p>
    <w:p>
      <w:pPr>
        <w:spacing w:after="0" w:line="141" w:lineRule="exact"/>
        <w:rPr>
          <w:rFonts w:ascii="Arial" w:cs="Arial" w:eastAsia="Arial" w:hAnsi="Arial"/>
          <w:sz w:val="17"/>
          <w:szCs w:val="17"/>
          <w:color w:val="auto"/>
        </w:rPr>
      </w:pPr>
    </w:p>
    <w:p>
      <w:pPr>
        <w:ind w:left="800" w:right="259" w:hanging="7"/>
        <w:spacing w:after="0" w:line="261" w:lineRule="auto"/>
        <w:tabs>
          <w:tab w:leader="none" w:pos="1084"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Board Size</w:t>
      </w:r>
      <w:r>
        <w:rPr>
          <w:rFonts w:ascii="Arial" w:cs="Arial" w:eastAsia="Arial" w:hAnsi="Arial"/>
          <w:sz w:val="17"/>
          <w:szCs w:val="17"/>
          <w:color w:val="auto"/>
        </w:rPr>
        <w:t>. The number of directors which shall constitute the Board of Directors shall be fixed exclusively by one or more resolutions adopted from time to time solely by the affirmative vote of a majority of the Board of Directors.</w:t>
      </w:r>
    </w:p>
    <w:p>
      <w:pPr>
        <w:spacing w:after="0" w:line="172" w:lineRule="exact"/>
        <w:rPr>
          <w:rFonts w:ascii="Arial" w:cs="Arial" w:eastAsia="Arial" w:hAnsi="Arial"/>
          <w:sz w:val="17"/>
          <w:szCs w:val="17"/>
          <w:color w:val="auto"/>
        </w:rPr>
      </w:pPr>
    </w:p>
    <w:p>
      <w:pPr>
        <w:ind w:left="800" w:right="179" w:hanging="7"/>
        <w:spacing w:after="0" w:line="250" w:lineRule="auto"/>
        <w:tabs>
          <w:tab w:leader="none" w:pos="1084"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Board Structure</w:t>
      </w:r>
      <w:r>
        <w:rPr>
          <w:rFonts w:ascii="Arial" w:cs="Arial" w:eastAsia="Arial" w:hAnsi="Arial"/>
          <w:sz w:val="17"/>
          <w:szCs w:val="17"/>
          <w:color w:val="auto"/>
        </w:rPr>
        <w:t>. From and after the Effective Date, the directors, other than any who may be elected by the holders of any series of Preferred Stock under specified circumstances, shall be divided into three classes, designated Class I, Class II and Class III. Each class shall consist, as nearly as may be practicable, of one-third of the total number of directors constituting the entire Board of Directors. The Board of Directors may assign members of the Board of Directors already in office to such classes at the time such classification becomes effective. Each director shall serve for a term ending on the date of the third annual meeting of stockholders next following the annual meeting at which such director was elected; provided that the directors initially designated as Class I directors shall serve for a term ending on the first regularly-scheduled annual meeting of stockholders following the Effective Date, the directors initially designated as Class II directors shall serve for a term ending on the second regularly-scheduled annual meeting of stockholders following the Effective Date, and directors</w:t>
      </w:r>
    </w:p>
    <w:p>
      <w:pPr>
        <w:spacing w:after="0" w:line="38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B-8 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59"/>
        <w:spacing w:after="0" w:line="263" w:lineRule="auto"/>
        <w:rPr>
          <w:sz w:val="20"/>
          <w:szCs w:val="20"/>
          <w:color w:val="auto"/>
        </w:rPr>
      </w:pPr>
      <w:r>
        <w:rPr>
          <w:rFonts w:ascii="Arial" w:cs="Arial" w:eastAsia="Arial" w:hAnsi="Arial"/>
          <w:sz w:val="17"/>
          <w:szCs w:val="17"/>
          <w:color w:val="auto"/>
        </w:rPr>
        <w:t>initially designated as Class III directors shall serve for a term ending on the third regularly-scheduled annual meeting of stockholders following the Effective Date. Notwithstanding the foregoing, each director shall hold office until such director’s successor shall have been duly elected and qualified or until such director’s earlier death, resignation or removal. If the number of directors is hereafter changed, any newly created directorships or decrease in directorships shall be so apportioned among the classes as to make all classes as nearly equal in number as is practicable. No decrease in the number of directors constituting the Board of Directors shall shorten the term of any incumbent director.</w:t>
      </w:r>
    </w:p>
    <w:p>
      <w:pPr>
        <w:spacing w:after="0" w:line="173" w:lineRule="exact"/>
        <w:rPr>
          <w:sz w:val="20"/>
          <w:szCs w:val="20"/>
          <w:color w:val="auto"/>
        </w:rPr>
      </w:pPr>
    </w:p>
    <w:p>
      <w:pPr>
        <w:ind w:left="800" w:right="179" w:hanging="7"/>
        <w:spacing w:after="0" w:line="262" w:lineRule="auto"/>
        <w:tabs>
          <w:tab w:leader="none" w:pos="108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Removal; Vacancies</w:t>
      </w:r>
      <w:r>
        <w:rPr>
          <w:rFonts w:ascii="Arial" w:cs="Arial" w:eastAsia="Arial" w:hAnsi="Arial"/>
          <w:sz w:val="17"/>
          <w:szCs w:val="17"/>
          <w:color w:val="auto"/>
        </w:rPr>
        <w:t>.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for a term that shall coincide with the term of the Class to which such director shall have been elected. 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spacing w:after="0" w:line="174" w:lineRule="exact"/>
        <w:rPr>
          <w:rFonts w:ascii="Arial" w:cs="Arial" w:eastAsia="Arial" w:hAnsi="Arial"/>
          <w:sz w:val="17"/>
          <w:szCs w:val="17"/>
          <w:color w:val="auto"/>
        </w:rPr>
      </w:pPr>
    </w:p>
    <w:p>
      <w:pPr>
        <w:ind w:left="800" w:right="359" w:hanging="7"/>
        <w:spacing w:after="0" w:line="298" w:lineRule="auto"/>
        <w:tabs>
          <w:tab w:leader="none" w:pos="108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Written Ballot</w:t>
      </w:r>
      <w:r>
        <w:rPr>
          <w:rFonts w:ascii="Arial" w:cs="Arial" w:eastAsia="Arial" w:hAnsi="Arial"/>
          <w:sz w:val="17"/>
          <w:szCs w:val="17"/>
          <w:color w:val="auto"/>
        </w:rPr>
        <w:t>. Elections of directors need not be by written ballot unless otherwise provided in the Bylaws of the Corporation.</w:t>
      </w:r>
    </w:p>
    <w:p>
      <w:pPr>
        <w:spacing w:after="0" w:line="141" w:lineRule="exact"/>
        <w:rPr>
          <w:rFonts w:ascii="Arial" w:cs="Arial" w:eastAsia="Arial" w:hAnsi="Arial"/>
          <w:sz w:val="17"/>
          <w:szCs w:val="17"/>
          <w:color w:val="auto"/>
        </w:rPr>
      </w:pPr>
    </w:p>
    <w:p>
      <w:pPr>
        <w:ind w:left="1080" w:hanging="287"/>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 Cumulative Voting</w:t>
      </w:r>
      <w:r>
        <w:rPr>
          <w:rFonts w:ascii="Arial" w:cs="Arial" w:eastAsia="Arial" w:hAnsi="Arial"/>
          <w:sz w:val="17"/>
          <w:szCs w:val="17"/>
          <w:color w:val="auto"/>
        </w:rPr>
        <w:t>.  No stockholder will be permitted to cumulate votes at any election of directors.</w:t>
      </w:r>
    </w:p>
    <w:p>
      <w:pPr>
        <w:spacing w:after="0" w:line="222" w:lineRule="exact"/>
        <w:rPr>
          <w:rFonts w:ascii="Arial" w:cs="Arial" w:eastAsia="Arial" w:hAnsi="Arial"/>
          <w:sz w:val="17"/>
          <w:szCs w:val="17"/>
          <w:color w:val="auto"/>
        </w:rPr>
      </w:pPr>
    </w:p>
    <w:p>
      <w:pPr>
        <w:ind w:left="1080" w:hanging="287"/>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 Reliance on the Controlled Company Exemption</w:t>
      </w:r>
      <w:r>
        <w:rPr>
          <w:rFonts w:ascii="Arial" w:cs="Arial" w:eastAsia="Arial" w:hAnsi="Arial"/>
          <w:sz w:val="17"/>
          <w:szCs w:val="17"/>
          <w:color w:val="auto"/>
        </w:rPr>
        <w:t>.  At any time during which shares of capital stock of the</w:t>
      </w:r>
    </w:p>
    <w:p>
      <w:pPr>
        <w:spacing w:after="0" w:line="29" w:lineRule="exact"/>
        <w:rPr>
          <w:rFonts w:ascii="Arial" w:cs="Arial" w:eastAsia="Arial" w:hAnsi="Arial"/>
          <w:sz w:val="17"/>
          <w:szCs w:val="17"/>
          <w:color w:val="auto"/>
        </w:rPr>
      </w:pPr>
    </w:p>
    <w:p>
      <w:pPr>
        <w:ind w:left="800" w:right="139"/>
        <w:spacing w:after="0" w:line="267" w:lineRule="auto"/>
        <w:rPr>
          <w:rFonts w:ascii="Arial" w:cs="Arial" w:eastAsia="Arial" w:hAnsi="Arial"/>
          <w:sz w:val="17"/>
          <w:szCs w:val="17"/>
          <w:color w:val="auto"/>
        </w:rPr>
      </w:pPr>
      <w:r>
        <w:rPr>
          <w:rFonts w:ascii="Arial" w:cs="Arial" w:eastAsia="Arial" w:hAnsi="Arial"/>
          <w:sz w:val="17"/>
          <w:szCs w:val="17"/>
          <w:color w:val="auto"/>
        </w:rPr>
        <w:t>Corporation are listed for trading on a Securities Exchange, the Corporation shall not rely upon the exemptions from the Listing Standards available to any company that constitutes a “controlled company” within the meaning of the Listing Standards, if and to the extent otherwise applicable to the Corporation.</w:t>
      </w:r>
    </w:p>
    <w:p>
      <w:pPr>
        <w:spacing w:after="0" w:line="192"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MEETINGS OF STOCKHOLDERS</w:t>
      </w:r>
    </w:p>
    <w:p>
      <w:pPr>
        <w:spacing w:after="0" w:line="223" w:lineRule="exact"/>
        <w:rPr>
          <w:sz w:val="20"/>
          <w:szCs w:val="20"/>
          <w:color w:val="auto"/>
        </w:rPr>
      </w:pPr>
    </w:p>
    <w:p>
      <w:pPr>
        <w:ind w:left="800" w:right="239" w:hanging="7"/>
        <w:spacing w:after="0" w:line="277" w:lineRule="auto"/>
        <w:tabs>
          <w:tab w:leader="none" w:pos="1084"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Annual Meetings</w:t>
      </w:r>
      <w:r>
        <w:rPr>
          <w:rFonts w:ascii="Arial" w:cs="Arial" w:eastAsia="Arial" w:hAnsi="Arial"/>
          <w:sz w:val="17"/>
          <w:szCs w:val="17"/>
          <w:color w:val="auto"/>
        </w:rPr>
        <w:t>. An annual meeting of stockholders for the election of directors to succeed those whose terms expire and for the transaction of such other business as may properly come before the meeting shall be held at such place, on such date, and at such time as the Board of Directors shall determine.</w:t>
      </w:r>
    </w:p>
    <w:p>
      <w:pPr>
        <w:spacing w:after="0" w:line="159" w:lineRule="exact"/>
        <w:rPr>
          <w:rFonts w:ascii="Arial" w:cs="Arial" w:eastAsia="Arial" w:hAnsi="Arial"/>
          <w:sz w:val="17"/>
          <w:szCs w:val="17"/>
          <w:color w:val="auto"/>
        </w:rPr>
      </w:pPr>
    </w:p>
    <w:p>
      <w:pPr>
        <w:ind w:left="800" w:right="179" w:hanging="7"/>
        <w:spacing w:after="0" w:line="263" w:lineRule="auto"/>
        <w:tabs>
          <w:tab w:leader="none" w:pos="1084"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may be called only by the (a) Board of Directors acting pursuant to a resolution adopted by a majority of the Board of Directors, (b) the chairman of the Board of Directors, or (c) the Chief Executive Officer of the Corporation. Notwithstanding the foregoing, whenever holders of one or more classes or series of Preferred Stock shall have the right, voting separately as a class or series, to elect directors, such holders may call, pursuant to the terms of such class or series of Preferred Stock adopted by resolution or resolutions of the Board of Directors pursuant to Article IV, Section 2 hereto, special meetings of holders of such Preferred Stock.</w:t>
      </w:r>
    </w:p>
    <w:p>
      <w:pPr>
        <w:spacing w:after="0" w:line="173" w:lineRule="exact"/>
        <w:rPr>
          <w:rFonts w:ascii="Arial" w:cs="Arial" w:eastAsia="Arial" w:hAnsi="Arial"/>
          <w:sz w:val="17"/>
          <w:szCs w:val="17"/>
          <w:color w:val="auto"/>
        </w:rPr>
      </w:pPr>
    </w:p>
    <w:p>
      <w:pPr>
        <w:ind w:left="800" w:right="159" w:hanging="7"/>
        <w:spacing w:after="0" w:line="260" w:lineRule="auto"/>
        <w:tabs>
          <w:tab w:leader="none" w:pos="1084"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Availability of Stockholder Action by Written Consent</w:t>
      </w:r>
      <w:r>
        <w:rPr>
          <w:rFonts w:ascii="Arial" w:cs="Arial" w:eastAsia="Arial" w:hAnsi="Arial"/>
          <w:sz w:val="17"/>
          <w:szCs w:val="17"/>
          <w:color w:val="auto"/>
        </w:rPr>
        <w:t>. Subject to the rights of the holders of any class or series of Preferred Stock then outstanding, as may be set forth in the resolution or resolutions adopted by the Board of Directors pursuant to Article IV, Section 2 hereto for such class or series of Preferred Stock, from and after the Written Consent Date (as defined below), any action required or permitted to be taken at any annual or special meeting of stockholders may be taken only upon the vote of stockholders at an annual or special meeting duly noticed and called in accordance with Delaware General Corporation Law and this Article VII and may not be taken by written consent of stockholders without a meeting. Prior to the Written Consent Date, any action required or permitted to be taken by the stockholders of the Corporation may be taken by written consent of stockholders without a meeting, only if the action is first recommended or approved by the Board of Directors. For the purposes of this Section, “</w:t>
      </w:r>
      <w:r>
        <w:rPr>
          <w:rFonts w:ascii="Arial" w:cs="Arial" w:eastAsia="Arial" w:hAnsi="Arial"/>
          <w:sz w:val="17"/>
          <w:szCs w:val="17"/>
          <w:b w:val="1"/>
          <w:bCs w:val="1"/>
          <w:i w:val="1"/>
          <w:iCs w:val="1"/>
          <w:color w:val="auto"/>
        </w:rPr>
        <w:t>Written Consent Date</w:t>
      </w:r>
      <w:r>
        <w:rPr>
          <w:rFonts w:ascii="Arial" w:cs="Arial" w:eastAsia="Arial" w:hAnsi="Arial"/>
          <w:sz w:val="17"/>
          <w:szCs w:val="17"/>
          <w:color w:val="auto"/>
        </w:rPr>
        <w:t>” means the first date on which the number of outstanding shares of Class B Common Stock represents less than 10% of the aggregate number of outstanding shares of Class A Common Stock and Class B Common Stock, taken together as a single class.</w:t>
      </w:r>
    </w:p>
    <w:p>
      <w:pPr>
        <w:spacing w:after="0" w:line="214"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VIII</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FC0014"/>
          <w:strike w:val="1"/>
        </w:rPr>
        <w:t>INDEMNIFICATION</w:t>
      </w:r>
    </w:p>
    <w:p>
      <w:pPr>
        <w:spacing w:after="0" w:line="223" w:lineRule="exact"/>
        <w:rPr>
          <w:sz w:val="20"/>
          <w:szCs w:val="20"/>
          <w:color w:val="auto"/>
        </w:rPr>
      </w:pPr>
    </w:p>
    <w:p>
      <w:pPr>
        <w:ind w:left="3720"/>
        <w:spacing w:after="0"/>
        <w:rPr>
          <w:sz w:val="20"/>
          <w:szCs w:val="20"/>
          <w:color w:val="auto"/>
        </w:rPr>
      </w:pPr>
      <w:r>
        <w:rPr>
          <w:rFonts w:ascii="Arial" w:cs="Arial" w:eastAsia="Arial" w:hAnsi="Arial"/>
          <w:sz w:val="17"/>
          <w:szCs w:val="17"/>
          <w:u w:val="single" w:color="auto"/>
          <w:color w:val="0081C4"/>
        </w:rPr>
        <w:t>DIRECTOR AND OFFICER LIABILITY</w:t>
      </w:r>
    </w:p>
    <w:p>
      <w:pPr>
        <w:spacing w:after="0" w:line="223" w:lineRule="exact"/>
        <w:rPr>
          <w:sz w:val="20"/>
          <w:szCs w:val="20"/>
          <w:color w:val="auto"/>
        </w:rPr>
      </w:pPr>
    </w:p>
    <w:p>
      <w:pPr>
        <w:ind w:left="800" w:right="399" w:hanging="7"/>
        <w:spacing w:after="0" w:line="270" w:lineRule="auto"/>
        <w:tabs>
          <w:tab w:leader="none" w:pos="108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Limited Liability</w:t>
      </w:r>
      <w:r>
        <w:rPr>
          <w:rFonts w:ascii="Arial" w:cs="Arial" w:eastAsia="Arial" w:hAnsi="Arial"/>
          <w:sz w:val="17"/>
          <w:szCs w:val="17"/>
          <w:color w:val="auto"/>
        </w:rPr>
        <w:t xml:space="preserve">. To the fullest extent permitted by law, no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 xml:space="preserve"> of the Corporation shall be personally liable for monetary damages for breach of fiduciary duty as a director </w:t>
      </w:r>
      <w:r>
        <w:rPr>
          <w:rFonts w:ascii="Arial" w:cs="Arial" w:eastAsia="Arial" w:hAnsi="Arial"/>
          <w:sz w:val="17"/>
          <w:szCs w:val="17"/>
          <w:u w:val="single" w:color="auto"/>
          <w:color w:val="0081C4"/>
        </w:rPr>
        <w:t>or officer, as applicable</w:t>
      </w:r>
      <w:r>
        <w:rPr>
          <w:rFonts w:ascii="Arial" w:cs="Arial" w:eastAsia="Arial" w:hAnsi="Arial"/>
          <w:sz w:val="17"/>
          <w:szCs w:val="17"/>
          <w:color w:val="auto"/>
        </w:rPr>
        <w:t xml:space="preserve">. Without limiting the effect of the preceding sentence, if the Delaware General Corporation Law is hereafter amended to authorize the further elimination or limitation of the liability of a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w:t>
      </w:r>
    </w:p>
    <w:p>
      <w:pPr>
        <w:sectPr>
          <w:pgSz w:w="11900" w:h="16838" w:orient="portrait"/>
          <w:cols w:equalWidth="0" w:num="1">
            <w:col w:w="9699"/>
          </w:cols>
          <w:pgMar w:left="760" w:top="94" w:right="1440" w:bottom="1440" w:gutter="0" w:footer="0" w:header="0"/>
        </w:sectPr>
      </w:pPr>
    </w:p>
    <w:p>
      <w:pPr>
        <w:spacing w:after="0" w:line="382"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jc w:val="both"/>
        <w:ind w:left="800" w:right="179"/>
        <w:spacing w:after="0" w:line="277" w:lineRule="auto"/>
        <w:rPr>
          <w:sz w:val="20"/>
          <w:szCs w:val="20"/>
          <w:color w:val="auto"/>
        </w:rPr>
      </w:pPr>
      <w:r>
        <w:rPr>
          <w:rFonts w:ascii="Arial" w:cs="Arial" w:eastAsia="Arial" w:hAnsi="Arial"/>
          <w:sz w:val="17"/>
          <w:szCs w:val="17"/>
          <w:color w:val="auto"/>
        </w:rPr>
        <w:t xml:space="preserve">then the liability of a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 xml:space="preserve"> of the Corporation shall be eliminated or limited to the fullest extent permitted by the Delaware General Corporation Law, as so amended. </w:t>
      </w:r>
      <w:r>
        <w:rPr>
          <w:rFonts w:ascii="Arial" w:cs="Arial" w:eastAsia="Arial" w:hAnsi="Arial"/>
          <w:sz w:val="17"/>
          <w:szCs w:val="17"/>
          <w:u w:val="single" w:color="auto"/>
          <w:color w:val="0081C4"/>
        </w:rPr>
        <w:t>For purposes of this Article VIII, “</w:t>
      </w:r>
      <w:r>
        <w:rPr>
          <w:rFonts w:ascii="Arial" w:cs="Arial" w:eastAsia="Arial" w:hAnsi="Arial"/>
          <w:sz w:val="17"/>
          <w:szCs w:val="17"/>
          <w:b w:val="1"/>
          <w:bCs w:val="1"/>
          <w:i w:val="1"/>
          <w:iCs w:val="1"/>
          <w:u w:val="single" w:color="auto"/>
          <w:color w:val="0081C4"/>
        </w:rPr>
        <w:t>officer</w:t>
      </w:r>
      <w:r>
        <w:rPr>
          <w:rFonts w:ascii="Arial" w:cs="Arial" w:eastAsia="Arial" w:hAnsi="Arial"/>
          <w:sz w:val="17"/>
          <w:szCs w:val="17"/>
          <w:u w:val="single" w:color="auto"/>
          <w:color w:val="0081C4"/>
        </w:rPr>
        <w:t>” shall have the</w:t>
      </w:r>
      <w:r>
        <w:rPr>
          <w:rFonts w:ascii="Arial" w:cs="Arial" w:eastAsia="Arial" w:hAnsi="Arial"/>
          <w:sz w:val="17"/>
          <w:szCs w:val="17"/>
          <w:color w:val="auto"/>
        </w:rPr>
        <w:t xml:space="preserve"> </w:t>
      </w:r>
      <w:r>
        <w:rPr>
          <w:rFonts w:ascii="Arial" w:cs="Arial" w:eastAsia="Arial" w:hAnsi="Arial"/>
          <w:sz w:val="17"/>
          <w:szCs w:val="17"/>
          <w:u w:val="single" w:color="auto"/>
          <w:color w:val="0081C4"/>
        </w:rPr>
        <w:t>meaning provided in Section 102(b)(7) of the Delaware General Corporation Law.</w:t>
      </w:r>
    </w:p>
    <w:p>
      <w:pPr>
        <w:spacing w:after="0" w:line="160" w:lineRule="exact"/>
        <w:rPr>
          <w:sz w:val="20"/>
          <w:szCs w:val="20"/>
          <w:color w:val="auto"/>
        </w:rPr>
      </w:pPr>
    </w:p>
    <w:p>
      <w:pPr>
        <w:ind w:left="1080" w:hanging="287"/>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Right to Indemnification</w:t>
      </w:r>
      <w:r>
        <w:rPr>
          <w:rFonts w:ascii="Arial" w:cs="Arial" w:eastAsia="Arial" w:hAnsi="Arial"/>
          <w:sz w:val="17"/>
          <w:szCs w:val="17"/>
          <w:color w:val="auto"/>
        </w:rPr>
        <w:t>.</w:t>
      </w:r>
    </w:p>
    <w:p>
      <w:pPr>
        <w:spacing w:after="0" w:line="223" w:lineRule="exact"/>
        <w:rPr>
          <w:sz w:val="20"/>
          <w:szCs w:val="20"/>
          <w:color w:val="auto"/>
        </w:rPr>
      </w:pPr>
    </w:p>
    <w:p>
      <w:pPr>
        <w:ind w:left="1140" w:right="139"/>
        <w:spacing w:after="0" w:line="261" w:lineRule="auto"/>
        <w:rPr>
          <w:sz w:val="20"/>
          <w:szCs w:val="20"/>
          <w:color w:val="auto"/>
        </w:rPr>
      </w:pPr>
      <w:r>
        <w:rPr>
          <w:rFonts w:ascii="Arial" w:cs="Arial" w:eastAsia="Arial" w:hAnsi="Arial"/>
          <w:sz w:val="17"/>
          <w:szCs w:val="17"/>
          <w:color w:val="auto"/>
        </w:rPr>
        <w:t>2.1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the Delaware General Corporation Law. The right to indemnification conferred in this Article VIII shall also include the right to be paid by the Corporation the expenses incurred in connection with any such proceeding in advance of its final disposition to the fullest extent authorized by the Delaware General Corporation Law. The right to indemnification conferred in this Article VIII shall be a contract right.</w:t>
      </w:r>
    </w:p>
    <w:p>
      <w:pPr>
        <w:spacing w:after="0" w:line="174" w:lineRule="exact"/>
        <w:rPr>
          <w:sz w:val="20"/>
          <w:szCs w:val="20"/>
          <w:color w:val="auto"/>
        </w:rPr>
      </w:pPr>
    </w:p>
    <w:p>
      <w:pPr>
        <w:jc w:val="both"/>
        <w:ind w:left="1140" w:right="179"/>
        <w:spacing w:after="0" w:line="277" w:lineRule="auto"/>
        <w:rPr>
          <w:sz w:val="20"/>
          <w:szCs w:val="20"/>
          <w:color w:val="auto"/>
        </w:rPr>
      </w:pPr>
      <w:r>
        <w:rPr>
          <w:rFonts w:ascii="Arial" w:cs="Arial" w:eastAsia="Arial" w:hAnsi="Arial"/>
          <w:sz w:val="17"/>
          <w:szCs w:val="17"/>
          <w:color w:val="auto"/>
        </w:rPr>
        <w:t>2.2 The Corporation may, by action of its Board of Directors, provide indemnification to such of the employees and agents of the Corporation to such extent and to such effect as the Board of Directors shall determine to be appropriate and authorized by the Delaware General Corporation Law.</w:t>
      </w:r>
    </w:p>
    <w:p>
      <w:pPr>
        <w:spacing w:after="0" w:line="160" w:lineRule="exact"/>
        <w:rPr>
          <w:sz w:val="20"/>
          <w:szCs w:val="20"/>
          <w:color w:val="auto"/>
        </w:rPr>
      </w:pPr>
    </w:p>
    <w:p>
      <w:pPr>
        <w:ind w:left="800" w:right="539" w:hanging="7"/>
        <w:spacing w:after="0" w:line="298" w:lineRule="auto"/>
        <w:tabs>
          <w:tab w:leader="none" w:pos="1084"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and authority conferred in this Article VIII shall not be exclusive of any other right that any person may otherwise have or hereafter acquire.</w:t>
      </w:r>
    </w:p>
    <w:p>
      <w:pPr>
        <w:spacing w:after="0" w:line="141" w:lineRule="exact"/>
        <w:rPr>
          <w:rFonts w:ascii="Arial" w:cs="Arial" w:eastAsia="Arial" w:hAnsi="Arial"/>
          <w:sz w:val="17"/>
          <w:szCs w:val="17"/>
          <w:color w:val="auto"/>
        </w:rPr>
      </w:pPr>
    </w:p>
    <w:p>
      <w:pPr>
        <w:ind w:left="800" w:right="199" w:hanging="7"/>
        <w:spacing w:after="0" w:line="270" w:lineRule="auto"/>
        <w:tabs>
          <w:tab w:leader="none" w:pos="1084"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Preservation of Rights</w:t>
      </w:r>
      <w:r>
        <w:rPr>
          <w:rFonts w:ascii="Arial" w:cs="Arial" w:eastAsia="Arial" w:hAnsi="Arial"/>
          <w:sz w:val="17"/>
          <w:szCs w:val="17"/>
          <w:color w:val="auto"/>
        </w:rPr>
        <w:t xml:space="preserve">. Neither any amendment nor repeal of this Article VIII, nor the adoption of any provision of this Amended and Restated Certificate inconsistent with this Article VIII, shall eliminate, reduce or otherwise adversely affect any limitation on the personal liability of a director </w:t>
      </w:r>
      <w:r>
        <w:rPr>
          <w:rFonts w:ascii="Arial" w:cs="Arial" w:eastAsia="Arial" w:hAnsi="Arial"/>
          <w:sz w:val="17"/>
          <w:szCs w:val="17"/>
          <w:u w:val="single" w:color="auto"/>
          <w:color w:val="0081C4"/>
        </w:rPr>
        <w:t>or officer</w:t>
      </w:r>
      <w:r>
        <w:rPr>
          <w:rFonts w:ascii="Arial" w:cs="Arial" w:eastAsia="Arial" w:hAnsi="Arial"/>
          <w:sz w:val="17"/>
          <w:szCs w:val="17"/>
          <w:color w:val="auto"/>
        </w:rPr>
        <w:t xml:space="preserve"> of the Corporation existing at the time of such amendment, repeal or adoption of such an inconsistent provision.</w:t>
      </w:r>
    </w:p>
    <w:p>
      <w:pPr>
        <w:spacing w:after="0" w:line="190"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ARTICLE IX</w:t>
      </w:r>
    </w:p>
    <w:p>
      <w:pPr>
        <w:spacing w:after="0" w:line="120"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COMPETITION AND CORPORATE OPPORTUNITIES</w:t>
      </w:r>
    </w:p>
    <w:p>
      <w:pPr>
        <w:spacing w:after="0" w:line="223" w:lineRule="exact"/>
        <w:rPr>
          <w:sz w:val="20"/>
          <w:szCs w:val="20"/>
          <w:color w:val="auto"/>
        </w:rPr>
      </w:pPr>
    </w:p>
    <w:p>
      <w:pPr>
        <w:ind w:left="800" w:right="179" w:hanging="7"/>
        <w:spacing w:after="0" w:line="260" w:lineRule="auto"/>
        <w:tabs>
          <w:tab w:leader="none" w:pos="108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recognition and anticipation that (i) certain directors, principals, officers, employees and/or other representatives of any of the Identified Fund Stockholders and their respective Affiliates (as defined below) may serve as directors, officers or agents of the Corporation, and (ii) the Identified Fund Stockholders and their respective Affiliates may now engage and may continue to engage in any transaction or matter that may be an investment or corporate or business opportunity or offer a prospective economic or competitive advantage in which the Corporation or any of its controlled Affiliates, directly or indirectly, could have an interest or expectancy (a “</w:t>
      </w:r>
      <w:r>
        <w:rPr>
          <w:rFonts w:ascii="Arial" w:cs="Arial" w:eastAsia="Arial" w:hAnsi="Arial"/>
          <w:sz w:val="17"/>
          <w:szCs w:val="17"/>
          <w:b w:val="1"/>
          <w:bCs w:val="1"/>
          <w:i w:val="1"/>
          <w:iCs w:val="1"/>
          <w:color w:val="auto"/>
        </w:rPr>
        <w:t>Competitive Opportunity</w:t>
      </w:r>
      <w:r>
        <w:rPr>
          <w:rFonts w:ascii="Arial" w:cs="Arial" w:eastAsia="Arial" w:hAnsi="Arial"/>
          <w:sz w:val="17"/>
          <w:szCs w:val="17"/>
          <w:color w:val="auto"/>
        </w:rPr>
        <w:t>”) or may otherwise compete with the Corporation or its controlled Affiliates, directly or indirectly, the provisions of this Article IX are set forth to regulate and define the conduct of certain affairs of the Corporation with respect to certain classes or categories of opportunities as they may involve any of the Identified Fund Stockholders and their respective Affiliates and the powers, rights, duties and liabilities of the Corporation and its directors, officers and stockholders in connection therewith.</w:t>
      </w:r>
    </w:p>
    <w:p>
      <w:pPr>
        <w:spacing w:after="0" w:line="179" w:lineRule="exact"/>
        <w:rPr>
          <w:rFonts w:ascii="Arial" w:cs="Arial" w:eastAsia="Arial" w:hAnsi="Arial"/>
          <w:sz w:val="17"/>
          <w:szCs w:val="17"/>
          <w:color w:val="auto"/>
        </w:rPr>
      </w:pPr>
    </w:p>
    <w:p>
      <w:pPr>
        <w:ind w:left="800" w:right="159" w:hanging="7"/>
        <w:spacing w:after="0" w:line="259" w:lineRule="auto"/>
        <w:tabs>
          <w:tab w:leader="none" w:pos="108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Each of the Identified Fund Stockholders and their Affiliates, and any of their directors, principals, officers, employees and/or other representatives that may serve as directors, officers or agents of the Corporation, and each of their Affiliates (collectively, “</w:t>
      </w:r>
      <w:r>
        <w:rPr>
          <w:rFonts w:ascii="Arial" w:cs="Arial" w:eastAsia="Arial" w:hAnsi="Arial"/>
          <w:sz w:val="17"/>
          <w:szCs w:val="17"/>
          <w:b w:val="1"/>
          <w:bCs w:val="1"/>
          <w:i w:val="1"/>
          <w:iCs w:val="1"/>
          <w:color w:val="auto"/>
        </w:rPr>
        <w:t>Identified Persons</w:t>
      </w:r>
      <w:r>
        <w:rPr>
          <w:rFonts w:ascii="Arial" w:cs="Arial" w:eastAsia="Arial" w:hAnsi="Arial"/>
          <w:sz w:val="17"/>
          <w:szCs w:val="17"/>
          <w:color w:val="auto"/>
        </w:rPr>
        <w:t>” and, individually, an “</w:t>
      </w:r>
      <w:r>
        <w:rPr>
          <w:rFonts w:ascii="Arial" w:cs="Arial" w:eastAsia="Arial" w:hAnsi="Arial"/>
          <w:sz w:val="17"/>
          <w:szCs w:val="17"/>
          <w:b w:val="1"/>
          <w:bCs w:val="1"/>
          <w:i w:val="1"/>
          <w:iCs w:val="1"/>
          <w:color w:val="auto"/>
        </w:rPr>
        <w:t>Identified Person</w:t>
      </w:r>
      <w:r>
        <w:rPr>
          <w:rFonts w:ascii="Arial" w:cs="Arial" w:eastAsia="Arial" w:hAnsi="Arial"/>
          <w:sz w:val="17"/>
          <w:szCs w:val="17"/>
          <w:color w:val="auto"/>
        </w:rPr>
        <w:t>”) shall, to the fullest extent permitted by law, not have any duty to refrain from directly or indirectly (a) engaging in any Competitive Opportunity or (b) otherwise competing with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Competitive Opportunity or other corporate or business opportunity that may be a Competitive Opportunity for an Identified Person and the Corporation or any of its controlled Affiliates. In the event that any Identified Person acquires knowledge of a Competitive Opportunity or other corporate or business opportunity that may be a Competitive Opportunity for itself, herself or himself, or for its, her or his Affiliates, and for the Corporation or any of its controlled Affiliates, such Identified Person shall, to the fullest extent permitted by law, have no duty to communicate or present such opportunity to the Corporation or any of its controlled Affiliates and, to the fullest extent permitted by law, shall not be liable to the Corporation or its stockholders or to any controlled Affiliate of the Corporation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spacing w:after="0" w:line="39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B-10 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61416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319" w:hanging="7"/>
        <w:spacing w:after="0" w:line="277" w:lineRule="auto"/>
        <w:tabs>
          <w:tab w:leader="none" w:pos="108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Corporation does not renounce its interest in any Competitive Opportunity offered to any director of the Corporation if such opportunity is expressly offered to such person solely in his or her capacity as a director of the Corporation, and the provisions of Article IX, Section 2 shall not apply to any such Competitive Opportunity.</w:t>
      </w:r>
    </w:p>
    <w:p>
      <w:pPr>
        <w:spacing w:after="0" w:line="159" w:lineRule="exact"/>
        <w:rPr>
          <w:rFonts w:ascii="Arial" w:cs="Arial" w:eastAsia="Arial" w:hAnsi="Arial"/>
          <w:sz w:val="17"/>
          <w:szCs w:val="17"/>
          <w:color w:val="auto"/>
        </w:rPr>
      </w:pPr>
    </w:p>
    <w:p>
      <w:pPr>
        <w:ind w:left="800" w:right="119" w:hanging="7"/>
        <w:spacing w:after="0" w:line="267" w:lineRule="auto"/>
        <w:tabs>
          <w:tab w:leader="none" w:pos="108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addition to and notwithstanding the foregoing provisions of this Article IX,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67" w:lineRule="exact"/>
        <w:rPr>
          <w:rFonts w:ascii="Arial" w:cs="Arial" w:eastAsia="Arial" w:hAnsi="Arial"/>
          <w:sz w:val="17"/>
          <w:szCs w:val="17"/>
          <w:color w:val="auto"/>
        </w:rPr>
      </w:pPr>
    </w:p>
    <w:p>
      <w:pPr>
        <w:ind w:left="800" w:right="159" w:hanging="7"/>
        <w:spacing w:after="0" w:line="277" w:lineRule="auto"/>
        <w:tabs>
          <w:tab w:leader="none" w:pos="108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159" w:lineRule="exact"/>
        <w:rPr>
          <w:rFonts w:ascii="Arial" w:cs="Arial" w:eastAsia="Arial" w:hAnsi="Arial"/>
          <w:sz w:val="17"/>
          <w:szCs w:val="17"/>
          <w:color w:val="auto"/>
        </w:rPr>
      </w:pPr>
    </w:p>
    <w:p>
      <w:pPr>
        <w:ind w:left="1080" w:hanging="287"/>
        <w:spacing w:after="0"/>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For purposes of this Article IX of this Amended and Restated Certificate, the following definitions apply:</w:t>
      </w:r>
    </w:p>
    <w:p>
      <w:pPr>
        <w:spacing w:after="0" w:line="223" w:lineRule="exact"/>
        <w:rPr>
          <w:sz w:val="20"/>
          <w:szCs w:val="20"/>
          <w:color w:val="auto"/>
        </w:rPr>
      </w:pPr>
    </w:p>
    <w:p>
      <w:pPr>
        <w:ind w:left="1140" w:right="139"/>
        <w:spacing w:after="0" w:line="277" w:lineRule="auto"/>
        <w:rPr>
          <w:sz w:val="20"/>
          <w:szCs w:val="20"/>
          <w:color w:val="auto"/>
        </w:rPr>
      </w:pPr>
      <w:r>
        <w:rPr>
          <w:rFonts w:ascii="Arial" w:cs="Arial" w:eastAsia="Arial" w:hAnsi="Arial"/>
          <w:sz w:val="17"/>
          <w:szCs w:val="17"/>
          <w:color w:val="auto"/>
        </w:rPr>
        <w:t>6.1 “</w:t>
      </w:r>
      <w:r>
        <w:rPr>
          <w:rFonts w:ascii="Arial" w:cs="Arial" w:eastAsia="Arial" w:hAnsi="Arial"/>
          <w:sz w:val="17"/>
          <w:szCs w:val="17"/>
          <w:b w:val="1"/>
          <w:bCs w:val="1"/>
          <w:i w:val="1"/>
          <w:iCs w:val="1"/>
          <w:color w:val="auto"/>
        </w:rPr>
        <w:t>Accel</w:t>
      </w:r>
      <w:r>
        <w:rPr>
          <w:rFonts w:ascii="Arial" w:cs="Arial" w:eastAsia="Arial" w:hAnsi="Arial"/>
          <w:sz w:val="17"/>
          <w:szCs w:val="17"/>
          <w:color w:val="auto"/>
        </w:rPr>
        <w:t>” means Accel Leaders Fund L.P., Accel Leaders Fund Investors 2016 L.L.C., Accel London III L.P., Accel London Investors 2012 L.P., Accel Growth Fund II L.P., Accel Growth Fund II Strategic Partners L.P., Accel Growth Fund Investors 2013 L.L.C. (together with its successors).</w:t>
      </w:r>
    </w:p>
    <w:p>
      <w:pPr>
        <w:spacing w:after="0" w:line="160" w:lineRule="exact"/>
        <w:rPr>
          <w:sz w:val="20"/>
          <w:szCs w:val="20"/>
          <w:color w:val="auto"/>
        </w:rPr>
      </w:pPr>
    </w:p>
    <w:p>
      <w:pPr>
        <w:ind w:left="1140" w:right="219"/>
        <w:spacing w:after="0" w:line="265" w:lineRule="auto"/>
        <w:rPr>
          <w:sz w:val="20"/>
          <w:szCs w:val="20"/>
          <w:color w:val="auto"/>
        </w:rPr>
      </w:pPr>
      <w:r>
        <w:rPr>
          <w:rFonts w:ascii="Arial" w:cs="Arial" w:eastAsia="Arial" w:hAnsi="Arial"/>
          <w:sz w:val="17"/>
          <w:szCs w:val="17"/>
          <w:color w:val="auto"/>
        </w:rPr>
        <w:t>6.2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in respect of any Identified Fund Stockholder, any Person (other than the Corporation and any entity that is controlled by the Corporation) that, directly or indirectly, is controlled by such Identified Fund Stockholder, controls such Identified Fund Stockholder or is under common control with such Identified Fund Stockholder, and shall include any principal, member, director, partner, stockholder, officer, employee or other representative of any of the foregoing, and (b) in respect of the Corporation, any Person that, directly or indirectly, is controlled by the Corporation.</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6.3  “</w:t>
      </w:r>
      <w:r>
        <w:rPr>
          <w:rFonts w:ascii="Arial" w:cs="Arial" w:eastAsia="Arial" w:hAnsi="Arial"/>
          <w:sz w:val="17"/>
          <w:szCs w:val="17"/>
          <w:b w:val="1"/>
          <w:bCs w:val="1"/>
          <w:i w:val="1"/>
          <w:iCs w:val="1"/>
          <w:color w:val="auto"/>
        </w:rPr>
        <w:t>Identified Fund Stockholder</w:t>
      </w:r>
      <w:r>
        <w:rPr>
          <w:rFonts w:ascii="Arial" w:cs="Arial" w:eastAsia="Arial" w:hAnsi="Arial"/>
          <w:sz w:val="17"/>
          <w:szCs w:val="17"/>
          <w:color w:val="auto"/>
        </w:rPr>
        <w:t>” means each of Accel and Warburg Pincus.</w:t>
      </w:r>
    </w:p>
    <w:p>
      <w:pPr>
        <w:spacing w:after="0" w:line="223" w:lineRule="exact"/>
        <w:rPr>
          <w:sz w:val="20"/>
          <w:szCs w:val="20"/>
          <w:color w:val="auto"/>
        </w:rPr>
      </w:pPr>
    </w:p>
    <w:p>
      <w:pPr>
        <w:ind w:left="1140" w:right="319"/>
        <w:spacing w:after="0" w:line="298" w:lineRule="auto"/>
        <w:rPr>
          <w:sz w:val="20"/>
          <w:szCs w:val="20"/>
          <w:color w:val="auto"/>
        </w:rPr>
      </w:pPr>
      <w:r>
        <w:rPr>
          <w:rFonts w:ascii="Arial" w:cs="Arial" w:eastAsia="Arial" w:hAnsi="Arial"/>
          <w:sz w:val="17"/>
          <w:szCs w:val="17"/>
          <w:color w:val="auto"/>
        </w:rPr>
        <w:t>6.4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corporation, general or limited partnership, limited liability company, joint venture, trust, association or any other entity.</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6.5 “</w:t>
      </w:r>
      <w:r>
        <w:rPr>
          <w:rFonts w:ascii="Arial" w:cs="Arial" w:eastAsia="Arial" w:hAnsi="Arial"/>
          <w:sz w:val="17"/>
          <w:szCs w:val="17"/>
          <w:b w:val="1"/>
          <w:bCs w:val="1"/>
          <w:i w:val="1"/>
          <w:iCs w:val="1"/>
          <w:color w:val="auto"/>
        </w:rPr>
        <w:t>Warburg Pincus</w:t>
      </w:r>
      <w:r>
        <w:rPr>
          <w:rFonts w:ascii="Arial" w:cs="Arial" w:eastAsia="Arial" w:hAnsi="Arial"/>
          <w:sz w:val="17"/>
          <w:szCs w:val="17"/>
          <w:color w:val="auto"/>
        </w:rPr>
        <w:t>” means Warburg Pincus Private Equity X, L.P. and Warburg Pincus X Partners, L.P.</w:t>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(together with its successors).</w:t>
      </w:r>
    </w:p>
    <w:p>
      <w:pPr>
        <w:spacing w:after="0" w:line="231"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ARTICLE X</w:t>
      </w:r>
    </w:p>
    <w:p>
      <w:pPr>
        <w:spacing w:after="0" w:line="120"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AMENDMENTS</w:t>
      </w:r>
    </w:p>
    <w:p>
      <w:pPr>
        <w:spacing w:after="0" w:line="223" w:lineRule="exact"/>
        <w:rPr>
          <w:sz w:val="20"/>
          <w:szCs w:val="20"/>
          <w:color w:val="auto"/>
        </w:rPr>
      </w:pPr>
    </w:p>
    <w:p>
      <w:pPr>
        <w:ind w:left="800" w:right="139"/>
        <w:spacing w:after="0" w:line="263" w:lineRule="auto"/>
        <w:rPr>
          <w:sz w:val="20"/>
          <w:szCs w:val="20"/>
          <w:color w:val="auto"/>
        </w:rPr>
      </w:pPr>
      <w:r>
        <w:rPr>
          <w:rFonts w:ascii="Arial" w:cs="Arial" w:eastAsia="Arial" w:hAnsi="Arial"/>
          <w:sz w:val="17"/>
          <w:szCs w:val="17"/>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173" w:lineRule="exact"/>
        <w:rPr>
          <w:sz w:val="20"/>
          <w:szCs w:val="20"/>
          <w:color w:val="auto"/>
        </w:rPr>
      </w:pPr>
    </w:p>
    <w:p>
      <w:pPr>
        <w:ind w:left="800" w:right="139"/>
        <w:spacing w:after="0" w:line="259" w:lineRule="auto"/>
        <w:rPr>
          <w:sz w:val="20"/>
          <w:szCs w:val="20"/>
          <w:color w:val="auto"/>
        </w:rPr>
      </w:pPr>
      <w:r>
        <w:rPr>
          <w:rFonts w:ascii="Arial" w:cs="Arial" w:eastAsia="Arial" w:hAnsi="Arial"/>
          <w:sz w:val="17"/>
          <w:szCs w:val="17"/>
          <w:color w:val="auto"/>
        </w:rPr>
        <w:t xml:space="preserve">Except as provided in Article VIII of this Amended and Restated Certificate,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IV, Section 3, Article IV, Section 4, or this clause (i)(b) of Article X of this Amended and Restated Certificate,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IV, Section 3, Article V, Article VI, Article VII, or this Article X of this Amended and Restated Certificate.</w:t>
      </w:r>
    </w:p>
    <w:p>
      <w:pPr>
        <w:sectPr>
          <w:pgSz w:w="11900" w:h="16838" w:orient="portrait"/>
          <w:cols w:equalWidth="0" w:num="1">
            <w:col w:w="9699"/>
          </w:cols>
          <w:pgMar w:left="760" w:top="94" w:right="1440" w:bottom="1122" w:gutter="0" w:footer="0" w:header="0"/>
        </w:sectPr>
      </w:pPr>
    </w:p>
    <w:p>
      <w:pPr>
        <w:spacing w:after="0" w:line="390"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D6515D"/>
        </w:rPr>
        <w:t>|</w:t>
      </w:r>
      <w:r>
        <w:rPr>
          <w:rFonts w:ascii="Arial" w:cs="Arial" w:eastAsia="Arial" w:hAnsi="Arial"/>
          <w:sz w:val="13"/>
          <w:szCs w:val="13"/>
          <w:b w:val="1"/>
          <w:bCs w:val="1"/>
          <w:color w:val="000000"/>
        </w:rPr>
        <w:t xml:space="preserve">  Page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122555</wp:posOffset>
            </wp:positionV>
            <wp:extent cx="661416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122"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90" w:lineRule="exact"/>
        <w:rPr>
          <w:sz w:val="20"/>
          <w:szCs w:val="20"/>
          <w:color w:val="auto"/>
        </w:rPr>
      </w:pPr>
    </w:p>
    <w:p>
      <w:pPr>
        <w:ind w:left="800" w:right="179"/>
        <w:spacing w:after="0" w:line="298" w:lineRule="auto"/>
        <w:rPr>
          <w:sz w:val="20"/>
          <w:szCs w:val="20"/>
          <w:color w:val="auto"/>
        </w:rPr>
      </w:pPr>
      <w:r>
        <w:rPr>
          <w:rFonts w:ascii="Arial" w:cs="Arial" w:eastAsia="Arial" w:hAnsi="Arial"/>
          <w:sz w:val="17"/>
          <w:szCs w:val="17"/>
          <w:color w:val="auto"/>
        </w:rPr>
        <w:t>IN WITNESS WHEREOF, the corporation has caused this Amended and Restated Certificate of Incorporation to be signed by its duly authorized officer.</w:t>
      </w:r>
    </w:p>
    <w:p>
      <w:pPr>
        <w:spacing w:after="0" w:line="140"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CROWDSTRIKE HOLDINGS, INC.</w:t>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44450</wp:posOffset>
            </wp:positionV>
            <wp:extent cx="29210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Name:  George Kurtz</w:t>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 xml:space="preserve">Page B-12  </w:t>
      </w:r>
      <w:r>
        <w:rPr>
          <w:rFonts w:ascii="Arial" w:cs="Arial" w:eastAsia="Arial" w:hAnsi="Arial"/>
          <w:sz w:val="14"/>
          <w:szCs w:val="14"/>
          <w:b w:val="1"/>
          <w:bCs w:val="1"/>
          <w:color w:val="D651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106680</wp:posOffset>
            </wp:positionV>
            <wp:extent cx="661416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14160" cy="41910"/>
                    </a:xfrm>
                    <a:prstGeom prst="rect">
                      <a:avLst/>
                    </a:prstGeom>
                    <a:noFill/>
                  </pic:spPr>
                </pic:pic>
              </a:graphicData>
            </a:graphic>
          </wp:anchor>
        </w:drawing>
      </w:r>
    </w:p>
    <w:p>
      <w:pPr>
        <w:sectPr>
          <w:pgSz w:w="11900" w:h="16838" w:orient="portrait"/>
          <w:cols w:equalWidth="0" w:num="1">
            <w:col w:w="9699"/>
          </w:cols>
          <w:pgMar w:left="760" w:top="94"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-74930</wp:posOffset>
            </wp:positionV>
            <wp:extent cx="6614160" cy="86677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14160" cy="8667750"/>
                    </a:xfrm>
                    <a:prstGeom prst="rect">
                      <a:avLst/>
                    </a:prstGeom>
                    <a:noFill/>
                  </pic:spPr>
                </pic:pic>
              </a:graphicData>
            </a:graphic>
          </wp:anchor>
        </w:drawing>
      </w:r>
    </w:p>
    <w:p>
      <w:pPr>
        <w:sectPr>
          <w:pgSz w:w="11900" w:h="16838" w:orient="portrait"/>
          <w:cols w:equalWidth="0" w:num="1">
            <w:col w:w="9699"/>
          </w:cols>
          <w:pgMar w:left="760" w:top="100"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57150</wp:posOffset>
            </wp:positionV>
            <wp:extent cx="6614160" cy="8667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14160" cy="8667750"/>
                    </a:xfrm>
                    <a:prstGeom prst="rect">
                      <a:avLst/>
                    </a:prstGeom>
                    <a:noFill/>
                  </pic:spPr>
                </pic:pic>
              </a:graphicData>
            </a:graphic>
          </wp:anchor>
        </w:drawing>
      </w:r>
    </w:p>
    <w:sectPr>
      <w:pgSz w:w="11900" w:h="16838" w:orient="portrait"/>
      <w:cols w:equalWidth="0" w:num="1">
        <w:col w:w="9699"/>
      </w:cols>
      <w:pgMar w:left="760" w:top="1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1)"/>
      <w:numFmt w:val="decimal"/>
    </w:lvl>
    <w:lvl w:ilvl="1">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3"/>
    </w:lvl>
  </w:abstractNum>
  <w:abstractNum w:abstractNumId="6">
    <w:nsid w:val="10233C99"/>
    <w:multiLevelType w:val="hybridMultilevel"/>
    <w:lvl w:ilvl="0">
      <w:lvlJc w:val="left"/>
      <w:lvlText w:val="&gt;"/>
      <w:numFmt w:val="bullet"/>
      <w:start w:val="1"/>
    </w:lvl>
    <w:lvl w:ilvl="1">
      <w:lvlJc w:val="left"/>
      <w:lvlText w:val="•"/>
      <w:numFmt w:val="bullet"/>
      <w:start w:val="1"/>
    </w:lvl>
  </w:abstractNum>
  <w:abstractNum w:abstractNumId="7">
    <w:nsid w:val="3F6AB60F"/>
    <w:multiLevelType w:val="hybridMultilevel"/>
    <w:lvl w:ilvl="0">
      <w:lvlJc w:val="left"/>
      <w:lvlText w:val="5"/>
      <w:numFmt w:val="bullet"/>
      <w:start w:val="1"/>
    </w:lvl>
  </w:abstractNum>
  <w:abstractNum w:abstractNumId="8">
    <w:nsid w:val="61574095"/>
    <w:multiLevelType w:val="hybridMultilevel"/>
    <w:lvl w:ilvl="0">
      <w:lvlJc w:val="left"/>
      <w:lvlText w:val="6"/>
      <w:numFmt w:val="bullet"/>
      <w:start w:val="1"/>
    </w:lvl>
  </w:abstractNum>
  <w:abstractNum w:abstractNumId="9">
    <w:nsid w:val="7E0C57B1"/>
    <w:multiLevelType w:val="hybridMultilevel"/>
    <w:lvl w:ilvl="0">
      <w:lvlJc w:val="left"/>
      <w:lvlText w:val="7"/>
      <w:numFmt w:val="bullet"/>
      <w:start w:val="1"/>
    </w:lvl>
  </w:abstractNum>
  <w:abstractNum w:abstractNumId="10">
    <w:nsid w:val="77AE35EB"/>
    <w:multiLevelType w:val="hybridMultilevel"/>
    <w:lvl w:ilvl="0">
      <w:lvlJc w:val="left"/>
      <w:lvlText w:val="%1"/>
      <w:numFmt w:val="decimal"/>
      <w:start w:val="13"/>
    </w:lvl>
  </w:abstractNum>
  <w:abstractNum w:abstractNumId="11">
    <w:nsid w:val="579BE4F1"/>
    <w:multiLevelType w:val="hybridMultilevel"/>
    <w:lvl w:ilvl="0">
      <w:lvlJc w:val="left"/>
      <w:lvlText w:val="%1"/>
      <w:numFmt w:val="decimal"/>
      <w:start w:val="13"/>
    </w:lvl>
  </w:abstractNum>
  <w:abstractNum w:abstractNumId="12">
    <w:nsid w:val="310C50B3"/>
    <w:multiLevelType w:val="hybridMultilevel"/>
    <w:lvl w:ilvl="0">
      <w:lvlJc w:val="left"/>
      <w:lvlText w:val="%1"/>
      <w:numFmt w:val="decimal"/>
      <w:start w:val="14"/>
    </w:lvl>
  </w:abstractNum>
  <w:abstractNum w:abstractNumId="13">
    <w:nsid w:val="5FF87E05"/>
    <w:multiLevelType w:val="hybridMultilevel"/>
    <w:lvl w:ilvl="0">
      <w:lvlJc w:val="left"/>
      <w:lvlText w:val="%1"/>
      <w:numFmt w:val="decimal"/>
      <w:start w:val="15"/>
    </w:lvl>
  </w:abstractNum>
  <w:abstractNum w:abstractNumId="14">
    <w:nsid w:val="2F305DEF"/>
    <w:multiLevelType w:val="hybridMultilevel"/>
    <w:lvl w:ilvl="0">
      <w:lvlJc w:val="left"/>
      <w:lvlText w:val="%1"/>
      <w:numFmt w:val="decimal"/>
      <w:start w:val="16"/>
    </w:lvl>
  </w:abstractNum>
  <w:abstractNum w:abstractNumId="15">
    <w:nsid w:val="25A70BF7"/>
    <w:multiLevelType w:val="hybridMultilevel"/>
    <w:lvl w:ilvl="0">
      <w:lvlJc w:val="left"/>
      <w:lvlText w:val="%1"/>
      <w:numFmt w:val="decimal"/>
      <w:start w:val="18"/>
    </w:lvl>
  </w:abstractNum>
  <w:abstractNum w:abstractNumId="16">
    <w:nsid w:val="1DBABF00"/>
    <w:multiLevelType w:val="hybridMultilevel"/>
    <w:lvl w:ilvl="0">
      <w:lvlJc w:val="left"/>
      <w:lvlText w:val="%1"/>
      <w:numFmt w:val="decimal"/>
      <w:start w:val="22"/>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1)"/>
      <w:numFmt w:val="decimal"/>
      <w:start w:val="2"/>
    </w:lvl>
  </w:abstractNum>
  <w:abstractNum w:abstractNumId="40">
    <w:nsid w:val="A0382C5"/>
    <w:multiLevelType w:val="hybridMultilevel"/>
    <w:lvl w:ilvl="0">
      <w:lvlJc w:val="left"/>
      <w:lvlText w:val="(%1)"/>
      <w:numFmt w:val="decimal"/>
      <w:start w:val="3"/>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1)"/>
      <w:numFmt w:val="decimal"/>
    </w:lvl>
    <w:lvl w:ilvl="1">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1)"/>
      <w:numFmt w:val="decimal"/>
      <w:start w:val="5"/>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lowerRoman"/>
      <w:start w:val="5"/>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1)"/>
      <w:numFmt w:val="decimal"/>
      <w:start w:val="2"/>
    </w:lvl>
  </w:abstractNum>
  <w:abstractNum w:abstractNumId="61">
    <w:nsid w:val="14E17E33"/>
    <w:multiLevelType w:val="hybridMultilevel"/>
    <w:lvl w:ilvl="0">
      <w:lvlJc w:val="left"/>
      <w:lvlText w:val="(%1)"/>
      <w:numFmt w:val="decimal"/>
      <w:start w:val="2"/>
    </w:lvl>
    <w:lvl w:ilvl="1">
      <w:lvlJc w:val="left"/>
      <w:lvlText w:val="•"/>
      <w:numFmt w:val="bullet"/>
      <w:start w:val="1"/>
    </w:lvl>
  </w:abstractNum>
  <w:abstractNum w:abstractNumId="62">
    <w:nsid w:val="3222E7CD"/>
    <w:multiLevelType w:val="hybridMultilevel"/>
    <w:lvl w:ilvl="0">
      <w:lvlJc w:val="left"/>
      <w:lvlText w:val="(%1)"/>
      <w:numFmt w:val="decimal"/>
      <w:start w:val="4"/>
    </w:lvl>
  </w:abstractNum>
  <w:abstractNum w:abstractNumId="63">
    <w:nsid w:val="74DE0EE3"/>
    <w:multiLevelType w:val="hybridMultilevel"/>
    <w:lvl w:ilvl="0">
      <w:lvlJc w:val="left"/>
      <w:lvlText w:val="(%1)"/>
      <w:numFmt w:val="lowerRoman"/>
      <w:start w:val="1"/>
    </w:lvl>
  </w:abstractNum>
  <w:abstractNum w:abstractNumId="64">
    <w:nsid w:val="68EBC550"/>
    <w:multiLevelType w:val="hybridMultilevel"/>
    <w:lvl w:ilvl="0">
      <w:lvlJc w:val="left"/>
      <w:lvlText w:val="(%1)"/>
      <w:numFmt w:val="decimal"/>
      <w:start w:val="1"/>
    </w:lvl>
  </w:abstractNum>
  <w:abstractNum w:abstractNumId="65">
    <w:nsid w:val="2DF6D648"/>
    <w:multiLevelType w:val="hybridMultilevel"/>
    <w:lvl w:ilvl="0">
      <w:lvlJc w:val="left"/>
      <w:lvlText w:val="(%1)"/>
      <w:numFmt w:val="upperLetter"/>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500"/>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1)"/>
      <w:numFmt w:val="decimal"/>
      <w:start w:val="1"/>
    </w:lvl>
  </w:abstractNum>
  <w:abstractNum w:abstractNumId="70">
    <w:nsid w:val="CC1016F"/>
    <w:multiLevelType w:val="hybridMultilevel"/>
    <w:lvl w:ilvl="0">
      <w:lvlJc w:val="left"/>
      <w:lvlText w:val="(%1)"/>
      <w:numFmt w:val="decimal"/>
      <w:start w:val="1"/>
    </w:lvl>
  </w:abstractNum>
  <w:abstractNum w:abstractNumId="71">
    <w:nsid w:val="43F18422"/>
    <w:multiLevelType w:val="hybridMultilevel"/>
    <w:lvl w:ilvl="0">
      <w:lvlJc w:val="left"/>
      <w:lvlText w:val="(%1)"/>
      <w:numFmt w:val="decimal"/>
      <w:start w:val="1"/>
    </w:lvl>
  </w:abstractNum>
  <w:abstractNum w:abstractNumId="72">
    <w:nsid w:val="60EF0119"/>
    <w:multiLevelType w:val="hybridMultilevel"/>
    <w:lvl w:ilvl="0">
      <w:lvlJc w:val="left"/>
      <w:lvlText w:val="(%1)"/>
      <w:numFmt w:val="decimal"/>
      <w:start w:val="2"/>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1"/>
    </w:lvl>
  </w:abstractNum>
  <w:abstractNum w:abstractNumId="75">
    <w:nsid w:val="49DA307D"/>
    <w:multiLevelType w:val="hybridMultilevel"/>
    <w:lvl w:ilvl="0">
      <w:lvlJc w:val="left"/>
      <w:lvlText w:val="(%1)"/>
      <w:numFmt w:val="decimal"/>
      <w:start w:val="1"/>
    </w:lvl>
    <w:lvl w:ilvl="1">
      <w:lvlJc w:val="left"/>
      <w:lvlText w:val="%2."/>
      <w:numFmt w:val="lowerLetter"/>
      <w:start w:val="1"/>
    </w:lvl>
  </w:abstractNum>
  <w:abstractNum w:abstractNumId="76">
    <w:nsid w:val="7055A5F5"/>
    <w:multiLevelType w:val="hybridMultilevel"/>
    <w:lvl w:ilvl="0">
      <w:lvlJc w:val="left"/>
      <w:lvlText w:val="(%1)"/>
      <w:numFmt w:val="decimal"/>
      <w:start w:val="3"/>
    </w:lvl>
  </w:abstractNum>
  <w:abstractNum w:abstractNumId="77">
    <w:nsid w:val="5FB8370B"/>
    <w:multiLevelType w:val="hybridMultilevel"/>
    <w:lvl w:ilvl="0">
      <w:lvlJc w:val="left"/>
      <w:lvlText w:val="(%1)"/>
      <w:numFmt w:val="decimal"/>
      <w:start w:val="1"/>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1)"/>
      <w:numFmt w:val="decimal"/>
      <w:start w:val="1"/>
    </w:lvl>
  </w:abstractNum>
  <w:abstractNum w:abstractNumId="81">
    <w:nsid w:val="6AA78F7F"/>
    <w:multiLevelType w:val="hybridMultilevel"/>
    <w:lvl w:ilvl="0">
      <w:lvlJc w:val="left"/>
      <w:lvlText w:val="(%1)"/>
      <w:numFmt w:val="decimal"/>
      <w:start w:val="5"/>
    </w:lvl>
    <w:lvl w:ilvl="1">
      <w:lvlJc w:val="left"/>
      <w:lvlText w:val="(%2)"/>
      <w:numFmt w:val="lowerRoman"/>
      <w:start w:val="10"/>
    </w:lvl>
  </w:abstractNum>
  <w:abstractNum w:abstractNumId="82">
    <w:nsid w:val="7672BD23"/>
    <w:multiLevelType w:val="hybridMultilevel"/>
    <w:lvl w:ilvl="0">
      <w:lvlJc w:val="left"/>
      <w:lvlText w:val="%1"/>
      <w:numFmt w:val="decimal"/>
      <w:start w:val="1"/>
    </w:lvl>
    <w:lvl w:ilvl="1">
      <w:lvlJc w:val="left"/>
      <w:lvlText w:val="(%2)"/>
      <w:numFmt w:val="lowerRoman"/>
      <w:start w:val="3"/>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1"/>
    </w:lvl>
  </w:abstractNum>
  <w:abstractNum w:abstractNumId="92">
    <w:nsid w:val="6A3DD3E8"/>
    <w:multiLevelType w:val="hybridMultilevel"/>
    <w:lvl w:ilvl="0">
      <w:lvlJc w:val="left"/>
      <w:lvlText w:val="%1."/>
      <w:numFmt w:val="decimal"/>
      <w:start w:val="3"/>
    </w:lvl>
  </w:abstractNum>
  <w:abstractNum w:abstractNumId="93">
    <w:nsid w:val="71C91298"/>
    <w:multiLevelType w:val="hybridMultilevel"/>
    <w:lvl w:ilvl="0">
      <w:lvlJc w:val="left"/>
      <w:lvlText w:val="(%1)"/>
      <w:numFmt w:val="lowerLetter"/>
      <w:start w:val="1"/>
    </w:lvl>
  </w:abstractNum>
  <w:abstractNum w:abstractNumId="94">
    <w:nsid w:val="9DAF632"/>
    <w:multiLevelType w:val="hybridMultilevel"/>
    <w:lvl w:ilvl="0">
      <w:lvlJc w:val="left"/>
      <w:lvlText w:val="(%1)"/>
      <w:numFmt w:val="lowerLetter"/>
      <w:start w:val="1"/>
    </w:lvl>
    <w:lvl w:ilvl="1">
      <w:lvlJc w:val="left"/>
      <w:lvlText w:val="(%2)"/>
      <w:numFmt w:val="lowerRoman"/>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1"/>
    </w:lvl>
    <w:lvl w:ilvl="1">
      <w:lvlJc w:val="left"/>
      <w:lvlText w:val="(%2)"/>
      <w:numFmt w:val="lowerRoman"/>
      <w:start w:val="1"/>
    </w:lvl>
  </w:abstractNum>
  <w:abstractNum w:abstractNumId="97">
    <w:nsid w:val="5092CA79"/>
    <w:multiLevelType w:val="hybridMultilevel"/>
    <w:lvl w:ilvl="0">
      <w:lvlJc w:val="left"/>
      <w:lvlText w:val="(%1)"/>
      <w:numFmt w:val="lowerLetter"/>
      <w:start w:val="4"/>
    </w:lvl>
  </w:abstractNum>
  <w:abstractNum w:abstractNumId="98">
    <w:nsid w:val="1D545C4D"/>
    <w:multiLevelType w:val="hybridMultilevel"/>
    <w:lvl w:ilvl="0">
      <w:lvlJc w:val="left"/>
      <w:lvlText w:val="%1"/>
      <w:numFmt w:val="decimal"/>
      <w:start w:val="1"/>
    </w:lvl>
    <w:lvl w:ilvl="1">
      <w:lvlJc w:val="left"/>
      <w:lvlText w:val="(%2)"/>
      <w:numFmt w:val="lowerLetter"/>
      <w:start w:val="1"/>
    </w:lvl>
  </w:abstractNum>
  <w:abstractNum w:abstractNumId="99">
    <w:nsid w:val="59ADEA3D"/>
    <w:multiLevelType w:val="hybridMultilevel"/>
    <w:lvl w:ilvl="0">
      <w:lvlJc w:val="left"/>
      <w:lvlText w:val="%1."/>
      <w:numFmt w:val="decimal"/>
      <w:start w:val="4"/>
    </w:lvl>
    <w:lvl w:ilvl="1">
      <w:lvlJc w:val="left"/>
      <w:lvlText w:val="%2"/>
      <w:numFmt w:val="lowerLetter"/>
      <w:start w:val="1"/>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lowerLetter"/>
      <w:start w:val="1"/>
    </w:lvl>
    <w:lvl w:ilvl="1">
      <w:lvlJc w:val="left"/>
      <w:lvlText w:val="(%2)"/>
      <w:numFmt w:val="lowerRoman"/>
      <w:start w:val="1"/>
    </w:lvl>
  </w:abstractNum>
  <w:abstractNum w:abstractNumId="102">
    <w:nsid w:val="1D9F6E5F"/>
    <w:multiLevelType w:val="hybridMultilevel"/>
    <w:lvl w:ilvl="0">
      <w:lvlJc w:val="left"/>
      <w:lvlText w:val="(%1)"/>
      <w:numFmt w:val="lowerRoman"/>
      <w:start w:val="7"/>
    </w:lvl>
  </w:abstractNum>
  <w:abstractNum w:abstractNumId="103">
    <w:nsid w:val="97E1B4E"/>
    <w:multiLevelType w:val="hybridMultilevel"/>
    <w:lvl w:ilvl="0">
      <w:lvlJc w:val="left"/>
      <w:lvlText w:val="(%1)"/>
      <w:numFmt w:val="lowerLetter"/>
      <w:start w:val="3"/>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lowerLetter"/>
      <w:start w:val="9"/>
    </w:lvl>
  </w:abstractNum>
  <w:abstractNum w:abstractNumId="106">
    <w:nsid w:val="53584BCB"/>
    <w:multiLevelType w:val="hybridMultilevel"/>
    <w:lvl w:ilvl="0">
      <w:lvlJc w:val="left"/>
      <w:lvlText w:val="(%1)"/>
      <w:numFmt w:val="lowerLetter"/>
      <w:start w:val="3"/>
    </w:lvl>
  </w:abstractNum>
  <w:abstractNum w:abstractNumId="107">
    <w:nsid w:val="415E286C"/>
    <w:multiLevelType w:val="hybridMultilevel"/>
    <w:lvl w:ilvl="0">
      <w:lvlJc w:val="left"/>
      <w:lvlText w:val="%1."/>
      <w:numFmt w:val="decimal"/>
      <w:start w:val="1"/>
    </w:lvl>
  </w:abstractNum>
  <w:abstractNum w:abstractNumId="108">
    <w:nsid w:val="7C58FD05"/>
    <w:multiLevelType w:val="hybridMultilevel"/>
    <w:lvl w:ilvl="0">
      <w:lvlJc w:val="left"/>
      <w:lvlText w:val="%1."/>
      <w:numFmt w:val="decimal"/>
      <w:start w:val="4"/>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2"/>
    </w:lvl>
  </w:abstractNum>
  <w:abstractNum w:abstractNumId="112">
    <w:nsid w:val="E7FFA2B"/>
    <w:multiLevelType w:val="hybridMultilevel"/>
    <w:lvl w:ilvl="0">
      <w:lvlJc w:val="left"/>
      <w:lvlText w:val="%1."/>
      <w:numFmt w:val="decimal"/>
      <w:start w:val="3"/>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2026-05-05T15:16:00Z</dcterms:created>
  <dcterms:modified xsi:type="dcterms:W3CDTF">2026-05-05T15:16:00Z</dcterms:modified>
</cp:coreProperties>
</file>