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60" w:right="1440"/>
        <w:spacing w:after="0" w:line="272" w:lineRule="auto"/>
        <w:rPr>
          <w:sz w:val="20"/>
          <w:szCs w:val="20"/>
          <w:color w:val="auto"/>
        </w:rPr>
      </w:pPr>
      <w:r>
        <w:rPr>
          <w:rFonts w:ascii="Arial" w:cs="Arial" w:eastAsia="Arial" w:hAnsi="Arial"/>
          <w:sz w:val="18"/>
          <w:szCs w:val="18"/>
          <w:color w:val="auto"/>
        </w:rPr>
        <w:t>INFORMATION TO BE INCLUDED IN STATEMENTS FILED PURSUANT TO RULES 13d-1 (b), (c) AND (d) AND AMENDMENTS THERETO FILED PURSUANT TO 13d-2 (b) (Amendment No. __)*</w:t>
      </w:r>
    </w:p>
    <w:p>
      <w:pPr>
        <w:spacing w:after="0" w:line="393"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CrowdStrike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Class A Common Stock, $0.0005 par value</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ind w:left="60"/>
        <w:spacing w:after="0"/>
        <w:rPr>
          <w:sz w:val="20"/>
          <w:szCs w:val="20"/>
          <w:color w:val="auto"/>
        </w:rPr>
      </w:pPr>
      <w:r>
        <w:rPr>
          <w:rFonts w:ascii="Arial" w:cs="Arial" w:eastAsia="Arial" w:hAnsi="Arial"/>
          <w:sz w:val="18"/>
          <w:szCs w:val="18"/>
          <w:color w:val="auto"/>
        </w:rPr>
        <w:t>22788C105</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2019</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300" w:hanging="320"/>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78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34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CUSIP NO. 22788C105</w:t>
            </w:r>
          </w:p>
        </w:tc>
        <w:tc>
          <w:tcPr>
            <w:tcW w:w="8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24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rPr>
              <w:t>Accel Leaders Fund L.P. (“ALF”)</w:t>
            </w: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380" w:type="dxa"/>
            <w:vAlign w:val="bottom"/>
            <w:tcBorders>
              <w:right w:val="single" w:sz="8" w:color="auto"/>
            </w:tcBorders>
            <w:vMerge w:val="restart"/>
          </w:tcPr>
          <w:p>
            <w:pPr>
              <w:jc w:val="right"/>
              <w:ind w:right="19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80" w:type="dxa"/>
            <w:vAlign w:val="bottom"/>
          </w:tcPr>
          <w:p>
            <w:pPr>
              <w:ind w:left="2160"/>
              <w:spacing w:after="0"/>
              <w:rPr>
                <w:sz w:val="20"/>
                <w:szCs w:val="20"/>
                <w:color w:val="auto"/>
              </w:rPr>
            </w:pPr>
            <w:r>
              <w:rPr>
                <w:rFonts w:ascii="Arial" w:cs="Arial" w:eastAsia="Arial" w:hAnsi="Arial"/>
                <w:sz w:val="18"/>
                <w:szCs w:val="18"/>
                <w:color w:val="auto"/>
              </w:rPr>
              <w:t>(a)</w:t>
            </w:r>
          </w:p>
        </w:tc>
        <w:tc>
          <w:tcPr>
            <w:tcW w:w="13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9,174,696 shares, 620,360 of which are Class A Common Stock and 8,554,336 of which are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issuable upon conversion of Class B Common Stock, all of such shares are directly owned by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ALF. Accel Leaders Fund Associates L.L.C. (“ALFA”) the general partner of ALF, may be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deemed to have sole power to vote these shares.</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9,174,696 shares, 620,360 of which are Class A Common Stock and 8,554,336 of which are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issuable upon conversion of Class B Common Stock, all of such shares are directly owned by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4"/>
              </w:rPr>
              <w:t>ALF. ALFA, the general partner of ALF, may be deemed to have sole power to dispose of these</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9,174,696</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980" w:type="dxa"/>
            <w:vAlign w:val="bottom"/>
            <w:tcBorders>
              <w:bottom w:val="single" w:sz="8" w:color="auto"/>
            </w:tcBorders>
            <w:gridSpan w:val="5"/>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80" w:type="dxa"/>
            <w:vAlign w:val="bottom"/>
            <w:tcBorders>
              <w:right w:val="single" w:sz="8" w:color="auto"/>
            </w:tcBorders>
          </w:tcPr>
          <w:p>
            <w:pPr>
              <w:jc w:val="right"/>
              <w:ind w:right="1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tcBorders>
            <w:gridSpan w:val="5"/>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3080" w:type="dxa"/>
            <w:vAlign w:val="bottom"/>
            <w:tcBorders>
              <w:bottom w:val="single" w:sz="8" w:color="auto"/>
            </w:tcBorders>
            <w:gridSpan w:val="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8"/>
        <w:spacing w:after="0" w:line="259"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49,425,691 shares of Class A Common Stock, calculated as follows, (i) 40,871,355 shares of Class A Common Stock outstanding, as of November 29, 2019, as reported by the Issuer in its Quarterly Report on Form 10-Q for the quarter ended September 30, 2019, filed with the Securities and Exchange Commission on December 6, 2019 (the “Form 10-Q”), plus (ii) 8,554,336 shares of Class A Common Stock issuable upon conversion of shares of Class B Common Stock held by 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334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CUSIP NO. 22788C105</w:t>
            </w:r>
          </w:p>
        </w:tc>
        <w:tc>
          <w:tcPr>
            <w:tcW w:w="8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24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980" w:type="dxa"/>
            <w:vAlign w:val="bottom"/>
            <w:gridSpan w:val="5"/>
          </w:tcPr>
          <w:p>
            <w:pPr>
              <w:ind w:left="400"/>
              <w:spacing w:after="0"/>
              <w:rPr>
                <w:sz w:val="20"/>
                <w:szCs w:val="20"/>
                <w:color w:val="auto"/>
              </w:rPr>
            </w:pPr>
            <w:r>
              <w:rPr>
                <w:rFonts w:ascii="Arial" w:cs="Arial" w:eastAsia="Arial" w:hAnsi="Arial"/>
                <w:sz w:val="18"/>
                <w:szCs w:val="18"/>
                <w:color w:val="auto"/>
              </w:rPr>
              <w:t>Accel Leaders Fund Associates L.L.C.</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380" w:type="dxa"/>
            <w:vAlign w:val="bottom"/>
            <w:tcBorders>
              <w:right w:val="single" w:sz="8" w:color="auto"/>
            </w:tcBorders>
            <w:vMerge w:val="restart"/>
          </w:tcPr>
          <w:p>
            <w:pPr>
              <w:jc w:val="right"/>
              <w:ind w:right="19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80" w:type="dxa"/>
            <w:vAlign w:val="bottom"/>
          </w:tcPr>
          <w:p>
            <w:pPr>
              <w:ind w:left="2160"/>
              <w:spacing w:after="0"/>
              <w:rPr>
                <w:sz w:val="20"/>
                <w:szCs w:val="20"/>
                <w:color w:val="auto"/>
              </w:rPr>
            </w:pPr>
            <w:r>
              <w:rPr>
                <w:rFonts w:ascii="Arial" w:cs="Arial" w:eastAsia="Arial" w:hAnsi="Arial"/>
                <w:sz w:val="18"/>
                <w:szCs w:val="18"/>
                <w:color w:val="auto"/>
              </w:rPr>
              <w:t>(a)</w:t>
            </w:r>
          </w:p>
        </w:tc>
        <w:tc>
          <w:tcPr>
            <w:tcW w:w="13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9,174,696 shares, 620,360 of which are Class A Common Stock and 8,554,336 of which are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issuable upon conversion of Class B Common Stock, all of such shares which are directly owned</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by ALF. ALFA, the general partner of ALF, may be deemed to have sole power to vote these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shares.</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9,174,696 shares, 620,360 of which are Class A Common Stock and 8,554,336 of which are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issuable upon conversion of Class B Common Stock, all of such shares are directly owned by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4"/>
              </w:rPr>
              <w:t>ALF. ALFA, the general partner of ALF, may be deemed to have sole power to dispose of these</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9,174,696</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980" w:type="dxa"/>
            <w:vAlign w:val="bottom"/>
            <w:tcBorders>
              <w:bottom w:val="single" w:sz="8" w:color="auto"/>
            </w:tcBorders>
            <w:gridSpan w:val="5"/>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80" w:type="dxa"/>
            <w:vAlign w:val="bottom"/>
            <w:tcBorders>
              <w:right w:val="single" w:sz="8" w:color="auto"/>
            </w:tcBorders>
          </w:tcPr>
          <w:p>
            <w:pPr>
              <w:jc w:val="right"/>
              <w:ind w:right="1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tcBorders>
            <w:gridSpan w:val="5"/>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3080" w:type="dxa"/>
            <w:vAlign w:val="bottom"/>
            <w:tcBorders>
              <w:bottom w:val="single" w:sz="8" w:color="auto"/>
            </w:tcBorders>
            <w:gridSpan w:val="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8"/>
        <w:spacing w:after="0" w:line="264"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49,425,691 shares of Class A Common Stock, calculated as follows, (i) 40,871,355 shares of Class A Common Stock outstanding, as of November 29, 2019, as reported by the Issuer in its Form 10-Q, plus (ii) 8,554,336 shares of Class A Common Stock issuable upon conversion of shares of Class B Common Stock held by 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334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CUSIP NO. 22788C105</w:t>
            </w:r>
          </w:p>
        </w:tc>
        <w:tc>
          <w:tcPr>
            <w:tcW w:w="8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28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NAME OF REPORTING PERSONS</w:t>
            </w: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360" w:type="dxa"/>
            <w:vAlign w:val="bottom"/>
            <w:gridSpan w:val="5"/>
          </w:tcPr>
          <w:p>
            <w:pPr>
              <w:ind w:left="80"/>
              <w:spacing w:after="0"/>
              <w:rPr>
                <w:sz w:val="20"/>
                <w:szCs w:val="20"/>
                <w:color w:val="auto"/>
              </w:rPr>
            </w:pPr>
            <w:r>
              <w:rPr>
                <w:rFonts w:ascii="Arial" w:cs="Arial" w:eastAsia="Arial" w:hAnsi="Arial"/>
                <w:sz w:val="18"/>
                <w:szCs w:val="18"/>
                <w:color w:val="auto"/>
              </w:rPr>
              <w:t>I.R.S. IDENTIFICATION NO. OF ABOVE PERSON</w:t>
            </w: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9360" w:type="dxa"/>
            <w:vAlign w:val="bottom"/>
            <w:gridSpan w:val="5"/>
          </w:tcPr>
          <w:p>
            <w:pPr>
              <w:ind w:left="740"/>
              <w:spacing w:after="0"/>
              <w:rPr>
                <w:sz w:val="20"/>
                <w:szCs w:val="20"/>
                <w:color w:val="auto"/>
              </w:rPr>
            </w:pPr>
            <w:r>
              <w:rPr>
                <w:rFonts w:ascii="Arial" w:cs="Arial" w:eastAsia="Arial" w:hAnsi="Arial"/>
                <w:sz w:val="18"/>
                <w:szCs w:val="18"/>
                <w:color w:val="auto"/>
              </w:rPr>
              <w:t>Accel Leaders Fund Investors 2016 L.L.C. (“ALFI16”)</w:t>
            </w: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280" w:type="dxa"/>
            <w:vAlign w:val="bottom"/>
            <w:tcBorders>
              <w:bottom w:val="single" w:sz="8" w:color="auto"/>
            </w:tcBorders>
            <w:gridSpan w:val="3"/>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1"/>
                <w:szCs w:val="21"/>
                <w:color w:val="auto"/>
              </w:rPr>
            </w:pPr>
          </w:p>
        </w:tc>
        <w:tc>
          <w:tcPr>
            <w:tcW w:w="936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000" w:type="dxa"/>
            <w:vAlign w:val="bottom"/>
            <w:tcBorders>
              <w:right w:val="single" w:sz="8" w:color="auto"/>
            </w:tcBorders>
            <w:vMerge w:val="restart"/>
          </w:tcPr>
          <w:p>
            <w:pPr>
              <w:jc w:val="right"/>
              <w:ind w:right="1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60" w:type="dxa"/>
            <w:vAlign w:val="bottom"/>
          </w:tcPr>
          <w:p>
            <w:pPr>
              <w:ind w:left="2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280" w:type="dxa"/>
            <w:vAlign w:val="bottom"/>
            <w:tcBorders>
              <w:bottom w:val="single" w:sz="8" w:color="auto"/>
            </w:tcBorders>
            <w:gridSpan w:val="3"/>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936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280" w:type="dxa"/>
            <w:vAlign w:val="bottom"/>
            <w:tcBorders>
              <w:bottom w:val="single" w:sz="8" w:color="auto"/>
            </w:tcBorders>
            <w:gridSpan w:val="3"/>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628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3"/>
              </w:rPr>
              <w:t>438,356 shares, 29,640 of which are Class A Common Stock and 408,716 of which are issuable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upon conversion of Class B Common Stock, all of such shares are directly owned by ALFI16.</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6280" w:type="dxa"/>
            <w:vAlign w:val="bottom"/>
            <w:tcBorders>
              <w:bottom w:val="single" w:sz="8" w:color="auto"/>
            </w:tcBorders>
            <w:gridSpan w:val="3"/>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628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28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6280" w:type="dxa"/>
            <w:vAlign w:val="bottom"/>
            <w:tcBorders>
              <w:bottom w:val="single" w:sz="8" w:color="auto"/>
            </w:tcBorders>
            <w:gridSpan w:val="3"/>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628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3"/>
              </w:rPr>
              <w:t>438,356 shares, 29,640 of which are Class A Common Stock and 408,716 of which are issuable</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upon conversion of Class B Common Stock, all of such shares are directly owned by ALFI16.</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6280" w:type="dxa"/>
            <w:vAlign w:val="bottom"/>
            <w:tcBorders>
              <w:bottom w:val="single" w:sz="8" w:color="auto"/>
            </w:tcBorders>
            <w:gridSpan w:val="3"/>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628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28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6280" w:type="dxa"/>
            <w:vAlign w:val="bottom"/>
            <w:tcBorders>
              <w:bottom w:val="single" w:sz="8" w:color="auto"/>
            </w:tcBorders>
            <w:gridSpan w:val="3"/>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936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00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438,356</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9360" w:type="dxa"/>
            <w:vAlign w:val="bottom"/>
            <w:tcBorders>
              <w:bottom w:val="single" w:sz="8" w:color="auto"/>
            </w:tcBorders>
            <w:gridSpan w:val="5"/>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936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000" w:type="dxa"/>
            <w:vAlign w:val="bottom"/>
            <w:tcBorders>
              <w:right w:val="single" w:sz="8" w:color="auto"/>
            </w:tcBorders>
          </w:tcPr>
          <w:p>
            <w:pPr>
              <w:jc w:val="right"/>
              <w:ind w:right="1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9360" w:type="dxa"/>
            <w:vAlign w:val="bottom"/>
            <w:tcBorders>
              <w:bottom w:val="single" w:sz="8" w:color="auto"/>
            </w:tcBorders>
            <w:gridSpan w:val="5"/>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936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00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3080" w:type="dxa"/>
            <w:vAlign w:val="bottom"/>
            <w:tcBorders>
              <w:bottom w:val="single" w:sz="8" w:color="auto"/>
            </w:tcBorders>
            <w:gridSpan w:val="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8"/>
        <w:spacing w:after="0" w:line="264"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41,280,071 shares of Class A Common Stock, calculated as follows, (i) 40,871,355 shares of Class A Common Stock outstanding, as of November 29, 2019, as reported by the Issuer in its Form 10-Q, plus (ii) 408,716 shares of Class A Common Stock issuable upon conversion of shares of Class B Common Stock held by ALFI16.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334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CUSIP NO. 22788C105</w:t>
            </w:r>
          </w:p>
        </w:tc>
        <w:tc>
          <w:tcPr>
            <w:tcW w:w="8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24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980" w:type="dxa"/>
            <w:vAlign w:val="bottom"/>
            <w:gridSpan w:val="6"/>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140" w:type="dxa"/>
            <w:vAlign w:val="bottom"/>
            <w:gridSpan w:val="3"/>
          </w:tcPr>
          <w:p>
            <w:pPr>
              <w:ind w:left="400"/>
              <w:spacing w:after="0"/>
              <w:rPr>
                <w:sz w:val="20"/>
                <w:szCs w:val="20"/>
                <w:color w:val="auto"/>
              </w:rPr>
            </w:pPr>
            <w:r>
              <w:rPr>
                <w:rFonts w:ascii="Arial" w:cs="Arial" w:eastAsia="Arial" w:hAnsi="Arial"/>
                <w:sz w:val="18"/>
                <w:szCs w:val="18"/>
                <w:color w:val="auto"/>
                <w:w w:val="96"/>
              </w:rPr>
              <w:t>Accel Growth Fund II L.P. (“AGF2”)</w:t>
            </w:r>
          </w:p>
        </w:tc>
        <w:tc>
          <w:tcPr>
            <w:tcW w:w="1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4"/>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4"/>
                <w:szCs w:val="24"/>
                <w:color w:val="auto"/>
              </w:rPr>
            </w:pPr>
          </w:p>
        </w:tc>
        <w:tc>
          <w:tcPr>
            <w:tcW w:w="8980" w:type="dxa"/>
            <w:vAlign w:val="bottom"/>
            <w:gridSpan w:val="6"/>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380" w:type="dxa"/>
            <w:vAlign w:val="bottom"/>
            <w:tcBorders>
              <w:right w:val="single" w:sz="8" w:color="auto"/>
            </w:tcBorders>
            <w:vMerge w:val="restart"/>
          </w:tcPr>
          <w:p>
            <w:pPr>
              <w:jc w:val="right"/>
              <w:ind w:right="19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80" w:type="dxa"/>
            <w:vAlign w:val="bottom"/>
          </w:tcPr>
          <w:p>
            <w:pPr>
              <w:ind w:left="2160"/>
              <w:spacing w:after="0"/>
              <w:rPr>
                <w:sz w:val="20"/>
                <w:szCs w:val="20"/>
                <w:color w:val="auto"/>
              </w:rPr>
            </w:pPr>
            <w:r>
              <w:rPr>
                <w:rFonts w:ascii="Arial" w:cs="Arial" w:eastAsia="Arial" w:hAnsi="Arial"/>
                <w:sz w:val="18"/>
                <w:szCs w:val="18"/>
                <w:color w:val="auto"/>
              </w:rPr>
              <w:t>(a)</w:t>
            </w:r>
          </w:p>
        </w:tc>
        <w:tc>
          <w:tcPr>
            <w:tcW w:w="13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4"/>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8980" w:type="dxa"/>
            <w:vAlign w:val="bottom"/>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5840" w:type="dxa"/>
            <w:vAlign w:val="bottom"/>
            <w:gridSpan w:val="3"/>
          </w:tcPr>
          <w:p>
            <w:pPr>
              <w:ind w:left="20"/>
              <w:spacing w:after="0"/>
              <w:rPr>
                <w:sz w:val="20"/>
                <w:szCs w:val="20"/>
                <w:color w:val="auto"/>
              </w:rPr>
            </w:pPr>
            <w:r>
              <w:rPr>
                <w:rFonts w:ascii="Arial" w:cs="Arial" w:eastAsia="Arial" w:hAnsi="Arial"/>
                <w:sz w:val="18"/>
                <w:szCs w:val="18"/>
                <w:color w:val="auto"/>
              </w:rPr>
              <w:t>SOLE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3"/>
              </w:rPr>
              <w:t>17,868,644 shares issuable upon conversion of Class B Common Stock, all of which are directly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9"/>
              </w:rPr>
              <w:t>owned by AGF2. Accel Growth Fund II Associates L.L.C. (“AGF2A”), the general partner of</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gridSpan w:val="3"/>
          </w:tcPr>
          <w:p>
            <w:pPr>
              <w:ind w:left="20"/>
              <w:spacing w:after="0"/>
              <w:rPr>
                <w:sz w:val="20"/>
                <w:szCs w:val="20"/>
                <w:color w:val="auto"/>
              </w:rPr>
            </w:pPr>
            <w:r>
              <w:rPr>
                <w:rFonts w:ascii="Arial" w:cs="Arial" w:eastAsia="Arial" w:hAnsi="Arial"/>
                <w:sz w:val="18"/>
                <w:szCs w:val="18"/>
                <w:color w:val="auto"/>
              </w:rPr>
              <w:t>AGF2, may be deemed to have sole power to vote these shares.</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5840" w:type="dxa"/>
            <w:vAlign w:val="bottom"/>
            <w:gridSpan w:val="3"/>
          </w:tcPr>
          <w:p>
            <w:pPr>
              <w:ind w:left="20"/>
              <w:spacing w:after="0"/>
              <w:rPr>
                <w:sz w:val="20"/>
                <w:szCs w:val="20"/>
                <w:color w:val="auto"/>
              </w:rPr>
            </w:pPr>
            <w:r>
              <w:rPr>
                <w:rFonts w:ascii="Arial" w:cs="Arial" w:eastAsia="Arial" w:hAnsi="Arial"/>
                <w:sz w:val="18"/>
                <w:szCs w:val="18"/>
                <w:color w:val="auto"/>
              </w:rPr>
              <w:t>SHARED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840" w:type="dxa"/>
            <w:vAlign w:val="bottom"/>
            <w:gridSpan w:val="3"/>
          </w:tcPr>
          <w:p>
            <w:pPr>
              <w:ind w:left="20"/>
              <w:spacing w:after="0"/>
              <w:rPr>
                <w:sz w:val="20"/>
                <w:szCs w:val="20"/>
                <w:color w:val="auto"/>
              </w:rPr>
            </w:pPr>
            <w:r>
              <w:rPr>
                <w:rFonts w:ascii="Arial" w:cs="Arial" w:eastAsia="Arial" w:hAnsi="Arial"/>
                <w:sz w:val="18"/>
                <w:szCs w:val="18"/>
                <w:color w:val="auto"/>
              </w:rPr>
              <w:t>See response to row 5.</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c>
          <w:tcPr>
            <w:tcW w:w="5840" w:type="dxa"/>
            <w:vAlign w:val="bottom"/>
            <w:gridSpan w:val="3"/>
          </w:tcPr>
          <w:p>
            <w:pPr>
              <w:ind w:left="20"/>
              <w:spacing w:after="0"/>
              <w:rPr>
                <w:sz w:val="20"/>
                <w:szCs w:val="20"/>
                <w:color w:val="auto"/>
              </w:rPr>
            </w:pPr>
            <w:r>
              <w:rPr>
                <w:rFonts w:ascii="Arial" w:cs="Arial" w:eastAsia="Arial" w:hAnsi="Arial"/>
                <w:sz w:val="18"/>
                <w:szCs w:val="18"/>
                <w:color w:val="auto"/>
              </w:rPr>
              <w:t>SOLE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3"/>
              </w:rPr>
              <w:t>17,868,644 shares issuable upon conversion of Class B Common Stock, all of which are directly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22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color w:val="auto"/>
                <w:w w:val="95"/>
              </w:rPr>
              <w:t>owned by AGF2. AGF2A, the general partner of AGF2, may be deemed to have sole power to</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840" w:type="dxa"/>
            <w:vAlign w:val="bottom"/>
            <w:gridSpan w:val="3"/>
          </w:tcPr>
          <w:p>
            <w:pPr>
              <w:ind w:left="20"/>
              <w:spacing w:after="0"/>
              <w:rPr>
                <w:sz w:val="20"/>
                <w:szCs w:val="20"/>
                <w:color w:val="auto"/>
              </w:rPr>
            </w:pPr>
            <w:r>
              <w:rPr>
                <w:rFonts w:ascii="Arial" w:cs="Arial" w:eastAsia="Arial" w:hAnsi="Arial"/>
                <w:sz w:val="18"/>
                <w:szCs w:val="18"/>
                <w:color w:val="auto"/>
              </w:rPr>
              <w:t>dispose of these shares.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4"/>
                <w:szCs w:val="24"/>
                <w:color w:val="auto"/>
              </w:rPr>
            </w:pPr>
          </w:p>
        </w:tc>
        <w:tc>
          <w:tcPr>
            <w:tcW w:w="5840" w:type="dxa"/>
            <w:vAlign w:val="bottom"/>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840" w:type="dxa"/>
            <w:vAlign w:val="bottom"/>
            <w:gridSpan w:val="3"/>
          </w:tcPr>
          <w:p>
            <w:pPr>
              <w:ind w:left="20"/>
              <w:spacing w:after="0"/>
              <w:rPr>
                <w:sz w:val="20"/>
                <w:szCs w:val="20"/>
                <w:color w:val="auto"/>
              </w:rPr>
            </w:pPr>
            <w:r>
              <w:rPr>
                <w:rFonts w:ascii="Arial" w:cs="Arial" w:eastAsia="Arial" w:hAnsi="Arial"/>
                <w:sz w:val="18"/>
                <w:szCs w:val="18"/>
                <w:color w:val="auto"/>
              </w:rPr>
              <w:t>See response to row 7.</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4"/>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8980" w:type="dxa"/>
            <w:vAlign w:val="bottom"/>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17,868,644</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980" w:type="dxa"/>
            <w:vAlign w:val="bottom"/>
            <w:tcBorders>
              <w:bottom w:val="single" w:sz="8" w:color="auto"/>
            </w:tcBorders>
            <w:gridSpan w:val="6"/>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8980" w:type="dxa"/>
            <w:vAlign w:val="bottom"/>
            <w:gridSpan w:val="6"/>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80" w:type="dxa"/>
            <w:vAlign w:val="bottom"/>
            <w:tcBorders>
              <w:right w:val="single" w:sz="8" w:color="auto"/>
            </w:tcBorders>
          </w:tcPr>
          <w:p>
            <w:pPr>
              <w:jc w:val="right"/>
              <w:ind w:right="1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tcBorders>
            <w:gridSpan w:val="6"/>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8980" w:type="dxa"/>
            <w:vAlign w:val="bottom"/>
            <w:gridSpan w:val="6"/>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30.4% (1)</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3140" w:type="dxa"/>
            <w:vAlign w:val="bottom"/>
            <w:tcBorders>
              <w:bottom w:val="single" w:sz="8" w:color="auto"/>
            </w:tcBorders>
            <w:gridSpan w:val="3"/>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1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1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8"/>
        <w:spacing w:after="0" w:line="264"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58,739,999 shares of Class A Common Stock, calculated as follows, (i) 40,871,355 shares of Class A Common Stock outstanding, as of November 29, 2019, as reported by the Issuer in its Form 10-Q, plus (ii) 17,868,644 shares of Class A Common Stock issuable upon conversion of Class B Common Stock held by AGF2.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334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CUSIP NO. 22788C105</w:t>
            </w:r>
          </w:p>
        </w:tc>
        <w:tc>
          <w:tcPr>
            <w:tcW w:w="8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24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980" w:type="dxa"/>
            <w:vAlign w:val="bottom"/>
            <w:gridSpan w:val="5"/>
          </w:tcPr>
          <w:p>
            <w:pPr>
              <w:ind w:left="400"/>
              <w:spacing w:after="0"/>
              <w:rPr>
                <w:sz w:val="20"/>
                <w:szCs w:val="20"/>
                <w:color w:val="auto"/>
              </w:rPr>
            </w:pPr>
            <w:r>
              <w:rPr>
                <w:rFonts w:ascii="Arial" w:cs="Arial" w:eastAsia="Arial" w:hAnsi="Arial"/>
                <w:sz w:val="18"/>
                <w:szCs w:val="18"/>
                <w:color w:val="auto"/>
              </w:rPr>
              <w:t>Accel Growth Fund II Strategic Partners L.P. (“AGF2SP”)</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380" w:type="dxa"/>
            <w:vAlign w:val="bottom"/>
            <w:tcBorders>
              <w:right w:val="single" w:sz="8" w:color="auto"/>
            </w:tcBorders>
            <w:vMerge w:val="restart"/>
          </w:tcPr>
          <w:p>
            <w:pPr>
              <w:jc w:val="right"/>
              <w:ind w:right="19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80" w:type="dxa"/>
            <w:vAlign w:val="bottom"/>
          </w:tcPr>
          <w:p>
            <w:pPr>
              <w:ind w:left="2160"/>
              <w:spacing w:after="0"/>
              <w:rPr>
                <w:sz w:val="20"/>
                <w:szCs w:val="20"/>
                <w:color w:val="auto"/>
              </w:rPr>
            </w:pPr>
            <w:r>
              <w:rPr>
                <w:rFonts w:ascii="Arial" w:cs="Arial" w:eastAsia="Arial" w:hAnsi="Arial"/>
                <w:sz w:val="18"/>
                <w:szCs w:val="18"/>
                <w:color w:val="auto"/>
              </w:rPr>
              <w:t>(a)</w:t>
            </w:r>
          </w:p>
        </w:tc>
        <w:tc>
          <w:tcPr>
            <w:tcW w:w="13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4"/>
              </w:rPr>
              <w:t>1,294,403 shares issuable upon conversion of Class B Common Stock, all of which are directly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owned by AGF2SP. AGF2A, the general partner of AGF2SP, may be deemed to have sole power</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to vote these shares.</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4"/>
              </w:rPr>
              <w:t>1,294,403 shares issuable upon conversion of Class B Common Stock, all of which are directly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owned by AGF2SP. AGF2A, the general partner of AGF2SP, may be deemed to have sole power</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to dispose of these shares.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1,294,403</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980" w:type="dxa"/>
            <w:vAlign w:val="bottom"/>
            <w:tcBorders>
              <w:bottom w:val="single" w:sz="8" w:color="auto"/>
            </w:tcBorders>
            <w:gridSpan w:val="5"/>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80" w:type="dxa"/>
            <w:vAlign w:val="bottom"/>
            <w:tcBorders>
              <w:right w:val="single" w:sz="8" w:color="auto"/>
            </w:tcBorders>
          </w:tcPr>
          <w:p>
            <w:pPr>
              <w:jc w:val="right"/>
              <w:ind w:right="1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tcBorders>
            <w:gridSpan w:val="5"/>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3080" w:type="dxa"/>
            <w:vAlign w:val="bottom"/>
            <w:tcBorders>
              <w:bottom w:val="single" w:sz="8" w:color="auto"/>
            </w:tcBorders>
            <w:gridSpan w:val="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8"/>
        <w:spacing w:after="0" w:line="264"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42,165,758 shares of Class A Common Stock, calculated as follows, (i) 40,871,355 shares of Class A Common Stock outstanding, as of November 29, 2019, as reported by the Issuer in its Form 10-Q, plus (ii) 1,294,403 shares of Class A Common Stock issuable upon conversion of shares of Class B Common Stock held by AGF2SP.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0"/>
        </w:trPr>
        <w:tc>
          <w:tcPr>
            <w:tcW w:w="334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CUSIP NO. 22788C105</w:t>
            </w:r>
          </w:p>
        </w:tc>
        <w:tc>
          <w:tcPr>
            <w:tcW w:w="8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24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980" w:type="dxa"/>
            <w:vAlign w:val="bottom"/>
            <w:gridSpan w:val="5"/>
          </w:tcPr>
          <w:p>
            <w:pPr>
              <w:ind w:left="400"/>
              <w:spacing w:after="0"/>
              <w:rPr>
                <w:sz w:val="20"/>
                <w:szCs w:val="20"/>
                <w:color w:val="auto"/>
              </w:rPr>
            </w:pPr>
            <w:r>
              <w:rPr>
                <w:rFonts w:ascii="Arial" w:cs="Arial" w:eastAsia="Arial" w:hAnsi="Arial"/>
                <w:sz w:val="18"/>
                <w:szCs w:val="18"/>
                <w:color w:val="auto"/>
              </w:rPr>
              <w:t>Accel Growth Fund II Associates L.L.C.</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380" w:type="dxa"/>
            <w:vAlign w:val="bottom"/>
            <w:tcBorders>
              <w:right w:val="single" w:sz="8" w:color="auto"/>
            </w:tcBorders>
            <w:vMerge w:val="restart"/>
          </w:tcPr>
          <w:p>
            <w:pPr>
              <w:jc w:val="right"/>
              <w:ind w:right="19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80" w:type="dxa"/>
            <w:vAlign w:val="bottom"/>
          </w:tcPr>
          <w:p>
            <w:pPr>
              <w:ind w:left="2160"/>
              <w:spacing w:after="0"/>
              <w:rPr>
                <w:sz w:val="20"/>
                <w:szCs w:val="20"/>
                <w:color w:val="auto"/>
              </w:rPr>
            </w:pPr>
            <w:r>
              <w:rPr>
                <w:rFonts w:ascii="Arial" w:cs="Arial" w:eastAsia="Arial" w:hAnsi="Arial"/>
                <w:sz w:val="18"/>
                <w:szCs w:val="18"/>
                <w:color w:val="auto"/>
              </w:rPr>
              <w:t>(a)</w:t>
            </w:r>
          </w:p>
        </w:tc>
        <w:tc>
          <w:tcPr>
            <w:tcW w:w="13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19,163,047 shares issuable upon conversion of Class B Common Stock, of which 17,868,644 are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directly owned by AGF2 and 1,294,403 are directly owned by AGF2SP. AGF2A, the general</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partner of AGF2 and AGF2SP, may be deemed to have sole power to vote these shares.</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19,163,047 shares issuable upon conversion of Class B Common Stock, of which 17,868,644 are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directly owned by AGF2 and 1,294,403 are directly owned by AGF2SP. AGF2A, the general</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4"/>
              </w:rPr>
              <w:t>partner of AGF2 and AGF2SP, may be deemed to have sole power to dispose of these shares.</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19,163,047</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980" w:type="dxa"/>
            <w:vAlign w:val="bottom"/>
            <w:tcBorders>
              <w:bottom w:val="single" w:sz="8" w:color="auto"/>
            </w:tcBorders>
            <w:gridSpan w:val="5"/>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80" w:type="dxa"/>
            <w:vAlign w:val="bottom"/>
            <w:tcBorders>
              <w:right w:val="single" w:sz="8" w:color="auto"/>
            </w:tcBorders>
          </w:tcPr>
          <w:p>
            <w:pPr>
              <w:jc w:val="right"/>
              <w:ind w:right="1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tcBorders>
            <w:gridSpan w:val="5"/>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3080" w:type="dxa"/>
            <w:vAlign w:val="bottom"/>
            <w:tcBorders>
              <w:bottom w:val="single" w:sz="8" w:color="auto"/>
            </w:tcBorders>
            <w:gridSpan w:val="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8"/>
        <w:spacing w:after="0" w:line="259"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60,034,402 shares of Class A Common Stock, calculated as follows, (i) 40,871,355 shares of Class A Common Stock outstanding, as of November 29, 2019, as reported by the Issuer in its Form 10-Q, plus (ii) 17,868,644 shares of Class A Common Stock issuable upon conversion of shares of Class B Common Stock held by AGF2, plus (iii) 1,294,403 shares of Class A Common Stock issuable upon conversion of shares of Class B Common Stock held by AGF2SP.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334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CUSIP NO. 22788C105</w:t>
            </w:r>
          </w:p>
        </w:tc>
        <w:tc>
          <w:tcPr>
            <w:tcW w:w="8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24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980" w:type="dxa"/>
            <w:vAlign w:val="bottom"/>
            <w:gridSpan w:val="5"/>
          </w:tcPr>
          <w:p>
            <w:pPr>
              <w:jc w:val="center"/>
              <w:ind w:right="4090"/>
              <w:spacing w:after="0"/>
              <w:rPr>
                <w:sz w:val="20"/>
                <w:szCs w:val="20"/>
                <w:color w:val="auto"/>
              </w:rPr>
            </w:pPr>
            <w:r>
              <w:rPr>
                <w:rFonts w:ascii="Arial" w:cs="Arial" w:eastAsia="Arial" w:hAnsi="Arial"/>
                <w:sz w:val="18"/>
                <w:szCs w:val="18"/>
                <w:color w:val="auto"/>
                <w:w w:val="95"/>
              </w:rPr>
              <w:t>Accel Growth Fund Investors 2013 L.L.C. (“AGFI13”)</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380" w:type="dxa"/>
            <w:vAlign w:val="bottom"/>
            <w:tcBorders>
              <w:right w:val="single" w:sz="8" w:color="auto"/>
            </w:tcBorders>
            <w:vMerge w:val="restart"/>
          </w:tcPr>
          <w:p>
            <w:pPr>
              <w:jc w:val="right"/>
              <w:ind w:right="19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80" w:type="dxa"/>
            <w:vAlign w:val="bottom"/>
          </w:tcPr>
          <w:p>
            <w:pPr>
              <w:ind w:left="2160"/>
              <w:spacing w:after="0"/>
              <w:rPr>
                <w:sz w:val="20"/>
                <w:szCs w:val="20"/>
                <w:color w:val="auto"/>
              </w:rPr>
            </w:pPr>
            <w:r>
              <w:rPr>
                <w:rFonts w:ascii="Arial" w:cs="Arial" w:eastAsia="Arial" w:hAnsi="Arial"/>
                <w:sz w:val="18"/>
                <w:szCs w:val="18"/>
                <w:color w:val="auto"/>
              </w:rPr>
              <w:t>(a)</w:t>
            </w:r>
          </w:p>
        </w:tc>
        <w:tc>
          <w:tcPr>
            <w:tcW w:w="13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9"/>
              </w:rPr>
              <w:t>5</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1,918,414 shares which are issuable upon conversion of Class B Common Stock, all of such</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shares are directly owned by AGFI13.</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9"/>
              </w:rPr>
              <w:t>6</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9"/>
              </w:rPr>
              <w:t>7</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1,918,414 shares which are issuable upon conversion of Class B Common Stock, all of such</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shares are directly owned by AGFI13.</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w w:val="99"/>
              </w:rPr>
              <w:t>8</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1,918,414</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980" w:type="dxa"/>
            <w:vAlign w:val="bottom"/>
            <w:tcBorders>
              <w:bottom w:val="single" w:sz="8" w:color="auto"/>
            </w:tcBorders>
            <w:gridSpan w:val="5"/>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80" w:type="dxa"/>
            <w:vAlign w:val="bottom"/>
            <w:tcBorders>
              <w:right w:val="single" w:sz="8" w:color="auto"/>
            </w:tcBorders>
          </w:tcPr>
          <w:p>
            <w:pPr>
              <w:jc w:val="right"/>
              <w:ind w:right="1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tcBorders>
            <w:gridSpan w:val="5"/>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3080" w:type="dxa"/>
            <w:vAlign w:val="bottom"/>
            <w:tcBorders>
              <w:bottom w:val="single" w:sz="8" w:color="auto"/>
            </w:tcBorders>
            <w:gridSpan w:val="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8"/>
        <w:spacing w:after="0" w:line="264"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42,789,769 shares of Class A Common Stock, calculated as follows, (i) 40,871,355 shares of Class A Common Stock outstanding, as of November 29, 2019, as reported by the Issuer in its Form 10-Q, plus (ii) 1,918,414 shares of Class A Common Stock issuable upon conversion of shares of Class B Common Stock held by AGFI13.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0"/>
        </w:trPr>
        <w:tc>
          <w:tcPr>
            <w:tcW w:w="334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CUSIP NO. 22788C105</w:t>
            </w:r>
          </w:p>
        </w:tc>
        <w:tc>
          <w:tcPr>
            <w:tcW w:w="8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24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rPr>
              <w:t>Accel London III L.P. (“AL3”)</w:t>
            </w: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380" w:type="dxa"/>
            <w:vAlign w:val="bottom"/>
            <w:tcBorders>
              <w:right w:val="single" w:sz="8" w:color="auto"/>
            </w:tcBorders>
            <w:vMerge w:val="restart"/>
          </w:tcPr>
          <w:p>
            <w:pPr>
              <w:jc w:val="right"/>
              <w:ind w:right="19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80" w:type="dxa"/>
            <w:vAlign w:val="bottom"/>
          </w:tcPr>
          <w:p>
            <w:pPr>
              <w:ind w:left="2160"/>
              <w:spacing w:after="0"/>
              <w:rPr>
                <w:sz w:val="20"/>
                <w:szCs w:val="20"/>
                <w:color w:val="auto"/>
              </w:rPr>
            </w:pPr>
            <w:r>
              <w:rPr>
                <w:rFonts w:ascii="Arial" w:cs="Arial" w:eastAsia="Arial" w:hAnsi="Arial"/>
                <w:sz w:val="18"/>
                <w:szCs w:val="18"/>
                <w:color w:val="auto"/>
              </w:rPr>
              <w:t>(a)</w:t>
            </w:r>
          </w:p>
        </w:tc>
        <w:tc>
          <w:tcPr>
            <w:tcW w:w="13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4"/>
              </w:rPr>
              <w:t>5,059,091 shares issuable upon conversion of Class B Common Stock, all of which are directly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owned by AL3. Accel London III Associates L.P. (“AL3A LP”), the general partner of AL3, may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8"/>
              </w:rPr>
              <w:t>be deemed to have sole power to vote these shares and Accel London III Associates L.L.C.</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8"/>
              </w:rPr>
              <w:t>(“AL3A”), the general partner of AL3A LP, may be deemed to have sole power to vote these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shares.</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4"/>
              </w:rPr>
              <w:t>5,059,091 shares issuable upon conversion of Class B Common Stock, all of which are directly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8"/>
              </w:rPr>
              <w:t>owned by AL3. AL3A LP, the general partner of AL3, may be deemed to have sole power to</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dispose of these shares and AL3A, the general partner of AL3A LP, may be deemed to have sole</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power to dispose of these shares.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5,059,091</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980" w:type="dxa"/>
            <w:vAlign w:val="bottom"/>
            <w:tcBorders>
              <w:bottom w:val="single" w:sz="8" w:color="auto"/>
            </w:tcBorders>
            <w:gridSpan w:val="5"/>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80" w:type="dxa"/>
            <w:vAlign w:val="bottom"/>
            <w:tcBorders>
              <w:right w:val="single" w:sz="8" w:color="auto"/>
            </w:tcBorders>
          </w:tcPr>
          <w:p>
            <w:pPr>
              <w:jc w:val="right"/>
              <w:ind w:right="1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tcBorders>
            <w:gridSpan w:val="5"/>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3080" w:type="dxa"/>
            <w:vAlign w:val="bottom"/>
            <w:tcBorders>
              <w:bottom w:val="single" w:sz="8" w:color="auto"/>
            </w:tcBorders>
            <w:gridSpan w:val="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8"/>
        <w:spacing w:after="0" w:line="264"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45,930,446 shares of Class A Common Stock, calculated as follows, (i) 40,871,355 shares of Class A Common Stock outstanding, as of November 29, 2019, as reported by the Issuer in its Form 10-Q, plus (ii) 5,059,091 shares of Class A Common Stock issuable upon conversion of shares of Class B Common Stock held by AL3.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0"/>
        </w:trPr>
        <w:tc>
          <w:tcPr>
            <w:tcW w:w="334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CUSIP NO. 22788C105</w:t>
            </w:r>
          </w:p>
        </w:tc>
        <w:tc>
          <w:tcPr>
            <w:tcW w:w="8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24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rPr>
              <w:t>Accel London III Associates L.P.</w:t>
            </w: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380" w:type="dxa"/>
            <w:vAlign w:val="bottom"/>
            <w:tcBorders>
              <w:right w:val="single" w:sz="8" w:color="auto"/>
            </w:tcBorders>
            <w:vMerge w:val="restart"/>
          </w:tcPr>
          <w:p>
            <w:pPr>
              <w:jc w:val="right"/>
              <w:ind w:right="19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80" w:type="dxa"/>
            <w:vAlign w:val="bottom"/>
          </w:tcPr>
          <w:p>
            <w:pPr>
              <w:ind w:left="2160"/>
              <w:spacing w:after="0"/>
              <w:rPr>
                <w:sz w:val="20"/>
                <w:szCs w:val="20"/>
                <w:color w:val="auto"/>
              </w:rPr>
            </w:pPr>
            <w:r>
              <w:rPr>
                <w:rFonts w:ascii="Arial" w:cs="Arial" w:eastAsia="Arial" w:hAnsi="Arial"/>
                <w:sz w:val="18"/>
                <w:szCs w:val="18"/>
                <w:color w:val="auto"/>
              </w:rPr>
              <w:t>(a)</w:t>
            </w:r>
          </w:p>
        </w:tc>
        <w:tc>
          <w:tcPr>
            <w:tcW w:w="13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4"/>
              </w:rPr>
              <w:t>5,059,091 shares issuable upon conversion of Class B Common Stock, all of which are directly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3"/>
              </w:rPr>
              <w:t>owned by AL3. AL3A LP, the general partner of AL3, may be deemed to have sole power to vote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4"/>
              </w:rPr>
              <w:t>these shares and AL3A, the general partner of AL3A LP, may be deemed to have sole power to</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vote these shares.</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4"/>
              </w:rPr>
              <w:t>5,059,091 shares issuable upon conversion of Class B Common Stock, all of which are directly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8"/>
              </w:rPr>
              <w:t>owned by AL3. AL3A LP, the general partner of AL3, may be deemed to have sole power to</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2"/>
              </w:rPr>
              <w:t>dispose of these shares and AL3A, the general partner of AL3A LP, may be deemed to have sole</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power to dispose of these shares.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5,059,091</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980" w:type="dxa"/>
            <w:vAlign w:val="bottom"/>
            <w:tcBorders>
              <w:bottom w:val="single" w:sz="8" w:color="auto"/>
            </w:tcBorders>
            <w:gridSpan w:val="5"/>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80" w:type="dxa"/>
            <w:vAlign w:val="bottom"/>
            <w:tcBorders>
              <w:right w:val="single" w:sz="8" w:color="auto"/>
            </w:tcBorders>
          </w:tcPr>
          <w:p>
            <w:pPr>
              <w:jc w:val="right"/>
              <w:ind w:right="1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tcBorders>
            <w:gridSpan w:val="5"/>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3080" w:type="dxa"/>
            <w:vAlign w:val="bottom"/>
            <w:tcBorders>
              <w:bottom w:val="single" w:sz="8" w:color="auto"/>
            </w:tcBorders>
            <w:gridSpan w:val="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8"/>
        <w:spacing w:after="0" w:line="26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45,930,446 shares of Class A Common Stock, calculated as follows, (i) 40,871,355 shares of Class A Common Stock outstanding, as of November 29, 2019, as reported by the Issuer in its Form 10-Q, plus (ii) 5,059,091 shares of Class A Common Stock issuable upon conversion of shares of Class B Common Stock held by AL3.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30"/>
        </w:trPr>
        <w:tc>
          <w:tcPr>
            <w:tcW w:w="334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CUSIP NO. 22788C105</w:t>
            </w:r>
          </w:p>
        </w:tc>
        <w:tc>
          <w:tcPr>
            <w:tcW w:w="8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28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9360" w:type="dxa"/>
            <w:vAlign w:val="bottom"/>
            <w:gridSpan w:val="5"/>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9360" w:type="dxa"/>
            <w:vAlign w:val="bottom"/>
            <w:gridSpan w:val="5"/>
          </w:tcPr>
          <w:p>
            <w:pPr>
              <w:ind w:left="400"/>
              <w:spacing w:after="0"/>
              <w:rPr>
                <w:sz w:val="20"/>
                <w:szCs w:val="20"/>
                <w:color w:val="auto"/>
              </w:rPr>
            </w:pPr>
            <w:r>
              <w:rPr>
                <w:rFonts w:ascii="Arial" w:cs="Arial" w:eastAsia="Arial" w:hAnsi="Arial"/>
                <w:sz w:val="18"/>
                <w:szCs w:val="18"/>
                <w:color w:val="auto"/>
              </w:rPr>
              <w:t>Accel London Investors 2012 L.P. (“ALI12”)</w:t>
            </w: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280" w:type="dxa"/>
            <w:vAlign w:val="bottom"/>
            <w:tcBorders>
              <w:bottom w:val="single" w:sz="8" w:color="auto"/>
            </w:tcBorders>
            <w:gridSpan w:val="3"/>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1"/>
                <w:szCs w:val="21"/>
                <w:color w:val="auto"/>
              </w:rPr>
            </w:pPr>
          </w:p>
        </w:tc>
        <w:tc>
          <w:tcPr>
            <w:tcW w:w="936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000" w:type="dxa"/>
            <w:vAlign w:val="bottom"/>
            <w:tcBorders>
              <w:right w:val="single" w:sz="8" w:color="auto"/>
            </w:tcBorders>
            <w:vMerge w:val="restart"/>
          </w:tcPr>
          <w:p>
            <w:pPr>
              <w:jc w:val="right"/>
              <w:ind w:right="1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60" w:type="dxa"/>
            <w:vAlign w:val="bottom"/>
          </w:tcPr>
          <w:p>
            <w:pPr>
              <w:ind w:left="2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860" w:type="dxa"/>
            <w:vAlign w:val="bottom"/>
            <w:tcBorders>
              <w:bottom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280" w:type="dxa"/>
            <w:vAlign w:val="bottom"/>
            <w:tcBorders>
              <w:bottom w:val="single" w:sz="8" w:color="auto"/>
            </w:tcBorders>
            <w:gridSpan w:val="3"/>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936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280" w:type="dxa"/>
            <w:vAlign w:val="bottom"/>
            <w:tcBorders>
              <w:bottom w:val="single" w:sz="8" w:color="auto"/>
            </w:tcBorders>
            <w:gridSpan w:val="3"/>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628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114,862 shares issuable upon conversion of Class B Common Stock, all of which are directly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owned by ALI12. AL3A, the general partner of ALI12, may be deemed to have sole power to</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6280" w:type="dxa"/>
            <w:vAlign w:val="bottom"/>
            <w:gridSpan w:val="3"/>
          </w:tcPr>
          <w:p>
            <w:pPr>
              <w:ind w:left="80"/>
              <w:spacing w:after="0"/>
              <w:rPr>
                <w:sz w:val="20"/>
                <w:szCs w:val="20"/>
                <w:color w:val="auto"/>
              </w:rPr>
            </w:pPr>
            <w:r>
              <w:rPr>
                <w:rFonts w:ascii="Arial" w:cs="Arial" w:eastAsia="Arial" w:hAnsi="Arial"/>
                <w:sz w:val="18"/>
                <w:szCs w:val="18"/>
                <w:color w:val="auto"/>
              </w:rPr>
              <w:t>vote these shares.</w:t>
            </w: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6280" w:type="dxa"/>
            <w:vAlign w:val="bottom"/>
            <w:tcBorders>
              <w:bottom w:val="single" w:sz="8" w:color="auto"/>
            </w:tcBorders>
            <w:gridSpan w:val="3"/>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628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28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6280" w:type="dxa"/>
            <w:vAlign w:val="bottom"/>
            <w:tcBorders>
              <w:bottom w:val="single" w:sz="8" w:color="auto"/>
            </w:tcBorders>
            <w:gridSpan w:val="3"/>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628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114,862 shares issuable upon conversion of Class B Common Stock, all of which are directly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owned by ALI12. AL3A, the general partner of ALI12, may be deemed to have sole power to</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280" w:type="dxa"/>
            <w:vAlign w:val="bottom"/>
            <w:gridSpan w:val="3"/>
          </w:tcPr>
          <w:p>
            <w:pPr>
              <w:ind w:left="80"/>
              <w:spacing w:after="0"/>
              <w:rPr>
                <w:sz w:val="20"/>
                <w:szCs w:val="20"/>
                <w:color w:val="auto"/>
              </w:rPr>
            </w:pPr>
            <w:r>
              <w:rPr>
                <w:rFonts w:ascii="Arial" w:cs="Arial" w:eastAsia="Arial" w:hAnsi="Arial"/>
                <w:sz w:val="18"/>
                <w:szCs w:val="18"/>
                <w:color w:val="auto"/>
              </w:rPr>
              <w:t>dispose of these shares.</w:t>
            </w: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6280" w:type="dxa"/>
            <w:vAlign w:val="bottom"/>
            <w:tcBorders>
              <w:bottom w:val="single" w:sz="8" w:color="auto"/>
            </w:tcBorders>
            <w:gridSpan w:val="3"/>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628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28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6280" w:type="dxa"/>
            <w:vAlign w:val="bottom"/>
            <w:tcBorders>
              <w:bottom w:val="single" w:sz="8" w:color="auto"/>
            </w:tcBorders>
            <w:gridSpan w:val="3"/>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936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00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114,862</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9360" w:type="dxa"/>
            <w:vAlign w:val="bottom"/>
            <w:tcBorders>
              <w:bottom w:val="single" w:sz="8" w:color="auto"/>
            </w:tcBorders>
            <w:gridSpan w:val="5"/>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936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000" w:type="dxa"/>
            <w:vAlign w:val="bottom"/>
            <w:tcBorders>
              <w:right w:val="single" w:sz="8" w:color="auto"/>
            </w:tcBorders>
          </w:tcPr>
          <w:p>
            <w:pPr>
              <w:jc w:val="right"/>
              <w:ind w:right="1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9360" w:type="dxa"/>
            <w:vAlign w:val="bottom"/>
            <w:tcBorders>
              <w:bottom w:val="single" w:sz="8" w:color="auto"/>
            </w:tcBorders>
            <w:gridSpan w:val="5"/>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936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00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3080" w:type="dxa"/>
            <w:vAlign w:val="bottom"/>
            <w:tcBorders>
              <w:bottom w:val="single" w:sz="8" w:color="auto"/>
            </w:tcBorders>
            <w:gridSpan w:val="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8"/>
        <w:spacing w:after="0" w:line="264"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45,930,446 shares of Class A Common Stock, calculated as follows, (i) 40,871,355 shares of Class A Common Stock outstanding, as of November 29, 2019, as reported by the Issuer in its Form 10-Q, plus (ii) 114,862 shares of Class A Common Stock issuable upon conversion of shares of Class B Common Stock held by ALI12.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30"/>
        </w:trPr>
        <w:tc>
          <w:tcPr>
            <w:tcW w:w="3340" w:type="dxa"/>
            <w:vAlign w:val="bottom"/>
            <w:tcBorders>
              <w:top w:val="single" w:sz="8" w:color="auto"/>
              <w:left w:val="single" w:sz="8" w:color="auto"/>
              <w:bottom w:val="single" w:sz="8" w:color="auto"/>
            </w:tcBorders>
            <w:gridSpan w:val="3"/>
          </w:tcPr>
          <w:p>
            <w:pPr>
              <w:ind w:left="120"/>
              <w:spacing w:after="0"/>
              <w:rPr>
                <w:sz w:val="20"/>
                <w:szCs w:val="20"/>
                <w:color w:val="auto"/>
              </w:rPr>
            </w:pPr>
            <w:r>
              <w:rPr>
                <w:rFonts w:ascii="Arial" w:cs="Arial" w:eastAsia="Arial" w:hAnsi="Arial"/>
                <w:sz w:val="18"/>
                <w:szCs w:val="18"/>
                <w:color w:val="auto"/>
              </w:rPr>
              <w:t>CUSIP NO. 22788C105</w:t>
            </w:r>
          </w:p>
        </w:tc>
        <w:tc>
          <w:tcPr>
            <w:tcW w:w="8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24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NAME OF REPORTING</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080" w:type="dxa"/>
            <w:vAlign w:val="bottom"/>
            <w:gridSpan w:val="2"/>
          </w:tcPr>
          <w:p>
            <w:pPr>
              <w:ind w:left="400"/>
              <w:spacing w:after="0"/>
              <w:rPr>
                <w:sz w:val="20"/>
                <w:szCs w:val="20"/>
                <w:color w:val="auto"/>
              </w:rPr>
            </w:pPr>
            <w:r>
              <w:rPr>
                <w:rFonts w:ascii="Arial" w:cs="Arial" w:eastAsia="Arial" w:hAnsi="Arial"/>
                <w:sz w:val="18"/>
                <w:szCs w:val="18"/>
                <w:color w:val="auto"/>
                <w:w w:val="96"/>
              </w:rPr>
              <w:t>Accel London III Associates L.L.C.</w:t>
            </w: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380" w:type="dxa"/>
            <w:vAlign w:val="bottom"/>
            <w:tcBorders>
              <w:right w:val="single" w:sz="8" w:color="auto"/>
            </w:tcBorders>
            <w:vMerge w:val="restart"/>
          </w:tcPr>
          <w:p>
            <w:pPr>
              <w:jc w:val="right"/>
              <w:ind w:right="19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600" w:type="dxa"/>
            <w:vAlign w:val="bottom"/>
            <w:tcBorders>
              <w:left w:val="single" w:sz="8" w:color="auto"/>
            </w:tcBorders>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80" w:type="dxa"/>
            <w:vAlign w:val="bottom"/>
          </w:tcPr>
          <w:p>
            <w:pPr>
              <w:ind w:left="2160"/>
              <w:spacing w:after="0"/>
              <w:rPr>
                <w:sz w:val="20"/>
                <w:szCs w:val="20"/>
                <w:color w:val="auto"/>
              </w:rPr>
            </w:pPr>
            <w:r>
              <w:rPr>
                <w:rFonts w:ascii="Arial" w:cs="Arial" w:eastAsia="Arial" w:hAnsi="Arial"/>
                <w:sz w:val="18"/>
                <w:szCs w:val="18"/>
                <w:color w:val="auto"/>
              </w:rPr>
              <w:t>(a)</w:t>
            </w:r>
          </w:p>
        </w:tc>
        <w:tc>
          <w:tcPr>
            <w:tcW w:w="13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1"/>
              </w:rPr>
              <w:t>5,173,953 shares issuable upon conversion of Class B Common Stock, of which 5,059,091 shares</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are directly owned by AL3 and 114,862 shares are directly owned by ALI12. AL3A LP, the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74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3"/>
              </w:rPr>
              <w:t>general partner of AL3, may be deemed to have sole power to vote the shares owned directly by</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REPORTING</w:t>
            </w: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4"/>
              </w:rPr>
              <w:t>AL3 and AL3A, the general partner of AL3A LP and ALI12, may be deemed to have sole power</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jc w:val="center"/>
              <w:ind w:right="101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to vote these shares.</w:t>
            </w: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jc w:val="center"/>
              <w:ind w:right="970"/>
              <w:spacing w:after="0"/>
              <w:rPr>
                <w:sz w:val="20"/>
                <w:szCs w:val="20"/>
                <w:color w:val="auto"/>
              </w:rPr>
            </w:pPr>
            <w:r>
              <w:rPr>
                <w:rFonts w:ascii="Arial" w:cs="Arial" w:eastAsia="Arial" w:hAnsi="Arial"/>
                <w:sz w:val="18"/>
                <w:szCs w:val="18"/>
                <w:color w:val="auto"/>
                <w:w w:val="99"/>
              </w:rPr>
              <w:t>WITH</w:t>
            </w:r>
          </w:p>
        </w:tc>
        <w:tc>
          <w:tcPr>
            <w:tcW w:w="80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VOTING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5.</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1"/>
              </w:rPr>
              <w:t>5,173,953 shares issuable upon conversion of Class B Common Stock, of which 5,059,091 shares</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are directly owned by AL3 and 114,862 shares are directly owned by ALI12. AL3A LP, the</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8"/>
              </w:rPr>
              <w:t>general partner of AL3, may be deemed to have sole power to dispose of the shares owned</w:t>
            </w: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2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5"/>
              </w:rPr>
              <w:t>directly by AL3 and AL3A, the general partner of AL3A LP and ALI12, may be deemed to have</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sole power to dispose of these shares.</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600" w:type="dxa"/>
            <w:vAlign w:val="bottom"/>
            <w:tcBorders>
              <w:lef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SHARED DISPOSITIVE POWER</w:t>
            </w:r>
          </w:p>
        </w:tc>
        <w:tc>
          <w:tcPr>
            <w:tcW w:w="1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gridSpan w:val="3"/>
          </w:tcPr>
          <w:p>
            <w:pPr>
              <w:ind w:left="80"/>
              <w:spacing w:after="0"/>
              <w:rPr>
                <w:sz w:val="20"/>
                <w:szCs w:val="20"/>
                <w:color w:val="auto"/>
              </w:rPr>
            </w:pPr>
            <w:r>
              <w:rPr>
                <w:rFonts w:ascii="Arial" w:cs="Arial" w:eastAsia="Arial" w:hAnsi="Arial"/>
                <w:sz w:val="18"/>
                <w:szCs w:val="18"/>
                <w:color w:val="auto"/>
              </w:rPr>
              <w:t>See response to row 7.</w:t>
            </w: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gridSpan w:val="3"/>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5,173,953</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980" w:type="dxa"/>
            <w:vAlign w:val="bottom"/>
            <w:tcBorders>
              <w:bottom w:val="single" w:sz="8" w:color="auto"/>
            </w:tcBorders>
            <w:gridSpan w:val="5"/>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80" w:type="dxa"/>
            <w:vAlign w:val="bottom"/>
            <w:tcBorders>
              <w:right w:val="single" w:sz="8" w:color="auto"/>
            </w:tcBorders>
          </w:tcPr>
          <w:p>
            <w:pPr>
              <w:jc w:val="right"/>
              <w:ind w:right="19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tcBorders>
            <w:gridSpan w:val="5"/>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460" w:type="dxa"/>
            <w:vAlign w:val="bottom"/>
            <w:tcBorders>
              <w:right w:val="single" w:sz="8" w:color="auto"/>
            </w:tcBorders>
          </w:tcPr>
          <w:p>
            <w:pPr>
              <w:spacing w:after="0"/>
              <w:rPr>
                <w:sz w:val="24"/>
                <w:szCs w:val="24"/>
                <w:color w:val="auto"/>
              </w:rPr>
            </w:pPr>
          </w:p>
        </w:tc>
        <w:tc>
          <w:tcPr>
            <w:tcW w:w="89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3080" w:type="dxa"/>
            <w:vAlign w:val="bottom"/>
            <w:tcBorders>
              <w:bottom w:val="single" w:sz="8" w:color="auto"/>
            </w:tcBorders>
            <w:gridSpan w:val="2"/>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460" w:type="dxa"/>
            <w:vAlign w:val="bottom"/>
            <w:tcBorders>
              <w:right w:val="single" w:sz="8" w:color="auto"/>
            </w:tcBorders>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1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81"/>
        </w:trPr>
        <w:tc>
          <w:tcPr>
            <w:tcW w:w="600" w:type="dxa"/>
            <w:vAlign w:val="bottom"/>
            <w:tcBorders>
              <w:left w:val="single" w:sz="8" w:color="auto"/>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8"/>
        <w:spacing w:after="0" w:line="259"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60,034,402 shares of Class A Common Stock, calculated as follows, (i) 40,871,355 shares of Class A Common Stock outstanding, as of November 29, 2019, as reported by the Issuer in its Form 10-Q, plus (ii) 5,059,091 shares of Class A Common Stock issuable upon conversion of shares of Class B Common Stock held by AL3, plus (iii) 114,862 shares of Class A Common Stock issuable upon conversion of shares of Class B Common Stock held by ALI12.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22788C105</w:t>
            </w:r>
          </w:p>
        </w:tc>
        <w:tc>
          <w:tcPr>
            <w:tcW w:w="1140" w:type="dxa"/>
            <w:vAlign w:val="bottom"/>
          </w:tcPr>
          <w:p>
            <w:pPr>
              <w:ind w:left="780"/>
              <w:spacing w:after="0"/>
              <w:rPr>
                <w:sz w:val="20"/>
                <w:szCs w:val="20"/>
                <w:color w:val="auto"/>
              </w:rPr>
            </w:pPr>
            <w:r>
              <w:rPr>
                <w:rFonts w:ascii="Arial" w:cs="Arial" w:eastAsia="Arial" w:hAnsi="Arial"/>
                <w:sz w:val="18"/>
                <w:szCs w:val="18"/>
                <w:color w:val="auto"/>
                <w:w w:val="86"/>
              </w:rPr>
              <w:t>13 G</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4942840</wp:posOffset>
            </wp:positionH>
            <wp:positionV relativeFrom="page">
              <wp:posOffset>226060</wp:posOffset>
            </wp:positionV>
            <wp:extent cx="246126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61260" cy="154305"/>
                    </a:xfrm>
                    <a:prstGeom prst="rect">
                      <a:avLst/>
                    </a:prstGeom>
                    <a:noFill/>
                  </pic:spPr>
                </pic:pic>
              </a:graphicData>
            </a:graphic>
          </wp:anchor>
        </w:drawing>
      </w: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u w:val="single" w:color="auto"/>
          <w:color w:val="auto"/>
        </w:rPr>
        <w:t>NAME OF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CrowdStrike Holdings, Inc.</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7"/>
          <w:szCs w:val="17"/>
          <w:u w:val="single" w:color="auto"/>
          <w:color w:val="auto"/>
        </w:rPr>
        <w:t>ADDRESS OF ISSUER’S PRINCIPAL EXECUTIVE OFFICES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150 Mathilda Place, Suite 300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Sunnyvale, CA 94086</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7"/>
          <w:szCs w:val="17"/>
          <w:u w:val="single" w:color="auto"/>
          <w:color w:val="auto"/>
        </w:rPr>
        <w:t>NAME OF PERSONS FILING</w:t>
      </w:r>
    </w:p>
    <w:p>
      <w:pPr>
        <w:spacing w:after="0" w:line="225" w:lineRule="exact"/>
        <w:rPr>
          <w:sz w:val="20"/>
          <w:szCs w:val="20"/>
          <w:color w:val="auto"/>
        </w:rPr>
      </w:pPr>
    </w:p>
    <w:p>
      <w:pPr>
        <w:ind w:left="1300" w:right="100"/>
        <w:spacing w:after="0" w:line="271" w:lineRule="auto"/>
        <w:rPr>
          <w:sz w:val="20"/>
          <w:szCs w:val="20"/>
          <w:color w:val="auto"/>
        </w:rPr>
      </w:pPr>
      <w:r>
        <w:rPr>
          <w:rFonts w:ascii="Arial" w:cs="Arial" w:eastAsia="Arial" w:hAnsi="Arial"/>
          <w:sz w:val="17"/>
          <w:szCs w:val="17"/>
          <w:color w:val="auto"/>
        </w:rPr>
        <w:t>This Schedule 13G is filed by Accel Leaders Fund L.P., a Delaware limited partnership (“ALF”), Accel Leaders Fund Associates L.L.C., a Delaware limited liability company (“ALFA”), Accel Leaders Fund Investors 2016 L.L.C., a Delaware limited liability company (“ALFI16”), Accel Growth Fund II L.P., a Delaware limited partnership (“AGF2”), Accel Growth Fund II Strategic Partners L.P., a Delaware limited partnership (“AGF2SP”), Accel Growth Fund II Associates L.L.C., a Delaware limited liability company (“AGF2A”), Accel Growth Fund Investors 2013 L.L.C., a Delaware limited liability company (“AGFI13”), Accel London III L.P., a Delaware limited partnership (“AL3”), Accel London III Associates L.P., a Delaware limited partnership (“AL3A LP”), Accel London Investors 2012 L.P., a Delaware limited partnership (“ALI12”), Accel London III Associates L.L.C., a Delaware limited liability company (“AL3A”). The foregoing entities are collectively referred to as the “Reporting Persons.”</w:t>
      </w:r>
    </w:p>
    <w:p>
      <w:pPr>
        <w:spacing w:after="0" w:line="179" w:lineRule="exact"/>
        <w:rPr>
          <w:sz w:val="20"/>
          <w:szCs w:val="20"/>
          <w:color w:val="auto"/>
        </w:rPr>
      </w:pPr>
    </w:p>
    <w:p>
      <w:pPr>
        <w:ind w:left="1300"/>
        <w:spacing w:after="0" w:line="255" w:lineRule="auto"/>
        <w:rPr>
          <w:sz w:val="20"/>
          <w:szCs w:val="20"/>
          <w:color w:val="auto"/>
        </w:rPr>
      </w:pPr>
      <w:r>
        <w:rPr>
          <w:rFonts w:ascii="Arial" w:cs="Arial" w:eastAsia="Arial" w:hAnsi="Arial"/>
          <w:sz w:val="18"/>
          <w:szCs w:val="18"/>
          <w:color w:val="auto"/>
        </w:rPr>
        <w:t>ALFA is the general partner of ALF, and may be deemed to have sole power to vote and sole power to dispose of shares of the issuer directly owned by ALF. AGF2A is the general partner of AGF2 and AGF2SP, and may be deemed to have sole power to vote and sole power to dispose of shares of the issuer directly owned by AGF2 and AGF2SP. AL3A LP is the general partner of AL3, and may be deemed to have sole power to vote and sole power to dispose of shares of the issuer directly owned by AL3. AL3A is the general partner of AL3A LP and ALI12, and may be deemed to have sole power to vote and sole power to dispose of shares of the issuer directly owned by AL3 and ALI12.</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u w:val="single" w:color="auto"/>
          <w:color w:val="auto"/>
        </w:rPr>
        <w:t>ADDRESS OF PRINCIPAL OFFICE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address for each of the Reporting Persons is: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Accel Partners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500 University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 94301</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7"/>
          <w:szCs w:val="17"/>
          <w:u w:val="single" w:color="auto"/>
          <w:color w:val="auto"/>
        </w:rPr>
        <w:t>CITIZENSHIP</w:t>
      </w:r>
    </w:p>
    <w:p>
      <w:pPr>
        <w:spacing w:after="0" w:line="225" w:lineRule="exact"/>
        <w:rPr>
          <w:sz w:val="20"/>
          <w:szCs w:val="20"/>
          <w:color w:val="auto"/>
        </w:rPr>
      </w:pPr>
    </w:p>
    <w:p>
      <w:pPr>
        <w:ind w:left="1300" w:right="340"/>
        <w:spacing w:after="0" w:line="277" w:lineRule="auto"/>
        <w:rPr>
          <w:sz w:val="20"/>
          <w:szCs w:val="20"/>
          <w:color w:val="auto"/>
        </w:rPr>
      </w:pPr>
      <w:r>
        <w:rPr>
          <w:rFonts w:ascii="Arial" w:cs="Arial" w:eastAsia="Arial" w:hAnsi="Arial"/>
          <w:sz w:val="18"/>
          <w:szCs w:val="18"/>
          <w:color w:val="auto"/>
        </w:rPr>
        <w:t>ALF, AGF2, AGF2SP, AL3, AL3A LP and ALI12 are Delaware limited partnerships. ALFA, ALFI16, AGF2A, AGFI13 and AL3A are Delaware limited liability companies.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7"/>
          <w:szCs w:val="17"/>
          <w:u w:val="single" w:color="auto"/>
          <w:color w:val="auto"/>
        </w:rPr>
        <w:t>TITLE OF CLASS OF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Class A Common Stock, $0.0005 par value.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7"/>
          <w:szCs w:val="17"/>
          <w:u w:val="single" w:color="auto"/>
          <w:color w:val="auto"/>
        </w:rPr>
        <w:t>CUSIP NUMBER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22788C105</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u w:val="single" w:color="auto"/>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CUSIP NO. 22788C105</w:t>
            </w:r>
          </w:p>
        </w:tc>
        <w:tc>
          <w:tcPr>
            <w:tcW w:w="19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13 G</w:t>
            </w:r>
          </w:p>
        </w:tc>
        <w:tc>
          <w:tcPr>
            <w:tcW w:w="3860" w:type="dxa"/>
            <w:vAlign w:val="bottom"/>
            <w:tcBorders>
              <w:top w:val="single" w:sz="8" w:color="auto"/>
              <w:bottom w:val="single" w:sz="8" w:color="auto"/>
              <w:right w:val="single" w:sz="8" w:color="auto"/>
            </w:tcBorders>
          </w:tcPr>
          <w:p>
            <w:pPr>
              <w:spacing w:after="0"/>
              <w:rPr>
                <w:sz w:val="19"/>
                <w:szCs w:val="19"/>
                <w:color w:val="auto"/>
              </w:rPr>
            </w:pPr>
          </w:p>
        </w:tc>
      </w:tr>
      <w:tr>
        <w:trPr>
          <w:trHeight w:val="385"/>
        </w:trPr>
        <w:tc>
          <w:tcPr>
            <w:tcW w:w="1300" w:type="dxa"/>
            <w:vAlign w:val="bottom"/>
          </w:tcPr>
          <w:p>
            <w:pPr>
              <w:spacing w:after="0"/>
              <w:rPr>
                <w:sz w:val="20"/>
                <w:szCs w:val="20"/>
                <w:color w:val="auto"/>
              </w:rPr>
            </w:pPr>
            <w:r>
              <w:rPr>
                <w:rFonts w:ascii="Arial" w:cs="Arial" w:eastAsia="Arial" w:hAnsi="Arial"/>
                <w:sz w:val="18"/>
                <w:szCs w:val="18"/>
                <w:color w:val="auto"/>
              </w:rPr>
              <w:t>ITEM 4.</w:t>
            </w: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OWNERSHIP</w:t>
            </w:r>
          </w:p>
        </w:tc>
        <w:tc>
          <w:tcPr>
            <w:tcW w:w="3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92"/>
              </w:rPr>
              <w:t>The following information with respect to the ownership of the Class A Common Stock of the issuer by the persons filing this Statement is</w:t>
            </w:r>
          </w:p>
        </w:tc>
      </w:tr>
      <w:tr>
        <w:trPr>
          <w:trHeight w:val="230"/>
        </w:trPr>
        <w:tc>
          <w:tcPr>
            <w:tcW w:w="13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provided as of December 31, 2019.</w:t>
            </w:r>
          </w:p>
        </w:tc>
        <w:tc>
          <w:tcPr>
            <w:tcW w:w="1940" w:type="dxa"/>
            <w:vAlign w:val="bottom"/>
          </w:tcPr>
          <w:p>
            <w:pPr>
              <w:spacing w:after="0"/>
              <w:rPr>
                <w:sz w:val="20"/>
                <w:szCs w:val="20"/>
                <w:color w:val="auto"/>
              </w:rPr>
            </w:pPr>
          </w:p>
        </w:tc>
        <w:tc>
          <w:tcPr>
            <w:tcW w:w="3860" w:type="dxa"/>
            <w:vAlign w:val="bottom"/>
          </w:tcPr>
          <w:p>
            <w:pPr>
              <w:spacing w:after="0"/>
              <w:rPr>
                <w:sz w:val="20"/>
                <w:szCs w:val="20"/>
                <w:color w:val="auto"/>
              </w:rPr>
            </w:pPr>
          </w:p>
        </w:tc>
      </w:tr>
    </w:tbl>
    <w:p>
      <w:pPr>
        <w:spacing w:after="0" w:line="202" w:lineRule="exact"/>
        <w:rPr>
          <w:sz w:val="20"/>
          <w:szCs w:val="20"/>
          <w:color w:val="auto"/>
        </w:rPr>
      </w:pPr>
    </w:p>
    <w:p>
      <w:pPr>
        <w:ind w:left="2600" w:hanging="647"/>
        <w:spacing w:after="0"/>
        <w:tabs>
          <w:tab w:leader="none" w:pos="26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9 of cover page for each Reporting Person.</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See Row 11 of cover page for each Reporting Person.</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Sole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Shared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225" w:lineRule="exact"/>
        <w:rPr>
          <w:rFonts w:ascii="Arial" w:cs="Arial" w:eastAsia="Arial" w:hAnsi="Arial"/>
          <w:sz w:val="18"/>
          <w:szCs w:val="18"/>
          <w:color w:val="auto"/>
        </w:rPr>
      </w:pPr>
    </w:p>
    <w:p>
      <w:pPr>
        <w:jc w:val="both"/>
        <w:ind w:left="3900" w:right="3740" w:hanging="651"/>
        <w:spacing w:after="0" w:line="563" w:lineRule="auto"/>
        <w:tabs>
          <w:tab w:leader="none" w:pos="3900"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Sole power to dispose or to direct the disposition of</w:t>
      </w:r>
      <w:r>
        <w:rPr>
          <w:rFonts w:ascii="Arial" w:cs="Arial" w:eastAsia="Arial" w:hAnsi="Arial"/>
          <w:sz w:val="16"/>
          <w:szCs w:val="16"/>
          <w:color w:val="auto"/>
        </w:rPr>
        <w:t>: See Row 7 of cover page for each Reporting Person.</w:t>
      </w:r>
    </w:p>
    <w:p>
      <w:pPr>
        <w:spacing w:after="0" w:line="1" w:lineRule="exact"/>
        <w:rPr>
          <w:rFonts w:ascii="Arial" w:cs="Arial" w:eastAsia="Arial" w:hAnsi="Arial"/>
          <w:sz w:val="16"/>
          <w:szCs w:val="16"/>
          <w:color w:val="auto"/>
        </w:rPr>
      </w:pPr>
    </w:p>
    <w:p>
      <w:pPr>
        <w:ind w:left="3900" w:right="3580" w:hanging="651"/>
        <w:spacing w:after="0" w:line="563" w:lineRule="auto"/>
        <w:tabs>
          <w:tab w:leader="none" w:pos="3900"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Shared power to dispose or to direct the disposition of</w:t>
      </w:r>
      <w:r>
        <w:rPr>
          <w:rFonts w:ascii="Arial" w:cs="Arial" w:eastAsia="Arial" w:hAnsi="Arial"/>
          <w:sz w:val="16"/>
          <w:szCs w:val="16"/>
          <w:color w:val="auto"/>
        </w:rPr>
        <w:t>: See Row 8 of cover page for each Reporting Person.</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OWNERSHIP OF MORE THAN FIVE PERCENT ON BEHALF OF ANOTHER PERSON</w:t>
      </w:r>
      <w:r>
        <w:rPr>
          <w:rFonts w:ascii="Arial" w:cs="Arial" w:eastAsia="Arial" w:hAnsi="Arial"/>
          <w:sz w:val="17"/>
          <w:szCs w:val="17"/>
          <w:color w:val="auto"/>
        </w:rPr>
        <w:t>.</w:t>
      </w:r>
    </w:p>
    <w:p>
      <w:pPr>
        <w:spacing w:after="0" w:line="225" w:lineRule="exact"/>
        <w:rPr>
          <w:sz w:val="20"/>
          <w:szCs w:val="20"/>
          <w:color w:val="auto"/>
        </w:rPr>
      </w:pPr>
    </w:p>
    <w:p>
      <w:pPr>
        <w:ind w:left="1300" w:right="20"/>
        <w:spacing w:after="0" w:line="302" w:lineRule="auto"/>
        <w:rPr>
          <w:sz w:val="20"/>
          <w:szCs w:val="20"/>
          <w:color w:val="auto"/>
        </w:rPr>
      </w:pPr>
      <w:r>
        <w:rPr>
          <w:rFonts w:ascii="Arial" w:cs="Arial" w:eastAsia="Arial" w:hAnsi="Arial"/>
          <w:sz w:val="16"/>
          <w:szCs w:val="16"/>
          <w:color w:val="auto"/>
        </w:rPr>
        <w:t>Under certain circumstances set forth in the limited partnership agreements of ALF, AGF2, AGF2SP, AL3, AL3A LP and ALI12, and the limited liability company agreements of ALFA, ALFI16, AGF2A, AGFI13 and AL3A, the general partner and limited partners or managing members, managers and members, as the case may be, of each of such entities may be deemed to have the right to receive dividends from, or the proceeds from, the sale of shares of the issuer owned by each such entity of which they are a partner or member, as the case may be.</w:t>
      </w:r>
    </w:p>
    <w:p>
      <w:pPr>
        <w:spacing w:after="0" w:line="154" w:lineRule="exact"/>
        <w:rPr>
          <w:sz w:val="20"/>
          <w:szCs w:val="20"/>
          <w:color w:val="auto"/>
        </w:rPr>
      </w:pPr>
    </w:p>
    <w:p>
      <w:pPr>
        <w:ind w:left="1300" w:right="18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u w:val="single" w:color="auto"/>
          <w:color w:val="auto"/>
        </w:rPr>
        <w:t>IDENTIFICATION AND CLASSIFICATION OF MEMBERS OF THE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22788C105</w:t>
            </w:r>
          </w:p>
        </w:tc>
        <w:tc>
          <w:tcPr>
            <w:tcW w:w="1140" w:type="dxa"/>
            <w:vAlign w:val="bottom"/>
          </w:tcPr>
          <w:p>
            <w:pPr>
              <w:ind w:left="780"/>
              <w:spacing w:after="0"/>
              <w:rPr>
                <w:sz w:val="20"/>
                <w:szCs w:val="20"/>
                <w:color w:val="auto"/>
              </w:rPr>
            </w:pPr>
            <w:r>
              <w:rPr>
                <w:rFonts w:ascii="Arial" w:cs="Arial" w:eastAsia="Arial" w:hAnsi="Arial"/>
                <w:sz w:val="18"/>
                <w:szCs w:val="18"/>
                <w:color w:val="auto"/>
                <w:w w:val="86"/>
              </w:rPr>
              <w:t>13 G</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4942840</wp:posOffset>
            </wp:positionH>
            <wp:positionV relativeFrom="page">
              <wp:posOffset>586105</wp:posOffset>
            </wp:positionV>
            <wp:extent cx="246126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61260" cy="154305"/>
                    </a:xfrm>
                    <a:prstGeom prst="rect">
                      <a:avLst/>
                    </a:prstGeom>
                    <a:noFill/>
                  </pic:spPr>
                </pic:pic>
              </a:graphicData>
            </a:graphic>
          </wp:anchor>
        </w:drawing>
      </w: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NOTICE OF DISSOLUTION OF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3" w:right="1440"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22788C105</w:t>
            </w:r>
          </w:p>
        </w:tc>
        <w:tc>
          <w:tcPr>
            <w:tcW w:w="1140" w:type="dxa"/>
            <w:vAlign w:val="bottom"/>
          </w:tcPr>
          <w:p>
            <w:pPr>
              <w:ind w:left="780"/>
              <w:spacing w:after="0"/>
              <w:rPr>
                <w:sz w:val="20"/>
                <w:szCs w:val="20"/>
                <w:color w:val="auto"/>
              </w:rPr>
            </w:pPr>
            <w:r>
              <w:rPr>
                <w:rFonts w:ascii="Arial" w:cs="Arial" w:eastAsia="Arial" w:hAnsi="Arial"/>
                <w:sz w:val="18"/>
                <w:szCs w:val="18"/>
                <w:color w:val="auto"/>
                <w:w w:val="86"/>
              </w:rPr>
              <w:t>13 G</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4942840</wp:posOffset>
            </wp:positionH>
            <wp:positionV relativeFrom="page">
              <wp:posOffset>586105</wp:posOffset>
            </wp:positionV>
            <wp:extent cx="246126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61260" cy="154305"/>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2020</w:t>
      </w:r>
    </w:p>
    <w:p>
      <w:pPr>
        <w:sectPr>
          <w:pgSz w:w="11900" w:h="16838" w:orient="portrait"/>
          <w:cols w:equalWidth="0" w:num="1">
            <w:col w:w="10760"/>
          </w:cols>
          <w:pgMar w:left="240" w:top="903" w:right="89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Entities: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Accel Leaders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Accel Leaders Fund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Accel Leaders Fund Investors 2016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Accel Growth Fund II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Accel Growth Fund II Strategic Partners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Accel Growth Fund II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Accel Growth Fund Investors 2013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Accel London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London III Associates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London Investors 2012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London III Associates L.L.C.*</w:t>
      </w:r>
    </w:p>
    <w:p>
      <w:pPr>
        <w:spacing w:after="0" w:line="200" w:lineRule="exact"/>
        <w:rPr>
          <w:sz w:val="20"/>
          <w:szCs w:val="20"/>
          <w:color w:val="auto"/>
        </w:rPr>
      </w:pPr>
    </w:p>
    <w:p>
      <w:pPr>
        <w:sectPr>
          <w:pgSz w:w="11900" w:h="16838" w:orient="portrait"/>
          <w:cols w:equalWidth="0" w:num="2">
            <w:col w:w="600" w:space="560"/>
            <w:col w:w="9600"/>
          </w:cols>
          <w:pgMar w:left="240" w:top="903" w:right="899" w:bottom="1440" w:gutter="0" w:footer="0" w:header="0"/>
          <w:type w:val="continuous"/>
        </w:sectPr>
      </w:pPr>
    </w:p>
    <w:p>
      <w:pPr>
        <w:spacing w:after="0" w:line="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Tracy L. Sedlock</w:t>
      </w:r>
    </w:p>
    <w:p>
      <w:pPr>
        <w:spacing w:after="0" w:line="3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Tracy L. Sedlock, Attorney-in-fact for the above-listed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-116205</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Signed pursuant to a Power of Attorney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903" w:right="899" w:bottom="1440" w:gutter="0" w:footer="0" w:header="0"/>
          <w:type w:val="continuous"/>
        </w:sectPr>
      </w:pPr>
    </w:p>
    <w:bookmarkStart w:id="16" w:name="page17"/>
    <w:bookmarkEnd w:id="16"/>
    <w:p>
      <w:pPr>
        <w:ind w:left="120"/>
        <w:spacing w:after="0"/>
        <w:tabs>
          <w:tab w:leader="none" w:pos="6380" w:val="left"/>
        </w:tabs>
        <w:rPr>
          <w:sz w:val="20"/>
          <w:szCs w:val="20"/>
          <w:color w:val="auto"/>
        </w:rPr>
      </w:pPr>
      <w:r>
        <w:rPr>
          <w:rFonts w:ascii="Arial" w:cs="Arial" w:eastAsia="Arial" w:hAnsi="Arial"/>
          <w:sz w:val="18"/>
          <w:szCs w:val="18"/>
          <w:color w:val="auto"/>
        </w:rPr>
        <w:t>CUSIP NO. 22788C105</w:t>
      </w:r>
      <w:r>
        <w:rPr>
          <w:sz w:val="20"/>
          <w:szCs w:val="20"/>
          <w:color w:val="auto"/>
        </w:rPr>
        <w:tab/>
      </w:r>
      <w:r>
        <w:rPr>
          <w:rFonts w:ascii="Arial" w:cs="Arial" w:eastAsia="Arial" w:hAnsi="Arial"/>
          <w:sz w:val="16"/>
          <w:szCs w:val="16"/>
          <w:color w:val="auto"/>
        </w:rPr>
        <w:t>13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7500" w:type="dxa"/>
            <w:vAlign w:val="bottom"/>
            <w:gridSpan w:val="5"/>
          </w:tcPr>
          <w:p>
            <w:pPr>
              <w:ind w:left="1140"/>
              <w:spacing w:after="0"/>
              <w:rPr>
                <w:sz w:val="20"/>
                <w:szCs w:val="20"/>
                <w:color w:val="auto"/>
              </w:rPr>
            </w:pPr>
            <w:r>
              <w:rPr>
                <w:rFonts w:ascii="Arial" w:cs="Arial" w:eastAsia="Arial" w:hAnsi="Arial"/>
                <w:sz w:val="18"/>
                <w:szCs w:val="18"/>
                <w:color w:val="auto"/>
              </w:rPr>
              <w:t>EXHIBIT INDEX</w:t>
            </w:r>
          </w:p>
        </w:tc>
      </w:tr>
      <w:tr>
        <w:trPr>
          <w:trHeight w:val="438"/>
        </w:trPr>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Found on</w:t>
            </w:r>
          </w:p>
        </w:tc>
      </w:tr>
      <w:tr>
        <w:trPr>
          <w:trHeight w:val="216"/>
        </w:trPr>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Sequentially</w:t>
            </w:r>
          </w:p>
        </w:tc>
      </w:tr>
      <w:tr>
        <w:trPr>
          <w:trHeight w:val="190"/>
        </w:trPr>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6"/>
              </w:rPr>
              <w:t>Exhibit</w:t>
            </w:r>
          </w:p>
        </w:tc>
        <w:tc>
          <w:tcPr>
            <w:tcW w:w="3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16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88"/>
              </w:rPr>
              <w:t>Numbered Page</w:t>
            </w:r>
          </w:p>
        </w:tc>
        <w:tc>
          <w:tcPr>
            <w:tcW w:w="500" w:type="dxa"/>
            <w:vAlign w:val="bottom"/>
          </w:tcPr>
          <w:p>
            <w:pPr>
              <w:spacing w:after="0"/>
              <w:rPr>
                <w:sz w:val="16"/>
                <w:szCs w:val="16"/>
                <w:color w:val="auto"/>
              </w:rPr>
            </w:pPr>
          </w:p>
        </w:tc>
      </w:tr>
      <w:tr>
        <w:trPr>
          <w:trHeight w:val="453"/>
        </w:trPr>
        <w:tc>
          <w:tcPr>
            <w:tcW w:w="10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Exhibit A: Agreement of Joint Filing</w:t>
            </w:r>
          </w:p>
        </w:tc>
        <w:tc>
          <w:tcPr>
            <w:tcW w:w="7000" w:type="dxa"/>
            <w:vAlign w:val="bottom"/>
            <w:gridSpan w:val="4"/>
          </w:tcPr>
          <w:p>
            <w:pPr>
              <w:jc w:val="center"/>
              <w:ind w:left="5810"/>
              <w:spacing w:after="0"/>
              <w:rPr>
                <w:sz w:val="20"/>
                <w:szCs w:val="20"/>
                <w:color w:val="auto"/>
              </w:rPr>
            </w:pPr>
            <w:r>
              <w:rPr>
                <w:rFonts w:ascii="Arial" w:cs="Arial" w:eastAsia="Arial" w:hAnsi="Arial"/>
                <w:sz w:val="18"/>
                <w:szCs w:val="18"/>
                <w:color w:val="auto"/>
                <w:w w:val="89"/>
              </w:rPr>
              <w:t>18</w:t>
            </w:r>
          </w:p>
        </w:tc>
        <w:tc>
          <w:tcPr>
            <w:tcW w:w="500" w:type="dxa"/>
            <w:vAlign w:val="bottom"/>
          </w:tcPr>
          <w:p>
            <w:pPr>
              <w:spacing w:after="0"/>
              <w:rPr>
                <w:sz w:val="24"/>
                <w:szCs w:val="24"/>
                <w:color w:val="auto"/>
              </w:rPr>
            </w:pPr>
          </w:p>
        </w:tc>
      </w:tr>
      <w:tr>
        <w:trPr>
          <w:trHeight w:val="675"/>
        </w:trPr>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type w:val="continuous"/>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4942840</wp:posOffset>
            </wp:positionH>
            <wp:positionV relativeFrom="page">
              <wp:posOffset>586105</wp:posOffset>
            </wp:positionV>
            <wp:extent cx="246126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61260" cy="15430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56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22788C105</w:t>
            </w:r>
          </w:p>
        </w:tc>
        <w:tc>
          <w:tcPr>
            <w:tcW w:w="1140" w:type="dxa"/>
            <w:vAlign w:val="bottom"/>
          </w:tcPr>
          <w:p>
            <w:pPr>
              <w:ind w:left="780"/>
              <w:spacing w:after="0"/>
              <w:rPr>
                <w:sz w:val="20"/>
                <w:szCs w:val="20"/>
                <w:color w:val="auto"/>
              </w:rPr>
            </w:pPr>
            <w:r>
              <w:rPr>
                <w:rFonts w:ascii="Arial" w:cs="Arial" w:eastAsia="Arial" w:hAnsi="Arial"/>
                <w:sz w:val="18"/>
                <w:szCs w:val="18"/>
                <w:color w:val="auto"/>
                <w:w w:val="86"/>
              </w:rPr>
              <w:t>13 G</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The undersigned hereby agree that a single Schedule 13G (or any amendment thereto) relating to the Class A Common Stock of CrowdStrike Holdings, Inc. shall be filed on behalf of each of the undersigned and that this Agreement shall be filed as an exhibit to such Schedule 13G.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2020</w:t>
      </w:r>
    </w:p>
    <w:p>
      <w:pPr>
        <w:sectPr>
          <w:pgSz w:w="11900" w:h="16838" w:orient="portrait"/>
          <w:cols w:equalWidth="0" w:num="1">
            <w:col w:w="11420"/>
          </w:cols>
          <w:pgMar w:left="240" w:top="903"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Entities: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Accel Leaders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Accel Leaders Fund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Accel Leaders Fund Investors 2016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Accel Growth Fund II L.P.*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Accel Growth Fund II Strategic Partners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Accel Growth Fund II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Accel Growth Fund Investors 2013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Accel London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London III Associates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London Investors 2012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Accel London III Associates L.L.C.*</w:t>
      </w:r>
    </w:p>
    <w:p>
      <w:pPr>
        <w:spacing w:after="0" w:line="200" w:lineRule="exact"/>
        <w:rPr>
          <w:sz w:val="20"/>
          <w:szCs w:val="20"/>
          <w:color w:val="auto"/>
        </w:rPr>
      </w:pPr>
    </w:p>
    <w:p>
      <w:pPr>
        <w:sectPr>
          <w:pgSz w:w="11900" w:h="16838" w:orient="portrait"/>
          <w:cols w:equalWidth="0" w:num="2">
            <w:col w:w="600" w:space="560"/>
            <w:col w:w="10260"/>
          </w:cols>
          <w:pgMar w:left="240" w:top="903" w:right="239" w:bottom="1440" w:gutter="0" w:footer="0" w:header="0"/>
          <w:type w:val="continuous"/>
        </w:sectPr>
      </w:pPr>
    </w:p>
    <w:p>
      <w:pPr>
        <w:spacing w:after="0" w:line="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Tracy L. Sedlock</w:t>
      </w:r>
    </w:p>
    <w:p>
      <w:pPr>
        <w:spacing w:after="0" w:line="3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Tracy L. Sedlock, Attorney-in-fact for the above-listed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-116205</wp:posOffset>
            </wp:positionV>
            <wp:extent cx="3327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Signed pursuant to a Power of Attorney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2020-02-12T15:30:17Z</dcterms:created>
  <dcterms:modified xsi:type="dcterms:W3CDTF">2020-02-12T15:30:17Z</dcterms:modified>
</cp:coreProperties>
</file>