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w:t>
      </w:r>
    </w:p>
    <w:p>
      <w:pPr>
        <w:pStyle w:val="TextBody"/>
        <w:bidi w:val="0"/>
        <w:spacing w:lineRule="auto" w:line="288" w:before="10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0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April 30, 2023 </w:t>
      </w:r>
    </w:p>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001-38933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 xml:space="preserve">CROWDSTRIKE HOLDINGS,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w:t>
      </w:r>
    </w:p>
    <w:tbl>
      <w:tblPr>
        <w:tblW w:w="5635" w:type="dxa"/>
        <w:jc w:val="center"/>
        <w:tblInd w:w="0" w:type="dxa"/>
        <w:tblLayout w:type="fixed"/>
        <w:tblCellMar>
          <w:top w:w="28" w:type="dxa"/>
          <w:left w:w="28" w:type="dxa"/>
          <w:bottom w:w="28" w:type="dxa"/>
          <w:right w:w="28" w:type="dxa"/>
        </w:tblCellMar>
      </w:tblPr>
      <w:tblGrid>
        <w:gridCol w:w="411"/>
        <w:gridCol w:w="362"/>
        <w:gridCol w:w="362"/>
        <w:gridCol w:w="362"/>
        <w:gridCol w:w="362"/>
        <w:gridCol w:w="373"/>
        <w:gridCol w:w="109"/>
        <w:gridCol w:w="109"/>
        <w:gridCol w:w="109"/>
        <w:gridCol w:w="109"/>
        <w:gridCol w:w="109"/>
        <w:gridCol w:w="109"/>
        <w:gridCol w:w="109"/>
        <w:gridCol w:w="109"/>
        <w:gridCol w:w="109"/>
        <w:gridCol w:w="109"/>
        <w:gridCol w:w="109"/>
        <w:gridCol w:w="109"/>
        <w:gridCol w:w="109"/>
        <w:gridCol w:w="109"/>
        <w:gridCol w:w="109"/>
        <w:gridCol w:w="273"/>
        <w:gridCol w:w="273"/>
        <w:gridCol w:w="273"/>
        <w:gridCol w:w="273"/>
        <w:gridCol w:w="273"/>
        <w:gridCol w:w="403"/>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45-3788918</w:t>
            </w:r>
          </w:p>
        </w:tc>
      </w:tr>
      <w:tr>
        <w:trPr/>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(I.R.S. Employer </w:t>
              <w:br/>
              <w:t>Identification Number)</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206 E. 9th Street, Suite 1400, Austin, Texas 78701</w:t>
      </w:r>
    </w:p>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(888) 512-8906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w:t>
      </w:r>
    </w:p>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518" w:type="dxa"/>
        <w:jc w:val="center"/>
        <w:tblInd w:w="0" w:type="dxa"/>
        <w:tblLayout w:type="fixed"/>
        <w:tblCellMar>
          <w:top w:w="28" w:type="dxa"/>
          <w:left w:w="28" w:type="dxa"/>
          <w:bottom w:w="28" w:type="dxa"/>
          <w:right w:w="28" w:type="dxa"/>
        </w:tblCellMar>
      </w:tblPr>
      <w:tblGrid>
        <w:gridCol w:w="1380"/>
        <w:gridCol w:w="1213"/>
        <w:gridCol w:w="1232"/>
        <w:gridCol w:w="474"/>
        <w:gridCol w:w="474"/>
        <w:gridCol w:w="476"/>
        <w:gridCol w:w="956"/>
        <w:gridCol w:w="956"/>
        <w:gridCol w:w="1357"/>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Title of each class </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825"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$0.0005 per share</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CRWD</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Nasdaq Stock Market LLC </w:t>
            </w:r>
          </w:p>
        </w:tc>
      </w:tr>
      <w:tr>
        <w:trPr/>
        <w:tc>
          <w:tcPr>
            <w:tcW w:w="3825"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42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0"/>
        <w:jc w:val="center"/>
        <w:rPr/>
      </w:pPr>
      <w:r>
        <w:rPr/>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ans-serif" w:hAnsi="Times New Roman;sans-serif"/>
          <w:b w:val="false"/>
          <w:color w:val="000000"/>
          <w:sz w:val="18"/>
        </w:rPr>
        <w:t>large accelerated filer,</w:t>
      </w:r>
      <w:r>
        <w:rPr>
          <w:color w:val="000000"/>
        </w:rPr>
        <w:t>” “</w:t>
      </w:r>
      <w:r>
        <w:rPr>
          <w:rFonts w:ascii="Times New Roman;sans-serif" w:hAnsi="Times New Roman;sans-serif"/>
          <w:b w:val="false"/>
          <w:color w:val="000000"/>
          <w:sz w:val="18"/>
        </w:rPr>
        <w:t>accelerated filer,</w:t>
      </w:r>
      <w:r>
        <w:rPr>
          <w:color w:val="000000"/>
        </w:rPr>
        <w:t>” “</w:t>
      </w:r>
      <w:r>
        <w:rPr>
          <w:rFonts w:ascii="Times New Roman;sans-serif" w:hAnsi="Times New Roman;sans-serif"/>
          <w:b w:val="false"/>
          <w:color w:val="000000"/>
          <w:sz w:val="18"/>
        </w:rPr>
        <w:t>smaller reporting company</w:t>
      </w:r>
      <w:r>
        <w:rPr>
          <w:color w:val="000000"/>
        </w:rPr>
        <w:t xml:space="preserve">” </w:t>
      </w:r>
      <w:r>
        <w:rPr>
          <w:rFonts w:ascii="Times New Roman;sans-serif" w:hAnsi="Times New Roman;sans-serif"/>
          <w:b w:val="false"/>
          <w:color w:val="000000"/>
          <w:sz w:val="18"/>
        </w:rPr>
        <w:t xml:space="preserve">and </w:t>
      </w:r>
      <w:r>
        <w:rPr>
          <w:color w:val="000000"/>
        </w:rPr>
        <w:t>“</w:t>
      </w:r>
      <w:r>
        <w:rPr>
          <w:rFonts w:ascii="Times New Roman;sans-serif" w:hAnsi="Times New Roman;sans-serif"/>
          <w:b w:val="false"/>
          <w:color w:val="000000"/>
          <w:sz w:val="18"/>
        </w:rPr>
        <w:t>emerging growth company</w:t>
      </w:r>
      <w:r>
        <w:rPr>
          <w:color w:val="000000"/>
        </w:rPr>
        <w:t xml:space="preserve">” </w:t>
      </w:r>
      <w:r>
        <w:rPr>
          <w:rFonts w:ascii="Times New Roman;sans-serif" w:hAnsi="Times New Roman;sans-serif"/>
          <w:b w:val="false"/>
          <w:color w:val="000000"/>
          <w:sz w:val="18"/>
        </w:rPr>
        <w:t>in Rule 12b-2 of the Exchange Act.</w:t>
      </w:r>
    </w:p>
    <w:tbl>
      <w:tblPr>
        <w:tblW w:w="4509"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679"/>
        <w:gridCol w:w="679"/>
        <w:gridCol w:w="68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100" w:after="283"/>
        <w:ind w:left="0" w:right="0" w:firstLine="72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00" w:after="283"/>
        <w:ind w:left="0" w:right="0" w:firstLine="72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As of May 15, 2023, the number of shares of the registrant’s Class A common stock outstanding was 224,132,410, and the number of shares of the registrant’s Class B common stock outstanding was 12,975,938.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CROWDSTRIKE HOLDINGS, INC.</w:t>
      </w:r>
    </w:p>
    <w:p>
      <w:pPr>
        <w:pStyle w:val="TextBody"/>
        <w:bidi w:val="0"/>
        <w:spacing w:lineRule="auto" w:line="288" w:before="3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892"/>
        <w:gridCol w:w="2892"/>
        <w:gridCol w:w="2899"/>
        <w:gridCol w:w="206"/>
        <w:gridCol w:w="206"/>
        <w:gridCol w:w="29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3">
              <w:r>
                <w:rPr>
                  <w:rStyle w:val="InternetLink"/>
                  <w:rFonts w:ascii="Times New Roman;sans-serif" w:hAnsi="Times New Roman;sans-serif"/>
                  <w:b w:val="false"/>
                  <w:color w:val="0000FF"/>
                  <w:sz w:val="20"/>
                  <w:u w:val="single"/>
                </w:rPr>
                <w:t>PART I. FINANCIAL INFORMATION</w:t>
              </w:r>
            </w:hyperlink>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6">
              <w:r>
                <w:rPr>
                  <w:rStyle w:val="InternetLink"/>
                  <w:rFonts w:ascii="Times New Roman;sans-serif" w:hAnsi="Times New Roman;sans-serif"/>
                  <w:b w:val="false"/>
                  <w:color w:val="0000FF"/>
                  <w:sz w:val="20"/>
                  <w:u w:val="single"/>
                </w:rPr>
                <w:t>Item 1.</w:t>
              </w:r>
            </w:hyperlink>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6">
              <w:r>
                <w:rPr>
                  <w:rStyle w:val="InternetLink"/>
                  <w:rFonts w:ascii="Times New Roman;sans-serif" w:hAnsi="Times New Roman;sans-serif"/>
                  <w:b w:val="false"/>
                  <w:color w:val="0000FF"/>
                  <w:sz w:val="20"/>
                  <w:u w:val="single"/>
                </w:rPr>
                <w:t>Financial Statements (unaudited)</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9">
              <w:r>
                <w:rPr>
                  <w:rStyle w:val="InternetLink"/>
                  <w:rFonts w:ascii="Times New Roman;sans-serif" w:hAnsi="Times New Roman;sans-serif"/>
                  <w:b w:val="false"/>
                  <w:color w:val="0000FF"/>
                  <w:sz w:val="20"/>
                  <w:u w:val="single"/>
                </w:rPr>
                <w:t>Condensed Consolidated Balance Sheets as of April 30, 2023 and January 31, 2023</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9">
              <w:r>
                <w:rPr>
                  <w:rStyle w:val="InternetLink"/>
                  <w:rFonts w:ascii="Times New Roman;sans-serif" w:hAnsi="Times New Roman;sans-serif"/>
                  <w:b w:val="false"/>
                  <w:strike w:val="false"/>
                  <w:dstrike w:val="false"/>
                  <w:color w:val="000000"/>
                  <w:sz w:val="20"/>
                  <w:u w:val="none"/>
                  <w:effect w:val="none"/>
                </w:rPr>
                <w:t>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22">
              <w:r>
                <w:rPr>
                  <w:rStyle w:val="InternetLink"/>
                  <w:rFonts w:ascii="Times New Roman;sans-serif" w:hAnsi="Times New Roman;sans-serif"/>
                  <w:b w:val="false"/>
                  <w:color w:val="0000FF"/>
                  <w:sz w:val="20"/>
                  <w:u w:val="single"/>
                </w:rPr>
                <w:t>Condensed Consolidated Statements of Operations for the Three Months Ended April 30, 2023 and April 30, 2022</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22">
              <w:r>
                <w:rPr>
                  <w:rStyle w:val="InternetLink"/>
                  <w:rFonts w:ascii="Times New Roman;sans-serif" w:hAnsi="Times New Roman;sans-serif"/>
                  <w:b w:val="false"/>
                  <w:strike w:val="false"/>
                  <w:dstrike w:val="false"/>
                  <w:color w:val="000000"/>
                  <w:sz w:val="20"/>
                  <w:u w:val="none"/>
                  <w:effect w:val="none"/>
                </w:rPr>
                <w:t>7</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25">
              <w:r>
                <w:rPr>
                  <w:rStyle w:val="InternetLink"/>
                  <w:rFonts w:ascii="Times New Roman;sans-serif" w:hAnsi="Times New Roman;sans-serif"/>
                  <w:b w:val="false"/>
                  <w:color w:val="0000FF"/>
                  <w:sz w:val="20"/>
                  <w:u w:val="single"/>
                </w:rPr>
                <w:t>Condensed Consolidated Statements of Comprehensive Income (Loss) for the Three Months Ended April 30, 2023 and April 30, 2022</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25">
              <w:r>
                <w:rPr>
                  <w:rStyle w:val="InternetLink"/>
                  <w:rFonts w:ascii="Times New Roman;sans-serif" w:hAnsi="Times New Roman;sans-serif"/>
                  <w:b w:val="false"/>
                  <w:strike w:val="false"/>
                  <w:dstrike w:val="false"/>
                  <w:color w:val="000000"/>
                  <w:sz w:val="20"/>
                  <w:u w:val="none"/>
                  <w:effect w:val="none"/>
                </w:rPr>
                <w:t>8</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22080a7e4f468397a9cd5156948d70_28">
              <w:r>
                <w:rPr>
                  <w:rStyle w:val="InternetLink"/>
                  <w:rFonts w:ascii="Times New Roman;sans-serif" w:hAnsi="Times New Roman;sans-serif"/>
                  <w:b w:val="false"/>
                  <w:color w:val="0000FF"/>
                  <w:sz w:val="20"/>
                  <w:u w:val="single"/>
                </w:rPr>
                <w:t>Condensed Consolidated Statements of Stockholders’ Equity for the Three Months Ended April 30, 2023 and April 30, 2022</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b22080a7e4f468397a9cd5156948d70_28">
              <w:r>
                <w:rPr>
                  <w:rStyle w:val="InternetLink"/>
                  <w:rFonts w:ascii="Times New Roman;sans-serif" w:hAnsi="Times New Roman;sans-serif"/>
                  <w:b w:val="false"/>
                  <w:strike w:val="false"/>
                  <w:dstrike w:val="false"/>
                  <w:color w:val="000000"/>
                  <w:sz w:val="20"/>
                  <w:u w:val="none"/>
                  <w:effect w:val="none"/>
                </w:rPr>
                <w:t>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31">
              <w:r>
                <w:rPr>
                  <w:rStyle w:val="InternetLink"/>
                  <w:rFonts w:ascii="Times New Roman;sans-serif" w:hAnsi="Times New Roman;sans-serif"/>
                  <w:b w:val="false"/>
                  <w:color w:val="0000FF"/>
                  <w:sz w:val="20"/>
                  <w:u w:val="single"/>
                </w:rPr>
                <w:t>Condensed Consolidated Statements of Cash Flows for the Three Months Ended April 30, 2023 and April 30, 2022</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34">
              <w:r>
                <w:rPr>
                  <w:rStyle w:val="InternetLink"/>
                  <w:rFonts w:ascii="Times New Roman;sans-serif" w:hAnsi="Times New Roman;sans-serif"/>
                  <w:b w:val="false"/>
                  <w:color w:val="0000FF"/>
                  <w:sz w:val="20"/>
                  <w:u w:val="single"/>
                </w:rPr>
                <w:t>Notes to Condensed Consolidated Financial Statements</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34">
              <w:r>
                <w:rPr>
                  <w:rStyle w:val="InternetLink"/>
                  <w:rFonts w:ascii="Times New Roman;sans-serif" w:hAnsi="Times New Roman;sans-serif"/>
                  <w:b w:val="false"/>
                  <w:strike w:val="false"/>
                  <w:dstrike w:val="false"/>
                  <w:color w:val="000000"/>
                  <w:sz w:val="20"/>
                  <w:u w:val="none"/>
                  <w:effect w:val="none"/>
                </w:rPr>
                <w:t>11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73">
              <w:r>
                <w:rPr>
                  <w:rStyle w:val="InternetLink"/>
                  <w:rFonts w:ascii="Times New Roman;sans-serif" w:hAnsi="Times New Roman;sans-serif"/>
                  <w:b w:val="false"/>
                  <w:color w:val="0000FF"/>
                  <w:sz w:val="20"/>
                  <w:u w:val="single"/>
                </w:rPr>
                <w:t>Item 2.</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73">
              <w:r>
                <w:rPr>
                  <w:rStyle w:val="InternetLink"/>
                  <w:rFonts w:ascii="Times New Roman;sans-serif" w:hAnsi="Times New Roman;sans-serif"/>
                  <w:b w:val="false"/>
                  <w:strike w:val="false"/>
                  <w:dstrike w:val="false"/>
                  <w:color w:val="000000"/>
                  <w:sz w:val="20"/>
                  <w:u w:val="none"/>
                  <w:effect w:val="none"/>
                </w:rPr>
                <w:t>26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09">
              <w:r>
                <w:rPr>
                  <w:rStyle w:val="InternetLink"/>
                  <w:rFonts w:ascii="Times New Roman;sans-serif" w:hAnsi="Times New Roman;sans-serif"/>
                  <w:b w:val="false"/>
                  <w:color w:val="0000FF"/>
                  <w:sz w:val="20"/>
                  <w:u w:val="single"/>
                </w:rPr>
                <w:t>Item 3.</w:t>
              </w:r>
            </w:hyperlink>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09">
              <w:r>
                <w:rPr>
                  <w:rStyle w:val="InternetLink"/>
                  <w:rFonts w:ascii="Times New Roman;sans-serif" w:hAnsi="Times New Roman;sans-serif"/>
                  <w:b w:val="false"/>
                  <w:color w:val="0000FF"/>
                  <w:sz w:val="20"/>
                  <w:u w:val="single"/>
                </w:rPr>
                <w:t>Quantitative and Qualitative Disclosures about Market Risk</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09">
              <w:r>
                <w:rPr>
                  <w:rStyle w:val="InternetLink"/>
                  <w:rFonts w:ascii="Times New Roman;sans-serif" w:hAnsi="Times New Roman;sans-serif"/>
                  <w:b w:val="false"/>
                  <w:strike w:val="false"/>
                  <w:dstrike w:val="false"/>
                  <w:color w:val="000000"/>
                  <w:sz w:val="20"/>
                  <w:u w:val="none"/>
                  <w:effect w:val="none"/>
                </w:rPr>
                <w:t>40</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12">
              <w:r>
                <w:rPr>
                  <w:rStyle w:val="InternetLink"/>
                  <w:rFonts w:ascii="Times New Roman;sans-serif" w:hAnsi="Times New Roman;sans-serif"/>
                  <w:b w:val="false"/>
                  <w:color w:val="0000FF"/>
                  <w:sz w:val="20"/>
                  <w:u w:val="single"/>
                </w:rPr>
                <w:t>Item 4.</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12">
              <w:r>
                <w:rPr>
                  <w:rStyle w:val="InternetLink"/>
                  <w:rFonts w:ascii="Times New Roman;sans-serif" w:hAnsi="Times New Roman;sans-serif"/>
                  <w:b w:val="false"/>
                  <w:color w:val="0000FF"/>
                  <w:sz w:val="20"/>
                  <w:u w:val="single"/>
                </w:rPr>
                <w:t>Controls and Procedures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12">
              <w:r>
                <w:rPr>
                  <w:rStyle w:val="InternetLink"/>
                  <w:rFonts w:ascii="Times New Roman;sans-serif" w:hAnsi="Times New Roman;sans-serif"/>
                  <w:b w:val="false"/>
                  <w:strike w:val="false"/>
                  <w:dstrike w:val="false"/>
                  <w:color w:val="000000"/>
                  <w:sz w:val="20"/>
                  <w:u w:val="none"/>
                  <w:effect w:val="none"/>
                </w:rPr>
                <w:t>40</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15">
              <w:r>
                <w:rPr>
                  <w:rStyle w:val="InternetLink"/>
                  <w:rFonts w:ascii="Times New Roman;sans-serif" w:hAnsi="Times New Roman;sans-serif"/>
                  <w:b w:val="false"/>
                  <w:color w:val="0000FF"/>
                  <w:sz w:val="20"/>
                  <w:u w:val="single"/>
                </w:rPr>
                <w:t>PART II. OTHER INFORMATION</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18">
              <w:r>
                <w:rPr>
                  <w:rStyle w:val="InternetLink"/>
                  <w:rFonts w:ascii="Times New Roman;sans-serif" w:hAnsi="Times New Roman;sans-serif"/>
                  <w:b w:val="false"/>
                  <w:color w:val="0000FF"/>
                  <w:sz w:val="20"/>
                  <w:u w:val="single"/>
                </w:rPr>
                <w:t>Item 1.</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18">
              <w:r>
                <w:rPr>
                  <w:rStyle w:val="InternetLink"/>
                  <w:rFonts w:ascii="Times New Roman;sans-serif" w:hAnsi="Times New Roman;sans-serif"/>
                  <w:b w:val="false"/>
                  <w:color w:val="0000FF"/>
                  <w:sz w:val="20"/>
                  <w:u w:val="single"/>
                </w:rPr>
                <w:t>Legal Proceedings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18">
              <w:r>
                <w:rPr>
                  <w:rStyle w:val="InternetLink"/>
                  <w:rFonts w:ascii="Times New Roman;sans-serif" w:hAnsi="Times New Roman;sans-serif"/>
                  <w:b w:val="false"/>
                  <w:strike w:val="false"/>
                  <w:dstrike w:val="false"/>
                  <w:color w:val="000000"/>
                  <w:sz w:val="20"/>
                  <w:u w:val="none"/>
                  <w:effect w:val="none"/>
                </w:rPr>
                <w:t>40</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21">
              <w:r>
                <w:rPr>
                  <w:rStyle w:val="InternetLink"/>
                  <w:rFonts w:ascii="Times New Roman;sans-serif" w:hAnsi="Times New Roman;sans-serif"/>
                  <w:b w:val="false"/>
                  <w:color w:val="0000FF"/>
                  <w:sz w:val="20"/>
                  <w:u w:val="single"/>
                </w:rPr>
                <w:t>Item 1A.</w:t>
              </w:r>
            </w:hyperlink>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21">
              <w:r>
                <w:rPr>
                  <w:rStyle w:val="InternetLink"/>
                  <w:rFonts w:ascii="Times New Roman;sans-serif" w:hAnsi="Times New Roman;sans-serif"/>
                  <w:b w:val="false"/>
                  <w:color w:val="0000FF"/>
                  <w:sz w:val="20"/>
                  <w:u w:val="single"/>
                </w:rPr>
                <w:t>Risk Factors</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21">
              <w:r>
                <w:rPr>
                  <w:rStyle w:val="InternetLink"/>
                  <w:rFonts w:ascii="Times New Roman;sans-serif" w:hAnsi="Times New Roman;sans-serif"/>
                  <w:b w:val="false"/>
                  <w:strike w:val="false"/>
                  <w:dstrike w:val="false"/>
                  <w:color w:val="000000"/>
                  <w:sz w:val="20"/>
                  <w:u w:val="none"/>
                  <w:effect w:val="none"/>
                </w:rPr>
                <w:t>41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24">
              <w:r>
                <w:rPr>
                  <w:rStyle w:val="InternetLink"/>
                  <w:rFonts w:ascii="Times New Roman;sans-serif" w:hAnsi="Times New Roman;sans-serif"/>
                  <w:b w:val="false"/>
                  <w:color w:val="0000FF"/>
                  <w:sz w:val="20"/>
                  <w:u w:val="single"/>
                </w:rPr>
                <w:t>Item 2.</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24">
              <w:r>
                <w:rPr>
                  <w:rStyle w:val="InternetLink"/>
                  <w:rFonts w:ascii="Times New Roman;sans-serif" w:hAnsi="Times New Roman;sans-serif"/>
                  <w:b w:val="false"/>
                  <w:color w:val="0000FF"/>
                  <w:sz w:val="20"/>
                  <w:u w:val="single"/>
                </w:rPr>
                <w:t>Unregistered Shares of Equity Securities and Use of Proceeds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24">
              <w:r>
                <w:rPr>
                  <w:rStyle w:val="InternetLink"/>
                  <w:rFonts w:ascii="Times New Roman;sans-serif" w:hAnsi="Times New Roman;sans-serif"/>
                  <w:b w:val="false"/>
                  <w:strike w:val="false"/>
                  <w:dstrike w:val="false"/>
                  <w:color w:val="000000"/>
                  <w:sz w:val="20"/>
                  <w:u w:val="none"/>
                  <w:effect w:val="none"/>
                </w:rPr>
                <w:t>71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27">
              <w:r>
                <w:rPr>
                  <w:rStyle w:val="InternetLink"/>
                  <w:rFonts w:ascii="Times New Roman;sans-serif" w:hAnsi="Times New Roman;sans-serif"/>
                  <w:b w:val="false"/>
                  <w:color w:val="0000FF"/>
                  <w:sz w:val="20"/>
                  <w:u w:val="single"/>
                </w:rPr>
                <w:t>Item 3.</w:t>
              </w:r>
            </w:hyperlink>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27">
              <w:r>
                <w:rPr>
                  <w:rStyle w:val="InternetLink"/>
                  <w:rFonts w:ascii="Times New Roman;sans-serif" w:hAnsi="Times New Roman;sans-serif"/>
                  <w:b w:val="false"/>
                  <w:color w:val="0000FF"/>
                  <w:sz w:val="20"/>
                  <w:u w:val="single"/>
                </w:rPr>
                <w:t>Defaults Upon Senior Securities</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27">
              <w:r>
                <w:rPr>
                  <w:rStyle w:val="InternetLink"/>
                  <w:rFonts w:ascii="Times New Roman;sans-serif" w:hAnsi="Times New Roman;sans-serif"/>
                  <w:b w:val="false"/>
                  <w:strike w:val="false"/>
                  <w:dstrike w:val="false"/>
                  <w:color w:val="000000"/>
                  <w:sz w:val="20"/>
                  <w:u w:val="none"/>
                  <w:effect w:val="none"/>
                </w:rPr>
                <w:t>72</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30">
              <w:r>
                <w:rPr>
                  <w:rStyle w:val="InternetLink"/>
                  <w:rFonts w:ascii="Times New Roman;sans-serif" w:hAnsi="Times New Roman;sans-serif"/>
                  <w:b w:val="false"/>
                  <w:color w:val="0000FF"/>
                  <w:sz w:val="20"/>
                  <w:u w:val="single"/>
                </w:rPr>
                <w:t>Item 4.</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30">
              <w:r>
                <w:rPr>
                  <w:rStyle w:val="InternetLink"/>
                  <w:rFonts w:ascii="Times New Roman;sans-serif" w:hAnsi="Times New Roman;sans-serif"/>
                  <w:b w:val="false"/>
                  <w:color w:val="0000FF"/>
                  <w:sz w:val="20"/>
                  <w:u w:val="single"/>
                </w:rPr>
                <w:t>Mine Safety Disclosures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30">
              <w:r>
                <w:rPr>
                  <w:rStyle w:val="InternetLink"/>
                  <w:rFonts w:ascii="Times New Roman;sans-serif" w:hAnsi="Times New Roman;sans-serif"/>
                  <w:b w:val="false"/>
                  <w:strike w:val="false"/>
                  <w:dstrike w:val="false"/>
                  <w:color w:val="000000"/>
                  <w:sz w:val="20"/>
                  <w:u w:val="none"/>
                  <w:effect w:val="none"/>
                </w:rPr>
                <w:t>72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33">
              <w:r>
                <w:rPr>
                  <w:rStyle w:val="InternetLink"/>
                  <w:rFonts w:ascii="Times New Roman;sans-serif" w:hAnsi="Times New Roman;sans-serif"/>
                  <w:b w:val="false"/>
                  <w:color w:val="0000FF"/>
                  <w:sz w:val="20"/>
                  <w:u w:val="single"/>
                </w:rPr>
                <w:t>Item 5.</w:t>
              </w:r>
            </w:hyperlink>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33">
              <w:r>
                <w:rPr>
                  <w:rStyle w:val="InternetLink"/>
                  <w:rFonts w:ascii="Times New Roman;sans-serif" w:hAnsi="Times New Roman;sans-serif"/>
                  <w:b w:val="false"/>
                  <w:color w:val="0000FF"/>
                  <w:sz w:val="20"/>
                  <w:u w:val="single"/>
                </w:rPr>
                <w:t>Other Information</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33">
              <w:r>
                <w:rPr>
                  <w:rStyle w:val="InternetLink"/>
                  <w:rFonts w:ascii="Times New Roman;sans-serif" w:hAnsi="Times New Roman;sans-serif"/>
                  <w:b w:val="false"/>
                  <w:strike w:val="false"/>
                  <w:dstrike w:val="false"/>
                  <w:color w:val="000000"/>
                  <w:sz w:val="20"/>
                  <w:u w:val="none"/>
                  <w:effect w:val="none"/>
                </w:rPr>
                <w:t>72</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36">
              <w:r>
                <w:rPr>
                  <w:rStyle w:val="InternetLink"/>
                  <w:rFonts w:ascii="Times New Roman;sans-serif" w:hAnsi="Times New Roman;sans-serif"/>
                  <w:b w:val="false"/>
                  <w:color w:val="0000FF"/>
                  <w:sz w:val="20"/>
                  <w:u w:val="single"/>
                </w:rPr>
                <w:t>Item 6.</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36">
              <w:r>
                <w:rPr>
                  <w:rStyle w:val="InternetLink"/>
                  <w:rFonts w:ascii="Times New Roman;sans-serif" w:hAnsi="Times New Roman;sans-serif"/>
                  <w:b w:val="false"/>
                  <w:color w:val="0000FF"/>
                  <w:sz w:val="20"/>
                  <w:u w:val="single"/>
                </w:rPr>
                <w:t>Exhibits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36">
              <w:r>
                <w:rPr>
                  <w:rStyle w:val="InternetLink"/>
                  <w:rFonts w:ascii="Times New Roman;sans-serif" w:hAnsi="Times New Roman;sans-serif"/>
                  <w:b w:val="false"/>
                  <w:strike w:val="false"/>
                  <w:dstrike w:val="false"/>
                  <w:color w:val="000000"/>
                  <w:sz w:val="20"/>
                  <w:u w:val="none"/>
                  <w:effect w:val="none"/>
                </w:rPr>
                <w:t>72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1b22080a7e4f468397a9cd5156948d70_139">
              <w:r>
                <w:rPr>
                  <w:rStyle w:val="InternetLink"/>
                  <w:rFonts w:ascii="Times New Roman;sans-serif" w:hAnsi="Times New Roman;sans-serif"/>
                  <w:b w:val="false"/>
                  <w:color w:val="0000FF"/>
                  <w:sz w:val="20"/>
                  <w:u w:val="single"/>
                </w:rPr>
                <w:t>Signatures</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1b22080a7e4f468397a9cd5156948d70_139">
              <w:r>
                <w:rPr>
                  <w:rStyle w:val="InternetLink"/>
                  <w:rFonts w:ascii="Times New Roman;sans-serif" w:hAnsi="Times New Roman;sans-serif"/>
                  <w:b w:val="false"/>
                  <w:strike w:val="false"/>
                  <w:dstrike w:val="false"/>
                  <w:color w:val="000000"/>
                  <w:sz w:val="20"/>
                  <w:u w:val="none"/>
                  <w:effect w:val="none"/>
                </w:rPr>
                <w:t>74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pStyle w:val="TextBody"/>
        <w:bidi w:val="0"/>
        <w:spacing w:lineRule="auto" w:line="264"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but are not limited to, statements concerning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market acceptance of our cloud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effects of increased competition in our markets and our ability to compete effectively;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the security and availability of our cloud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and expand our customer base, including by attracting new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develop new solutions, or enhancements to our existing solutions, and bring them to market in a timely manner;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anticipated trends, growth rates and challenges in our business and in the markets in which we operate;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the COVID-19 pandemic on our operations, financial results, and liquidity and capital resources, including on customers, sales, expenses, and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business plan and our ability to effectively manage our growth and associated investments;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beliefs and objectives for future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relationships with third parties, including channel partners and technology alliance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protect and enhance our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defend litigation brought against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expand in our existing markets and into new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sufficiency of cash and cash equivalents to meet cash needs for at least the next 12 months;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expand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comply with laws and regulations that currently apply or become applicable to our business both in the United States 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develop, maintain, and improve our internal control over financial reporting;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macroeconomic factors, including inflation and instability in the global credit and financial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close and integrate acquisitions to contribute to our growth objectives;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attraction and retention of qualified employees and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64"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pStyle w:val="TextBody"/>
        <w:bidi w:val="0"/>
        <w:spacing w:lineRule="auto" w:line="264"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 </w:t>
      </w:r>
    </w:p>
    <w:p>
      <w:pPr>
        <w:pStyle w:val="TextBody"/>
        <w:bidi w:val="0"/>
        <w:spacing w:lineRule="auto" w:line="264" w:before="24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64"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experienced rapid growth in recent periods, and if we do not manage our future growth, our business and results of operations will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a history of losses, and while we have achieved profitability in a period, we may not be able to achieve or sustain profitability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organizations do not adopt cloud-based SaaS-delivered endpoint security solutions, our ability to grow our business and results of operations may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attract new customers, our future results of operations could be harmed.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our customers do not renew their subscriptions for our products and add additional cloud modules to their subscriptions, our future results of operations could be harmed.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sales cycles can be long and unpredictable, and our sales efforts require considerable time and expense,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our solutions fail or are perceived to fail to detect or prevent incidents or have or are perceived to have defects, errors, or vulnerabilities, our brand and reputation would be harmed, which would adversely affect our business and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rely on our key technical, sales and management personnel to grow our business, and the loss of one or more key employees could harm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attract and retain qualified personnel, our business could be harmed.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Claims by others that we infringe their proprietary technology or other intellectual property rights could result in significant costs and substantially harm our business, financial condition, results of operations, and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not able to comply with applicable data protection, security, privacy, and other government- and industry-specific laws, regulations, standards or requirements, our business, results of operations, and financial condition could be harmed.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CrowdStrike Holdings,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p>
      <w:pPr>
        <w:pStyle w:val="TextBody"/>
        <w:bidi w:val="0"/>
        <w:spacing w:lineRule="auto" w:line="288" w:before="0" w:after="24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3066"/>
        <w:gridCol w:w="2226"/>
        <w:gridCol w:w="2187"/>
        <w:gridCol w:w="196"/>
        <w:gridCol w:w="871"/>
        <w:gridCol w:w="109"/>
        <w:gridCol w:w="109"/>
        <w:gridCol w:w="109"/>
        <w:gridCol w:w="109"/>
        <w:gridCol w:w="196"/>
        <w:gridCol w:w="871"/>
        <w:gridCol w:w="156"/>
      </w:tblGrid>
      <w:tr>
        <w:trPr/>
        <w:tc>
          <w:tcPr>
            <w:tcW w:w="306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credit losses of $3.0 million and $2.6 million as of April 30, 2023 and January 31,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3,640,267 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Strategic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5,137,858 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5,026,540 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and Stockholders’ Equity </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2,109,072 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Long-term debt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3,539,106 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8)</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Stockholders’ Equity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$0.0005 par value; 100,000 shares authorized as of April 30, 2023 and January 31, 2023; no shares issued and outstanding as of April 30, 2023 and January 31, 2023.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$0.0005 par value; 2,000,000 shares authorized as of April 30, 2023 and January 31, 2023; 224,123 shares and 222,759 shares issued and outstanding as of April 30, 2023 and January 31, 2023, respectively; Class B common stock, $0.0005 par value; 300,000 shares authorized as of April 30, 2023 and January 31, 2023; 12,976 shares and 13,018 shares issued and outstanding as of April 30, 2023 and January 31,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2,612,705 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(1,148,163)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CrowdStrike Holdings, Inc. stockholders’ equity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1,463,641 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stockholders’ equity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1,487,434 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liabilities and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5,137,858 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5,026,540 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CrowdStrike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94"/>
        <w:gridCol w:w="2344"/>
        <w:gridCol w:w="2366"/>
        <w:gridCol w:w="213"/>
        <w:gridCol w:w="837"/>
        <w:gridCol w:w="110"/>
        <w:gridCol w:w="110"/>
        <w:gridCol w:w="110"/>
        <w:gridCol w:w="110"/>
        <w:gridCol w:w="213"/>
        <w:gridCol w:w="837"/>
        <w:gridCol w:w="161"/>
      </w:tblGrid>
      <w:tr>
        <w:trPr/>
        <w:tc>
          <w:tcPr>
            <w:tcW w:w="279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April 30,</w:t>
            </w:r>
          </w:p>
        </w:tc>
      </w:tr>
      <w:tr>
        <w:trPr/>
        <w:tc>
          <w:tcPr>
            <w:tcW w:w="7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attributable to CrowdStrike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CrowdStrike common stockholders: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attributable to CrowdStrike common stockholders: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240,598 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231,179 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CrowdStrike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8201" w:type="dxa"/>
        <w:jc w:val="center"/>
        <w:tblInd w:w="0" w:type="dxa"/>
        <w:tblLayout w:type="fixed"/>
        <w:tblCellMar>
          <w:top w:w="28" w:type="dxa"/>
          <w:left w:w="28" w:type="dxa"/>
          <w:bottom w:w="28" w:type="dxa"/>
          <w:right w:w="28" w:type="dxa"/>
        </w:tblCellMar>
      </w:tblPr>
      <w:tblGrid>
        <w:gridCol w:w="2059"/>
        <w:gridCol w:w="1805"/>
        <w:gridCol w:w="1820"/>
        <w:gridCol w:w="219"/>
        <w:gridCol w:w="640"/>
        <w:gridCol w:w="113"/>
        <w:gridCol w:w="113"/>
        <w:gridCol w:w="113"/>
        <w:gridCol w:w="113"/>
        <w:gridCol w:w="219"/>
        <w:gridCol w:w="827"/>
        <w:gridCol w:w="160"/>
      </w:tblGrid>
      <w:tr>
        <w:trPr/>
        <w:tc>
          <w:tcPr>
            <w:tcW w:w="205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attributable to CrowdStrike</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(34,471)</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CrowdStrike Holdings,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April 30, 2023 and 2022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646"/>
        <w:gridCol w:w="228"/>
        <w:gridCol w:w="229"/>
        <w:gridCol w:w="109"/>
        <w:gridCol w:w="109"/>
        <w:gridCol w:w="109"/>
        <w:gridCol w:w="323"/>
        <w:gridCol w:w="323"/>
        <w:gridCol w:w="171"/>
        <w:gridCol w:w="109"/>
        <w:gridCol w:w="109"/>
        <w:gridCol w:w="109"/>
        <w:gridCol w:w="181"/>
        <w:gridCol w:w="376"/>
        <w:gridCol w:w="109"/>
        <w:gridCol w:w="109"/>
        <w:gridCol w:w="109"/>
        <w:gridCol w:w="109"/>
        <w:gridCol w:w="181"/>
        <w:gridCol w:w="769"/>
        <w:gridCol w:w="109"/>
        <w:gridCol w:w="109"/>
        <w:gridCol w:w="109"/>
        <w:gridCol w:w="109"/>
        <w:gridCol w:w="181"/>
        <w:gridCol w:w="767"/>
        <w:gridCol w:w="109"/>
        <w:gridCol w:w="109"/>
        <w:gridCol w:w="109"/>
        <w:gridCol w:w="109"/>
        <w:gridCol w:w="238"/>
        <w:gridCol w:w="652"/>
        <w:gridCol w:w="143"/>
        <w:gridCol w:w="109"/>
        <w:gridCol w:w="109"/>
        <w:gridCol w:w="109"/>
        <w:gridCol w:w="224"/>
        <w:gridCol w:w="708"/>
        <w:gridCol w:w="136"/>
        <w:gridCol w:w="109"/>
        <w:gridCol w:w="109"/>
        <w:gridCol w:w="109"/>
        <w:gridCol w:w="181"/>
        <w:gridCol w:w="769"/>
        <w:gridCol w:w="163"/>
      </w:tblGrid>
      <w:tr>
        <w:trPr/>
        <w:tc>
          <w:tcPr>
            <w:tcW w:w="6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Balances at January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235,777 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2,612,705 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(1,148,163)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23,793 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1,487,434 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for founders holdbacks related to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for board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129,130 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Capitalized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Balances at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237,099 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2,752,716 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(1,147,672)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29,058 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1,634,359 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63"/>
        <w:gridCol w:w="249"/>
        <w:gridCol w:w="250"/>
        <w:gridCol w:w="109"/>
        <w:gridCol w:w="109"/>
        <w:gridCol w:w="109"/>
        <w:gridCol w:w="323"/>
        <w:gridCol w:w="323"/>
        <w:gridCol w:w="171"/>
        <w:gridCol w:w="109"/>
        <w:gridCol w:w="109"/>
        <w:gridCol w:w="109"/>
        <w:gridCol w:w="181"/>
        <w:gridCol w:w="376"/>
        <w:gridCol w:w="109"/>
        <w:gridCol w:w="109"/>
        <w:gridCol w:w="109"/>
        <w:gridCol w:w="109"/>
        <w:gridCol w:w="183"/>
        <w:gridCol w:w="777"/>
        <w:gridCol w:w="110"/>
        <w:gridCol w:w="109"/>
        <w:gridCol w:w="109"/>
        <w:gridCol w:w="109"/>
        <w:gridCol w:w="182"/>
        <w:gridCol w:w="652"/>
        <w:gridCol w:w="109"/>
        <w:gridCol w:w="109"/>
        <w:gridCol w:w="109"/>
        <w:gridCol w:w="109"/>
        <w:gridCol w:w="243"/>
        <w:gridCol w:w="666"/>
        <w:gridCol w:w="147"/>
        <w:gridCol w:w="109"/>
        <w:gridCol w:w="109"/>
        <w:gridCol w:w="109"/>
        <w:gridCol w:w="226"/>
        <w:gridCol w:w="713"/>
        <w:gridCol w:w="137"/>
        <w:gridCol w:w="109"/>
        <w:gridCol w:w="109"/>
        <w:gridCol w:w="109"/>
        <w:gridCol w:w="183"/>
        <w:gridCol w:w="777"/>
        <w:gridCol w:w="166"/>
      </w:tblGrid>
      <w:tr>
        <w:trPr/>
        <w:tc>
          <w:tcPr>
            <w:tcW w:w="6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Balances at January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230,706 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1,991,807 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(964,918)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11,879 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1,037,643 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Vesting of early exercised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for founders holdbacks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100,776 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100,776 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Capitalized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(2,948)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Balances at April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232,018 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2,103,054 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(996,441)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(4,188)</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14,456 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1,116,997 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center"/>
        <w:rPr>
          <w:rFonts w:ascii="Times New Roman;sans-serif" w:hAnsi="Times New Roman;sans-serif"/>
          <w:b w:val="false"/>
          <w:color w:val="000000"/>
          <w:sz w:val="15"/>
        </w:rPr>
      </w:pPr>
      <w:r>
        <w:rPr>
          <w:rFonts w:ascii="Times New Roman;sans-serif" w:hAnsi="Times New Roman;sans-serif"/>
          <w:b w:val="false"/>
          <w:color w:val="000000"/>
          <w:sz w:val="15"/>
        </w:rPr>
        <w:t>The accompanying notes are an integral part of these condensed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CrowdStrike Holdings, Inc.</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Condensed Consolidated Statements of Cash Flows</w:t>
      </w:r>
    </w:p>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bl>
      <w:tblPr>
        <w:tblW w:w="8829" w:type="dxa"/>
        <w:jc w:val="center"/>
        <w:tblInd w:w="0" w:type="dxa"/>
        <w:tblLayout w:type="fixed"/>
        <w:tblCellMar>
          <w:top w:w="28" w:type="dxa"/>
          <w:left w:w="28" w:type="dxa"/>
          <w:bottom w:w="28" w:type="dxa"/>
          <w:right w:w="28" w:type="dxa"/>
        </w:tblCellMar>
      </w:tblPr>
      <w:tblGrid>
        <w:gridCol w:w="2327"/>
        <w:gridCol w:w="2044"/>
        <w:gridCol w:w="2064"/>
        <w:gridCol w:w="181"/>
        <w:gridCol w:w="721"/>
        <w:gridCol w:w="109"/>
        <w:gridCol w:w="109"/>
        <w:gridCol w:w="109"/>
        <w:gridCol w:w="109"/>
        <w:gridCol w:w="181"/>
        <w:gridCol w:w="721"/>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April 30,</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Operating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income (loss)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income (loss) to net cash provided by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deferred contract acquisition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operating lease cost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strategic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 net of impact of acquisitions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contract acquisition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 and other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payroll and benefits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Investing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internal-use software and website development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strategic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intangible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Proceeds from sales of investments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deferred compensation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investing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(60,950)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Financing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common stock upon exercise of stock options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contributions from non-controlling interest holders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financing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foreign exchange rates on cash, cash equivalents and 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in cash, cash equivalents and restricted cash</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374,641 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and restricted cash at beginning of period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1,996,633 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and restricted cash at 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2,831,565 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2,152,736 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at the end of period:</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2,829,677 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2,152,736 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prepaid expenses and 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cash, cash equivalents and restricted cash shown in the condensed consolidated statements of cash flows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2,831,565 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2,152,736 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 of cash flow information:</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paid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 paid, net of refunds received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 of non-cash investing and financing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(decrease) in property and equipment included in accounts payable and accrued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Vesting of early exercised stock options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Operating lease liabilities arising from obtaining operating right of-use assets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intangible assets included in accrued expenses and other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pPr>
      <w:r>
        <w:rPr>
          <w:rFonts w:ascii="Times New Roman;sans-serif" w:hAnsi="Times New Roman;sans-serif"/>
          <w:b w:val="false"/>
          <w:color w:val="000000"/>
          <w:sz w:val="16"/>
        </w:rPr>
        <w:t>The accompanying notes are an integral part of these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CrowdStrike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1. Description of Business and Significant Accounting Policies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CrowdStrike Holdings, Inc. (the “Company”) was formed on November 7, 2011. The Company is a global cybersecurity leader that provides cloud-delivered protection of endpoints, cloud workloads, identity, and data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 conducts its business in the United States, as well as locations internationally, including in Australia, Germany, India, Israel, Romania, and the United Kingdom.</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2023,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months ended April 30, 2023 are not necessarily indicative of the results to be expected for the year ending January 31, 2024 or for any other interim period or for any other future year.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2023, filed with the SEC on March 9, 2023.</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 owned subsidiaries. All intercompany balances and transactions have been eliminated in consolidation.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measurement and disclosure of contingent liabilities, income taxes, stock-based compensation, and the fair value of assets acquired and liabilities assumed in business combinations.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Geographic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concentrations of credit risk consist of cash, cash equivalents, short-term investments, accounts receivable, and strategic investments. The Company’s cash is placed with high-credit-quality financial institutions and issuers, and at times exceeds federally insured limits. The Company has not experienced any credit loss relating to its cash, cash equivalents, short-term investments, or strategic investments. The Company performs periodic credit evaluations of its customers and generally does not require collateral. </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channel partners or direct customers who represented 10% or more of the Company’s accounts receivable as of April 30, 2023 and January 31, 2023. </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channel partners or direct customers who represented 10% or more of the Company’s total revenue for each of the three months ended April 30, 2023 and 2022.</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described in the Company’s Annual Report on Form 10-K for the year ended January 31, 2023. There have been no significant changes to these policies that have had a material impact on the Company’s condensed consolidated financial statements and related notes for the three months ended April 30, 2023.</w:t>
      </w:r>
    </w:p>
    <w:p>
      <w:pPr>
        <w:pStyle w:val="TextBody"/>
        <w:bidi w:val="0"/>
        <w:spacing w:lineRule="auto" w:line="288" w:before="240" w:after="283"/>
        <w:ind w:left="0" w:right="0" w:firstLine="7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Recently Adopted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ASU 2021-08, Business Combinations (Topic 805):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For public business entities, this ASU is effective for fiscal years beginning after December 15, 2022, and interim periods within those fiscal years. The Company adopted this guidance on February 1, 2023, which did not have a material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 Investments and Fair Value Measurements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The Company follows ASC 820</w:t>
      </w:r>
      <w:r>
        <w:rPr>
          <w:rFonts w:ascii="Times New Roman;sans-serif" w:hAnsi="Times New Roman;sans-serif"/>
          <w:b w:val="false"/>
          <w:i/>
          <w:color w:val="000000"/>
          <w:sz w:val="20"/>
        </w:rPr>
        <w:t>, Fair Value Measurements</w:t>
      </w:r>
      <w:r>
        <w:rPr>
          <w:rFonts w:ascii="Times New Roman;sans-serif" w:hAnsi="Times New Roman;sans-serif"/>
          <w:b w:val="false"/>
          <w:color w:val="000000"/>
          <w:sz w:val="20"/>
        </w:rPr>
        <w:t>, with respect to cash equivalents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hierarchy is broken down into three levels as follows:</w:t>
      </w:r>
    </w:p>
    <w:p>
      <w:pPr>
        <w:pStyle w:val="TextBody"/>
        <w:bidi w:val="0"/>
        <w:spacing w:lineRule="auto" w:line="288" w:before="24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Level 1    Assets and liabilities whose values are based on unadjusted quoted market prices for identical assets and liabilities in active markets</w:t>
      </w:r>
    </w:p>
    <w:p>
      <w:pPr>
        <w:pStyle w:val="TextBody"/>
        <w:bidi w:val="0"/>
        <w:spacing w:lineRule="auto" w:line="288" w:before="0" w:after="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Level 2    Assets and liabilities whose values are based on quoted prices in markets that are not active or inputs that are observable for substantially the full term of the asset or liability</w:t>
      </w:r>
    </w:p>
    <w:p>
      <w:pPr>
        <w:pStyle w:val="TextBody"/>
        <w:bidi w:val="0"/>
        <w:spacing w:lineRule="auto" w:line="288" w:before="0" w:after="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Level 3    Assets and liabilities whose values are based on prices or valuation techniques that require inputs that are both unobservable and significant to the overall fair value measurement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Categorization within the valuation hierarchy is based upon the lowest level of input that is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fair value hierarchy for its financial assets and liabilities that are measured at fair value on a recurring basis are as follows (in thousands):</w:t>
      </w:r>
    </w:p>
    <w:tbl>
      <w:tblPr>
        <w:tblW w:w="10528" w:type="dxa"/>
        <w:jc w:val="left"/>
        <w:tblInd w:w="0" w:type="dxa"/>
        <w:tblLayout w:type="fixed"/>
        <w:tblCellMar>
          <w:top w:w="28" w:type="dxa"/>
          <w:left w:w="28" w:type="dxa"/>
          <w:bottom w:w="28" w:type="dxa"/>
          <w:right w:w="28" w:type="dxa"/>
        </w:tblCellMar>
      </w:tblPr>
      <w:tblGrid>
        <w:gridCol w:w="405"/>
        <w:gridCol w:w="343"/>
        <w:gridCol w:w="348"/>
        <w:gridCol w:w="196"/>
        <w:gridCol w:w="871"/>
        <w:gridCol w:w="109"/>
        <w:gridCol w:w="109"/>
        <w:gridCol w:w="109"/>
        <w:gridCol w:w="109"/>
        <w:gridCol w:w="196"/>
        <w:gridCol w:w="406"/>
        <w:gridCol w:w="109"/>
        <w:gridCol w:w="109"/>
        <w:gridCol w:w="109"/>
        <w:gridCol w:w="109"/>
        <w:gridCol w:w="196"/>
        <w:gridCol w:w="406"/>
        <w:gridCol w:w="109"/>
        <w:gridCol w:w="109"/>
        <w:gridCol w:w="109"/>
        <w:gridCol w:w="109"/>
        <w:gridCol w:w="196"/>
        <w:gridCol w:w="871"/>
        <w:gridCol w:w="109"/>
        <w:gridCol w:w="109"/>
        <w:gridCol w:w="109"/>
        <w:gridCol w:w="109"/>
        <w:gridCol w:w="196"/>
        <w:gridCol w:w="646"/>
        <w:gridCol w:w="109"/>
        <w:gridCol w:w="109"/>
        <w:gridCol w:w="109"/>
        <w:gridCol w:w="109"/>
        <w:gridCol w:w="196"/>
        <w:gridCol w:w="406"/>
        <w:gridCol w:w="109"/>
        <w:gridCol w:w="109"/>
        <w:gridCol w:w="109"/>
        <w:gridCol w:w="109"/>
        <w:gridCol w:w="196"/>
        <w:gridCol w:w="406"/>
        <w:gridCol w:w="109"/>
        <w:gridCol w:w="109"/>
        <w:gridCol w:w="109"/>
        <w:gridCol w:w="109"/>
        <w:gridCol w:w="196"/>
        <w:gridCol w:w="646"/>
        <w:gridCol w:w="154"/>
      </w:tblGrid>
      <w:tr>
        <w:trPr/>
        <w:tc>
          <w:tcPr>
            <w:tcW w:w="40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218" w:type="dxa"/>
            <w:gridSpan w:val="36"/>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Assets</w:t>
            </w:r>
            <w:r>
              <w:rPr>
                <w:rFonts w:ascii="Times New Roman;sans-serif" w:hAnsi="Times New Roman;sans-serif"/>
                <w:b/>
                <w:color w:val="000000"/>
                <w:sz w:val="12"/>
              </w:rPr>
              <w:t>(1)</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Cash equivalents</w:t>
            </w:r>
            <w:r>
              <w:rPr>
                <w:color w:val="000000"/>
              </w:rPr>
              <w:t> </w:t>
            </w:r>
            <w:r>
              <w:rPr>
                <w:rFonts w:ascii="Times New Roman;sans-serif" w:hAnsi="Times New Roman;sans-serif"/>
                <w:b w:val="false"/>
                <w:color w:val="000000"/>
                <w:sz w:val="12"/>
              </w:rPr>
              <w:t>(2)</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w:t>
      </w:r>
    </w:p>
    <w:p>
      <w:pPr>
        <w:pStyle w:val="TextBody"/>
        <w:bidi w:val="0"/>
        <w:spacing w:lineRule="auto" w:line="288" w:before="12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(1)$100.0 million and $250.0 million of time deposits, which are included in short-term investments, are excluded since they are carried at cost and approximate fair value as of April 30, 2023 and January 31, 2023, respectively.</w:t>
      </w:r>
    </w:p>
    <w:p>
      <w:pPr>
        <w:pStyle w:val="TextBody"/>
        <w:bidi w:val="0"/>
        <w:spacing w:lineRule="auto" w:line="288" w:before="12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(2)Cash equivalents exclude an immaterial amount of time deposits, which are carried at cost and approximate fair value, as of April 30, 2023. Cash equivalents exclude $1.6 billion of time deposits, which are carried at cost and approximate fair value, as of January 31,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the levels of the fair value hierarchy during the periods presented.</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changes in the net carrying value of strategic investments, which are Level 3, within the fair value hierarchy for the three months ended April 30, 2023 and April 30, 2022 (in thousands):</w:t>
      </w:r>
    </w:p>
    <w:tbl>
      <w:tblPr>
        <w:tblW w:w="6821" w:type="dxa"/>
        <w:jc w:val="left"/>
        <w:tblInd w:w="0" w:type="dxa"/>
        <w:tblLayout w:type="fixed"/>
        <w:tblCellMar>
          <w:top w:w="28" w:type="dxa"/>
          <w:left w:w="28" w:type="dxa"/>
          <w:bottom w:w="28" w:type="dxa"/>
          <w:right w:w="28" w:type="dxa"/>
        </w:tblCellMar>
      </w:tblPr>
      <w:tblGrid>
        <w:gridCol w:w="1496"/>
        <w:gridCol w:w="1319"/>
        <w:gridCol w:w="1324"/>
        <w:gridCol w:w="234"/>
        <w:gridCol w:w="800"/>
        <w:gridCol w:w="121"/>
        <w:gridCol w:w="109"/>
        <w:gridCol w:w="109"/>
        <w:gridCol w:w="109"/>
        <w:gridCol w:w="233"/>
        <w:gridCol w:w="797"/>
        <w:gridCol w:w="170"/>
      </w:tblGrid>
      <w:tr>
        <w:trPr/>
        <w:tc>
          <w:tcPr>
            <w:tcW w:w="149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beginning of period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non-marketable securities: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net gains due to changes in fair value</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end of period</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Cumulative unrealized gains and losses for equity securities held as of April 30, 2023 are $9.6 million and $2.9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3. Balance Sheet Components</w:t>
      </w:r>
    </w:p>
    <w:p>
      <w:pPr>
        <w:pStyle w:val="TextBody"/>
        <w:bidi w:val="0"/>
        <w:spacing w:lineRule="auto" w:line="288" w:before="36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8275" w:type="dxa"/>
        <w:jc w:val="left"/>
        <w:tblInd w:w="0" w:type="dxa"/>
        <w:tblLayout w:type="fixed"/>
        <w:tblCellMar>
          <w:top w:w="28" w:type="dxa"/>
          <w:left w:w="28" w:type="dxa"/>
          <w:bottom w:w="28" w:type="dxa"/>
          <w:right w:w="28" w:type="dxa"/>
        </w:tblCellMar>
      </w:tblPr>
      <w:tblGrid>
        <w:gridCol w:w="1939"/>
        <w:gridCol w:w="1702"/>
        <w:gridCol w:w="1713"/>
        <w:gridCol w:w="212"/>
        <w:gridCol w:w="833"/>
        <w:gridCol w:w="109"/>
        <w:gridCol w:w="109"/>
        <w:gridCol w:w="109"/>
        <w:gridCol w:w="109"/>
        <w:gridCol w:w="255"/>
        <w:gridCol w:w="999"/>
        <w:gridCol w:w="186"/>
      </w:tblGrid>
      <w:tr>
        <w:trPr/>
        <w:tc>
          <w:tcPr>
            <w:tcW w:w="193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center and other computer equipment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and website development costs</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708,614 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(216,279)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492,335 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primarily includes data center equipment purchased that has not yet been placed in service. Data center equipment that was purchased but not yet been placed into service was $226.1 million as of April 30, 2023.</w:t>
      </w:r>
    </w:p>
    <w:p>
      <w:pPr>
        <w:pStyle w:val="TextBody"/>
        <w:bidi w:val="0"/>
        <w:spacing w:lineRule="auto" w:line="288" w:before="24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of property and equipment was $26.4 million and $16.3 million during the three months ended April 30, 2023 and April 30,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impairment of property and equipment during the three months ended April 30, 2023 and April 30, 2022. The Company capitalized $16.6 million and $8.1 million in internal-use software and website development costs during the three months ended April 30, 2023 and April 30, 2022, respectively. Amortization expense associated with internal-use software and website development costs totaled $7.5 million and $4.3 million during the three months ended April 30, 2023 and April 30, 2022, respectively. The net book value of capitalized internal-use software and website development costs was $75.5 million and $66.3 million as of April 30, 2023 and January 31, 2023, respectively.</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 consisted of the following (dollars in thousands):</w:t>
      </w:r>
    </w:p>
    <w:tbl>
      <w:tblPr>
        <w:tblW w:w="10198" w:type="dxa"/>
        <w:jc w:val="left"/>
        <w:tblInd w:w="0" w:type="dxa"/>
        <w:tblLayout w:type="fixed"/>
        <w:tblCellMar>
          <w:top w:w="28" w:type="dxa"/>
          <w:left w:w="28" w:type="dxa"/>
          <w:bottom w:w="28" w:type="dxa"/>
          <w:right w:w="28" w:type="dxa"/>
        </w:tblCellMar>
      </w:tblPr>
      <w:tblGrid>
        <w:gridCol w:w="984"/>
        <w:gridCol w:w="863"/>
        <w:gridCol w:w="868"/>
        <w:gridCol w:w="345"/>
        <w:gridCol w:w="1352"/>
        <w:gridCol w:w="178"/>
        <w:gridCol w:w="109"/>
        <w:gridCol w:w="109"/>
        <w:gridCol w:w="109"/>
        <w:gridCol w:w="419"/>
        <w:gridCol w:w="1433"/>
        <w:gridCol w:w="218"/>
        <w:gridCol w:w="109"/>
        <w:gridCol w:w="109"/>
        <w:gridCol w:w="109"/>
        <w:gridCol w:w="211"/>
        <w:gridCol w:w="721"/>
        <w:gridCol w:w="109"/>
        <w:gridCol w:w="109"/>
        <w:gridCol w:w="109"/>
        <w:gridCol w:w="109"/>
        <w:gridCol w:w="444"/>
        <w:gridCol w:w="444"/>
        <w:gridCol w:w="628"/>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 </w:t>
              <w:br/>
              <w:t>Useful</w:t>
              <w:br/>
              <w:t>Life</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months)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acquired intangible assets</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35,516 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98" w:type="dxa"/>
        <w:jc w:val="left"/>
        <w:tblInd w:w="0" w:type="dxa"/>
        <w:tblLayout w:type="fixed"/>
        <w:tblCellMar>
          <w:top w:w="28" w:type="dxa"/>
          <w:left w:w="28" w:type="dxa"/>
          <w:bottom w:w="28" w:type="dxa"/>
          <w:right w:w="28" w:type="dxa"/>
        </w:tblCellMar>
      </w:tblPr>
      <w:tblGrid>
        <w:gridCol w:w="984"/>
        <w:gridCol w:w="863"/>
        <w:gridCol w:w="868"/>
        <w:gridCol w:w="345"/>
        <w:gridCol w:w="1352"/>
        <w:gridCol w:w="178"/>
        <w:gridCol w:w="109"/>
        <w:gridCol w:w="109"/>
        <w:gridCol w:w="109"/>
        <w:gridCol w:w="419"/>
        <w:gridCol w:w="1433"/>
        <w:gridCol w:w="218"/>
        <w:gridCol w:w="109"/>
        <w:gridCol w:w="109"/>
        <w:gridCol w:w="109"/>
        <w:gridCol w:w="211"/>
        <w:gridCol w:w="721"/>
        <w:gridCol w:w="109"/>
        <w:gridCol w:w="109"/>
        <w:gridCol w:w="109"/>
        <w:gridCol w:w="109"/>
        <w:gridCol w:w="444"/>
        <w:gridCol w:w="444"/>
        <w:gridCol w:w="628"/>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 </w:t>
              <w:br/>
              <w:t>Useful</w:t>
              <w:br/>
              <w:t>Life</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months)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acquired intangible assets</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118,201 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31,312 </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of intangible assets was $4.2 million and $4.1 million during the three months ended April 30, 2023 and April 30, 2022, respectively.</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future amortization expense of intangible assets as of April 30, 2023 is as follows (in thousands):</w:t>
      </w:r>
    </w:p>
    <w:tbl>
      <w:tblPr>
        <w:tblW w:w="4236" w:type="dxa"/>
        <w:jc w:val="left"/>
        <w:tblInd w:w="0" w:type="dxa"/>
        <w:tblLayout w:type="fixed"/>
        <w:tblCellMar>
          <w:top w:w="28" w:type="dxa"/>
          <w:left w:w="28" w:type="dxa"/>
          <w:bottom w:w="28" w:type="dxa"/>
          <w:right w:w="28" w:type="dxa"/>
        </w:tblCellMar>
      </w:tblPr>
      <w:tblGrid>
        <w:gridCol w:w="1140"/>
        <w:gridCol w:w="1002"/>
        <w:gridCol w:w="1008"/>
        <w:gridCol w:w="211"/>
        <w:gridCol w:w="721"/>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Fiscal 2024 (remaining nine months)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developed technology, customer relationships, and other acquired intangible assets are amortized over their estimated useful lives, generally on a straight-line basis, for periods ranging from 2 to 20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8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goodwill during the three months ended April 30, 2023 consisted of the following (in thousands):</w:t>
      </w:r>
    </w:p>
    <w:tbl>
      <w:tblPr>
        <w:tblW w:w="3936" w:type="dxa"/>
        <w:jc w:val="left"/>
        <w:tblInd w:w="0" w:type="dxa"/>
        <w:tblLayout w:type="fixed"/>
        <w:tblCellMar>
          <w:top w:w="28" w:type="dxa"/>
          <w:left w:w="28" w:type="dxa"/>
          <w:bottom w:w="28" w:type="dxa"/>
          <w:right w:w="28" w:type="dxa"/>
        </w:tblCellMar>
      </w:tblPr>
      <w:tblGrid>
        <w:gridCol w:w="994"/>
        <w:gridCol w:w="874"/>
        <w:gridCol w:w="877"/>
        <w:gridCol w:w="211"/>
        <w:gridCol w:w="82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Amounts</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January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April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 (in thousands):</w:t>
      </w:r>
    </w:p>
    <w:tbl>
      <w:tblPr>
        <w:tblW w:w="6761" w:type="dxa"/>
        <w:jc w:val="left"/>
        <w:tblInd w:w="0" w:type="dxa"/>
        <w:tblLayout w:type="fixed"/>
        <w:tblCellMar>
          <w:top w:w="28" w:type="dxa"/>
          <w:left w:w="28" w:type="dxa"/>
          <w:bottom w:w="28" w:type="dxa"/>
          <w:right w:w="28" w:type="dxa"/>
        </w:tblCellMar>
      </w:tblPr>
      <w:tblGrid>
        <w:gridCol w:w="1388"/>
        <w:gridCol w:w="1223"/>
        <w:gridCol w:w="1228"/>
        <w:gridCol w:w="234"/>
        <w:gridCol w:w="800"/>
        <w:gridCol w:w="121"/>
        <w:gridCol w:w="109"/>
        <w:gridCol w:w="109"/>
        <w:gridCol w:w="109"/>
        <w:gridCol w:w="255"/>
        <w:gridCol w:w="999"/>
        <w:gridCol w:w="186"/>
      </w:tblGrid>
      <w:tr>
        <w:trPr/>
        <w:tc>
          <w:tcPr>
            <w:tcW w:w="138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 hosting services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marketing</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purchases of property and equipment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partner commissions </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91,494 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137,884 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Accrued Payroll and Benefits</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 consisted of the following (in thousands):</w:t>
      </w:r>
    </w:p>
    <w:tbl>
      <w:tblPr>
        <w:tblW w:w="6070" w:type="dxa"/>
        <w:jc w:val="left"/>
        <w:tblInd w:w="0" w:type="dxa"/>
        <w:tblLayout w:type="fixed"/>
        <w:tblCellMar>
          <w:top w:w="28" w:type="dxa"/>
          <w:left w:w="28" w:type="dxa"/>
          <w:bottom w:w="28" w:type="dxa"/>
          <w:right w:w="28" w:type="dxa"/>
        </w:tblCellMar>
      </w:tblPr>
      <w:tblGrid>
        <w:gridCol w:w="1140"/>
        <w:gridCol w:w="1003"/>
        <w:gridCol w:w="1006"/>
        <w:gridCol w:w="212"/>
        <w:gridCol w:w="833"/>
        <w:gridCol w:w="109"/>
        <w:gridCol w:w="109"/>
        <w:gridCol w:w="109"/>
        <w:gridCol w:w="109"/>
        <w:gridCol w:w="255"/>
        <w:gridCol w:w="999"/>
        <w:gridCol w:w="186"/>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168,767 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4. Debt</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Secured Revolving Credit Facility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 (c) the Term Secured Overnight Finance Rate (the “Term SOFR”) for a one-month tenor in effect on such day plus 1.00%, in each case plus a margin between (0.25)% and 0.25%, depending on the senior secured leverage ratio. The Company will be charged a commitment fee of 0.15% to 0.25% per year for committed but unused amounts, depending on the senior secured leverage ratio. The financial covenants require the Company to maintain a</w:t>
      </w:r>
      <w:r>
        <w:rPr>
          <w:color w:val="000000"/>
        </w:rPr>
        <w:t xml:space="preserve"> </w:t>
      </w:r>
      <w:r>
        <w:rPr>
          <w:rFonts w:ascii="Times New Roman;sans-serif" w:hAnsi="Times New Roman;sans-serif"/>
          <w:b w:val="false"/>
          <w:color w:val="000000"/>
          <w:sz w:val="20"/>
        </w:rPr>
        <w:t>minimum consolidated interest coverage ratio of 3.00:1.00, a maximum senior secured leverage ratio of 3.00:1.00 (through January 31, 2023), and a maximum total leverage ratio of 5.50:1.00 stepping down to 3.50:1.00 over time. The Company was in compliance with all of its financial covenants as of April 30, 2023.</w:t>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amounts were outstanding under the Amended A&amp;R Credit Agreement as of April 30, 2023 and January 31, 2023.</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both the three months ended April 30, 2023 and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2023, the Company was in compliance with all of its financial covenants under the Indenture associated with the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trading prices of the Senior Notes, the fair value of the Senior Notes was approximately $653.5 million and $645.4 million as of April 30, 2023 and January 31, 2023,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5. Income Taxes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income tax expense of $4.4 million and $3.4 million for the three months ended April 30, 2023 and April 30, 2022, respectively. The tax expense for the three months ended April 30, 2023 and April 30, 2022 was primarily attributable to pre-tax foreign earnings and withholding taxes related to customer payments in certain foreign jurisdictions in which the Company conducts business. The Company’s effective tax rates of 89.8% and (12.7)% for the three months ended April 30, 2023 and April 30, 2022, respectively, differ from the U.S. statutory tax rate primarily due to U.S. losses for which there is no benefit and the tax rate differences between the United States and foreign countries.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full valuation allowance on its U.S. federal, U.S. state, and U.K. deferred tax assets. As a result, the Company does not record a tax benefit on these losses because it is more likely than not that the benefit will not be realized.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unrecognized tax benefits were $40.6 million and $36.9 million as of April 30, 2023 and January 31, 2023, respectively. As of April 30, 2023 and January 31, 2023, approximately $4.4 million and $4.2 million, respectively of unrecognized tax benefits, which, if recognized, would affect the Company’s effective tax rate due to the full valuation allowance. The Company’s policy is to classify interest and penalties related to unrecognized tax benefits as part of the income tax provision in the condensed consolidated statements of operations. The Company had incurred an insignificant amount of interest and penalties related to unrecognized tax benefits as of April 30, 2023 and January 31, 2023. During the three months ended April 30, 2023, the net increase in uncertain tax benefits was a result of research and development credits. The potential change in unrecognized tax benefits during the next 12 months is not expected to be material.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6. Stock-Based Compensation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Incentive Plan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stock options granted during the three months ended April 30, 2023 or April 30, 2022.</w:t>
      </w:r>
    </w:p>
    <w:p>
      <w:pPr>
        <w:pStyle w:val="TextBody"/>
        <w:bidi w:val="0"/>
        <w:spacing w:lineRule="auto" w:line="288" w:before="24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stock option activity for the three months ended April 30, 2023:</w:t>
      </w:r>
    </w:p>
    <w:tbl>
      <w:tblPr>
        <w:tblW w:w="7512" w:type="dxa"/>
        <w:jc w:val="left"/>
        <w:tblInd w:w="0" w:type="dxa"/>
        <w:tblLayout w:type="fixed"/>
        <w:tblCellMar>
          <w:top w:w="28" w:type="dxa"/>
          <w:left w:w="28" w:type="dxa"/>
          <w:bottom w:w="28" w:type="dxa"/>
          <w:right w:w="28" w:type="dxa"/>
        </w:tblCellMar>
      </w:tblPr>
      <w:tblGrid>
        <w:gridCol w:w="1644"/>
        <w:gridCol w:w="1448"/>
        <w:gridCol w:w="1452"/>
        <w:gridCol w:w="374"/>
        <w:gridCol w:w="374"/>
        <w:gridCol w:w="377"/>
        <w:gridCol w:w="109"/>
        <w:gridCol w:w="109"/>
        <w:gridCol w:w="109"/>
        <w:gridCol w:w="326"/>
        <w:gridCol w:w="951"/>
        <w:gridCol w:w="239"/>
      </w:tblGrid>
      <w:tr>
        <w:trPr/>
        <w:tc>
          <w:tcPr>
            <w:tcW w:w="16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br/>
              <w:t>Per Share</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January 31, 2023</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April 30, 2023</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vested and expected to vest at April 30, 2023</w:t>
            </w:r>
          </w:p>
        </w:tc>
        <w:tc>
          <w:tcPr>
            <w:tcW w:w="7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3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April 30, 2023</w:t>
            </w:r>
          </w:p>
        </w:tc>
        <w:tc>
          <w:tcPr>
            <w:tcW w:w="74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3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include 263,992 options that were unvested and exercisable as of April 30,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vested and exercisable was $247.4 million and $247.2 million as of April 30, 2023 and January 31, 2023, respectively. The weighted-average remaining contractual term of options vested and exercisable was 4.7 years and 4.8 years as of April 30, 2023 and January 31, 2023, respectively.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all options exercised was $45.1 million and $81.2 million during the three months ended April 30, 2023 and April 30, 2022, respectively.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stock options outstanding as of April 30, 2023 and January 31, 2023 was $277.2 million and $279.4 million, respectively, which represents the excess of the fair value of the Company’s common stock over the exercise price of the options multiplied by the number of options outstanding. The weighted-average remaining contractual term of stock options outstanding was 4.8 years and 5.0 years as of April 30, 2023 and January 31, 2023, respectively.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related to unvested options was $1.7 million as of April 30, 2023. This expense is expected to be amortized over a weighted-average vesting period of 1.4 years.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Early Exercise of Employee Options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during the three months ended April 30, 2023 or April 30, 2022. As of April 30, 2023 and January 31, 2023, there were no shares of common stock related to early exercised stock options subject to repurchase. Common stock purchased pursuant to an early exercise of stock options is not deemed to be outstanding for accounting purposes until those shares vest. The Company includes unvested shares subject to repurchase in the number of shares outstanding in the condensed consolidated balance sheets and statements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 under the 2019 Plan are generally subject to only a service-based vesting condition. The service-based vesting condition is generally satisfied based on one of four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(iii) vesting in eight equal quarterly installments, subject to continued service, or (iv)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related to unvested RSUs was $1.4 billion as of April 30, 2023. This expense is expected to be amortized over a weighted-average vesting period of 2.9 years.</w:t>
      </w:r>
    </w:p>
    <w:p>
      <w:pPr>
        <w:pStyle w:val="TextBody"/>
        <w:bidi w:val="0"/>
        <w:spacing w:lineRule="auto" w:line="288" w:before="24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Performance-based Stock Units</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related to unvested PSUs was $124.6 million as of April 30, 2023. This expense is expected to be amortized over a weighted-average vesting period of 1.6 years.</w:t>
      </w:r>
    </w:p>
    <w:p>
      <w:pPr>
        <w:pStyle w:val="TextBody"/>
        <w:bidi w:val="0"/>
        <w:spacing w:lineRule="auto" w:line="288" w:before="24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Special PSU Awards</w:t>
      </w:r>
    </w:p>
    <w:p>
      <w:pPr>
        <w:pStyle w:val="TextBody"/>
        <w:bidi w:val="0"/>
        <w:spacing w:lineRule="auto" w:line="268" w:before="240" w:after="283"/>
        <w:ind w:left="0" w:right="0" w:firstLine="720"/>
        <w:jc w:val="left"/>
        <w:rPr/>
      </w:pPr>
      <w:r>
        <w:rPr>
          <w:rFonts w:ascii="Times New Roman;sans-serif" w:hAnsi="Times New Roman;sans-serif"/>
          <w:b w:val="false"/>
          <w:color w:val="000000"/>
          <w:sz w:val="20"/>
        </w:rPr>
        <w:t>In fiscal 2022 the Company’s board of directors granted 655,000 performance stock units (the “Special PSU Awards”) to certain executives under the 2019 Plan. The Special PSU Awards will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w:t>
      </w:r>
      <w:r>
        <w:rPr>
          <w:rFonts w:ascii="Times New Roman;sans-serif" w:hAnsi="Times New Roman;sans-serif"/>
          <w:b w:val="false"/>
          <w:i/>
          <w:color w:val="000000"/>
          <w:sz w:val="20"/>
        </w:rPr>
        <w:t>i.e.</w:t>
      </w:r>
      <w:r>
        <w:rPr>
          <w:rFonts w:ascii="Times New Roman;sans-serif" w:hAnsi="Times New Roman;sans-serif"/>
          <w:b w:val="false"/>
          <w:color w:val="000000"/>
          <w:sz w:val="20"/>
        </w:rPr>
        <w:t>, February 1, 2022, February 1, 2023, February 1, 2024 and February 1, 2025) and (ii) the remaining PSUs with respect to such tranche will thereafter service vest in four equal quarterly installments of 12.5%.</w:t>
      </w:r>
    </w:p>
    <w:p>
      <w:pPr>
        <w:pStyle w:val="TextBody"/>
        <w:bidi w:val="0"/>
        <w:spacing w:lineRule="auto" w:line="26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measured the fair value of the Special PSU Awards on the grant date using a Monte Carlo simulation valuation model. The risk-free interest rates used were 0.85%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unrecognized stock-based compensation expense related to the unvested portion of the Special PSU Awards was $56.3 million as of April 30, 2023. This expense is expected to be amortized over a weighted-average vesting period of 1.9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RSUs, PSUs and the Special PSU Awards activities for the three months ended April 30, 2023:</w:t>
      </w:r>
    </w:p>
    <w:tbl>
      <w:tblPr>
        <w:tblW w:w="8606" w:type="dxa"/>
        <w:jc w:val="left"/>
        <w:tblInd w:w="0" w:type="dxa"/>
        <w:tblLayout w:type="fixed"/>
        <w:tblCellMar>
          <w:top w:w="28" w:type="dxa"/>
          <w:left w:w="28" w:type="dxa"/>
          <w:bottom w:w="28" w:type="dxa"/>
          <w:right w:w="28" w:type="dxa"/>
        </w:tblCellMar>
      </w:tblPr>
      <w:tblGrid>
        <w:gridCol w:w="2111"/>
        <w:gridCol w:w="1859"/>
        <w:gridCol w:w="1864"/>
        <w:gridCol w:w="374"/>
        <w:gridCol w:w="374"/>
        <w:gridCol w:w="377"/>
        <w:gridCol w:w="109"/>
        <w:gridCol w:w="109"/>
        <w:gridCol w:w="109"/>
        <w:gridCol w:w="256"/>
        <w:gridCol w:w="877"/>
        <w:gridCol w:w="187"/>
      </w:tblGrid>
      <w:tr>
        <w:trPr/>
        <w:tc>
          <w:tcPr>
            <w:tcW w:w="211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br/>
              <w:t>Per Share</w:t>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RSUs and PSUs outstanding at January 31, 2023</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Performance adjustment</w:t>
            </w:r>
            <w:r>
              <w:rPr>
                <w:color w:val="000000"/>
              </w:rPr>
              <w:t> </w:t>
            </w:r>
            <w:r>
              <w:rPr>
                <w:rFonts w:ascii="Times New Roman;sans-serif" w:hAnsi="Times New Roman;sans-serif"/>
                <w:b w:val="false"/>
                <w:color w:val="000000"/>
                <w:sz w:val="13"/>
              </w:rPr>
              <w:t>(1)</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RSUs and PSUs outstanding at April 30, 2023</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RSUs and PSUs ending vested and expected to vest at April 30, 2023 </w:t>
            </w:r>
          </w:p>
        </w:tc>
        <w:tc>
          <w:tcPr>
            <w:tcW w:w="7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3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12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performance adjustment represents adjustments in shares outstanding due to the actual achievement of performance-based awards, the achievement of which was based upon pre-defined financial performance targets.</w:t>
      </w:r>
    </w:p>
    <w:p>
      <w:pPr>
        <w:pStyle w:val="TextBody"/>
        <w:bidi w:val="0"/>
        <w:spacing w:lineRule="auto" w:line="288" w:before="24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During the fiscal year ended January 31, 2023, there were ESPP rollovers because the Company’s closing stock price on the purchase date was lower than the Company’s closing stock price on the first day of the offering periods. As a result, these offering dates were rolled over to a new 24-month offering period through December 12, 2024. These rollovers were accounted for as a modification to the original offerings. The total incremental expense as a result of the rollover and contribution modifications was $58.6 million, which will be recognized over the new or remaining offering periods.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payroll contributions ultimately used to purchase shares are reclassified to Stockholders’ equity on the purchase date. ESPP employee payroll contributions accrued as of April 30, 2023 and January 31, 2023 totaled $40.8 million and $17.5 million, respectively, and are included within Accrued payroll and benefits in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assumptions used in the Black-Scholes option-pricing model to determine fair value of the Company’s common shares to be issued under the ESPP for the offering periods beginning in June 2020:</w:t>
      </w:r>
    </w:p>
    <w:tbl>
      <w:tblPr>
        <w:tblW w:w="5982" w:type="dxa"/>
        <w:jc w:val="left"/>
        <w:tblInd w:w="0" w:type="dxa"/>
        <w:tblLayout w:type="fixed"/>
        <w:tblCellMar>
          <w:top w:w="28" w:type="dxa"/>
          <w:left w:w="28" w:type="dxa"/>
          <w:bottom w:w="28" w:type="dxa"/>
          <w:right w:w="28" w:type="dxa"/>
        </w:tblCellMar>
      </w:tblPr>
      <w:tblGrid>
        <w:gridCol w:w="951"/>
        <w:gridCol w:w="835"/>
        <w:gridCol w:w="839"/>
        <w:gridCol w:w="291"/>
        <w:gridCol w:w="291"/>
        <w:gridCol w:w="723"/>
        <w:gridCol w:w="219"/>
        <w:gridCol w:w="219"/>
        <w:gridCol w:w="219"/>
        <w:gridCol w:w="284"/>
        <w:gridCol w:w="284"/>
        <w:gridCol w:w="827"/>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April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0.5 - 2.0</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0.5 - 2.0</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 - 4.7%</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0.1% - 0.7%</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50.2% - 61.2%</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39.6% - 55.9% </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the condensed consolidated statements of operations is as follows (in thousands):</w:t>
      </w:r>
    </w:p>
    <w:tbl>
      <w:tblPr>
        <w:tblW w:w="6164" w:type="dxa"/>
        <w:jc w:val="left"/>
        <w:tblInd w:w="0" w:type="dxa"/>
        <w:tblLayout w:type="fixed"/>
        <w:tblCellMar>
          <w:top w:w="28" w:type="dxa"/>
          <w:left w:w="28" w:type="dxa"/>
          <w:bottom w:w="28" w:type="dxa"/>
          <w:right w:w="28" w:type="dxa"/>
        </w:tblCellMar>
      </w:tblPr>
      <w:tblGrid>
        <w:gridCol w:w="1251"/>
        <w:gridCol w:w="1097"/>
        <w:gridCol w:w="1101"/>
        <w:gridCol w:w="215"/>
        <w:gridCol w:w="842"/>
        <w:gridCol w:w="111"/>
        <w:gridCol w:w="111"/>
        <w:gridCol w:w="111"/>
        <w:gridCol w:w="111"/>
        <w:gridCol w:w="215"/>
        <w:gridCol w:w="842"/>
        <w:gridCol w:w="157"/>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April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547"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 of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cost of revenue</w:t>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130,856 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102,494 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7. Revenue, Deferred Revenue and Remaining Performance Obligations</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 by region based on the shipping address of customers who have contracted to use the Company’s platform or service (in thousands, except percentages):</w:t>
      </w:r>
    </w:p>
    <w:tbl>
      <w:tblPr>
        <w:tblW w:w="7397" w:type="dxa"/>
        <w:jc w:val="left"/>
        <w:tblInd w:w="0" w:type="dxa"/>
        <w:tblLayout w:type="fixed"/>
        <w:tblCellMar>
          <w:top w:w="28" w:type="dxa"/>
          <w:left w:w="28" w:type="dxa"/>
          <w:bottom w:w="28" w:type="dxa"/>
          <w:right w:w="28" w:type="dxa"/>
        </w:tblCellMar>
      </w:tblPr>
      <w:tblGrid>
        <w:gridCol w:w="871"/>
        <w:gridCol w:w="767"/>
        <w:gridCol w:w="776"/>
        <w:gridCol w:w="196"/>
        <w:gridCol w:w="736"/>
        <w:gridCol w:w="109"/>
        <w:gridCol w:w="109"/>
        <w:gridCol w:w="109"/>
        <w:gridCol w:w="109"/>
        <w:gridCol w:w="214"/>
        <w:gridCol w:w="214"/>
        <w:gridCol w:w="503"/>
        <w:gridCol w:w="109"/>
        <w:gridCol w:w="109"/>
        <w:gridCol w:w="109"/>
        <w:gridCol w:w="196"/>
        <w:gridCol w:w="736"/>
        <w:gridCol w:w="109"/>
        <w:gridCol w:w="109"/>
        <w:gridCol w:w="109"/>
        <w:gridCol w:w="109"/>
        <w:gridCol w:w="210"/>
        <w:gridCol w:w="211"/>
        <w:gridCol w:w="568"/>
      </w:tblGrid>
      <w:tr>
        <w:trPr/>
        <w:tc>
          <w:tcPr>
            <w:tcW w:w="87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Revenue</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942" w:type="dxa"/>
            <w:gridSpan w:val="18"/>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single country other than the United States represented 10% or more of the Company’s total revenue during the three months ended April 30, 2023 and April 30, 2022.</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consist of deferred revenue and include payments received in advance of performance under the contract. Such amounts are recognized as revenue over the contractual period. The Company recognized revenue of $596.4 million and $397.7 million for the three months ended April 30, 2023 and April 30, 2022, respectively, which was included in the corresponding contract liability balance at the beginning of the period.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deferred revenue were as follows (in thousands):</w:t>
      </w:r>
    </w:p>
    <w:tbl>
      <w:tblPr>
        <w:tblW w:w="6255" w:type="dxa"/>
        <w:jc w:val="left"/>
        <w:tblInd w:w="0" w:type="dxa"/>
        <w:tblLayout w:type="fixed"/>
        <w:tblCellMar>
          <w:top w:w="28" w:type="dxa"/>
          <w:left w:w="28" w:type="dxa"/>
          <w:bottom w:w="28" w:type="dxa"/>
          <w:right w:w="28" w:type="dxa"/>
        </w:tblCellMar>
      </w:tblPr>
      <w:tblGrid>
        <w:gridCol w:w="994"/>
        <w:gridCol w:w="873"/>
        <w:gridCol w:w="877"/>
        <w:gridCol w:w="674"/>
        <w:gridCol w:w="302"/>
        <w:gridCol w:w="288"/>
        <w:gridCol w:w="288"/>
        <w:gridCol w:w="288"/>
        <w:gridCol w:w="288"/>
        <w:gridCol w:w="674"/>
        <w:gridCol w:w="302"/>
        <w:gridCol w:w="407"/>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April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2,355,113 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1,529,321 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deferred revenue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741,258 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651,110 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deferred revenue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(692,580)</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(487,834)</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2,403,791 </w:t>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1,692,597 </w:t>
            </w:r>
          </w:p>
        </w:tc>
        <w:tc>
          <w:tcPr>
            <w:tcW w:w="4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The Company’s subscription contracts with its customers have a typical term of one to three years and most subscription contracts are non-cancelable. Customers generally have the right to terminate their contracts for cause as a result of the Company’s failure to perform. As of April 30, 2023, the aggregate </w:t>
      </w:r>
      <w:r>
        <w:rPr>
          <w:rFonts w:ascii="Times New Roman;sans-serif" w:hAnsi="Times New Roman;sans-serif"/>
          <w:b w:val="false"/>
          <w:color w:val="000000"/>
          <w:sz w:val="20"/>
          <w:shd w:fill="FFFFFF" w:val="clear"/>
        </w:rPr>
        <w:t xml:space="preserve">amount of the transaction price allocated to remaining performance obligations was $3.3 billion. The Company expects to recognize approximately 64% of the remaining performance obligations in the 12 months following </w:t>
      </w:r>
      <w:r>
        <w:rPr>
          <w:rFonts w:ascii="Times New Roman;sans-serif" w:hAnsi="Times New Roman;sans-serif"/>
          <w:b w:val="false"/>
          <w:color w:val="000000"/>
          <w:sz w:val="20"/>
        </w:rPr>
        <w:t>April 30, 2023</w:t>
      </w:r>
      <w:r>
        <w:rPr>
          <w:color w:val="000000"/>
          <w:shd w:fill="FFFFFF" w:val="clear"/>
        </w:rPr>
        <w:t xml:space="preserve"> </w:t>
      </w:r>
      <w:r>
        <w:rPr>
          <w:rFonts w:ascii="Times New Roman;sans-serif" w:hAnsi="Times New Roman;sans-serif"/>
          <w:b w:val="false"/>
          <w:color w:val="000000"/>
          <w:sz w:val="20"/>
          <w:shd w:fill="FFFFFF" w:val="clear"/>
        </w:rPr>
        <w:t xml:space="preserve">and 35% of the remaining performance obligations between </w:t>
      </w:r>
      <w:r>
        <w:rPr>
          <w:rFonts w:ascii="Times New Roman;sans-serif" w:hAnsi="Times New Roman;sans-serif"/>
          <w:b w:val="false"/>
          <w:color w:val="000000"/>
          <w:sz w:val="20"/>
        </w:rPr>
        <w:t>13</w:t>
      </w:r>
      <w:r>
        <w:rPr>
          <w:color w:val="000000"/>
          <w:shd w:fill="FFFFFF" w:val="clear"/>
        </w:rPr>
        <w:t xml:space="preserve"> </w:t>
      </w:r>
      <w:r>
        <w:rPr>
          <w:rFonts w:ascii="Times New Roman;sans-serif" w:hAnsi="Times New Roman;sans-serif"/>
          <w:b w:val="false"/>
          <w:color w:val="000000"/>
          <w:sz w:val="20"/>
          <w:shd w:fill="FFFFFF" w:val="clear"/>
        </w:rPr>
        <w:t xml:space="preserve">to 36 months, with the remainder to be recognized thereafter.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Costs to Obtain and Fulfill a Contract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eight months and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months ended April 30, 2023 and April 30, 2022.</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deferred contract acquisition costs (in thousands):</w:t>
      </w:r>
    </w:p>
    <w:tbl>
      <w:tblPr>
        <w:tblW w:w="7220" w:type="dxa"/>
        <w:jc w:val="left"/>
        <w:tblInd w:w="0" w:type="dxa"/>
        <w:tblLayout w:type="fixed"/>
        <w:tblCellMar>
          <w:top w:w="28" w:type="dxa"/>
          <w:left w:w="28" w:type="dxa"/>
          <w:bottom w:w="28" w:type="dxa"/>
          <w:right w:w="28" w:type="dxa"/>
        </w:tblCellMar>
      </w:tblPr>
      <w:tblGrid>
        <w:gridCol w:w="1533"/>
        <w:gridCol w:w="1344"/>
        <w:gridCol w:w="1352"/>
        <w:gridCol w:w="211"/>
        <w:gridCol w:w="826"/>
        <w:gridCol w:w="109"/>
        <w:gridCol w:w="109"/>
        <w:gridCol w:w="109"/>
        <w:gridCol w:w="109"/>
        <w:gridCol w:w="211"/>
        <w:gridCol w:w="826"/>
        <w:gridCol w:w="109"/>
        <w:gridCol w:w="109"/>
        <w:gridCol w:w="109"/>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contract acquisition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contract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current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contract acquisition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8. Commitments and Contingencies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Purchase Obligations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long-term non-cancelable agreements with providers to purchase data center capacity, such as bandwidth and colocation space, for the Company’s cloud platform. As of April 30, 2023, the Company is committed to spend $194.9 million on such agreements in excess of one year through fiscal 2031. These obligations are included in purchase commitments below.</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also enters into non-cancelable purchase commitments with various parties to purchase products and services such as advertising, technology, equipment, office renovations, corporate events, and consulting services. A summary of non-cancelable purchase obligations in excess of one year as of April 30, 2023 with expected date of payment is as follows (in thousands):</w:t>
      </w:r>
    </w:p>
    <w:tbl>
      <w:tblPr>
        <w:tblW w:w="4440" w:type="dxa"/>
        <w:jc w:val="left"/>
        <w:tblInd w:w="0" w:type="dxa"/>
        <w:tblLayout w:type="fixed"/>
        <w:tblCellMar>
          <w:top w:w="28" w:type="dxa"/>
          <w:left w:w="28" w:type="dxa"/>
          <w:bottom w:w="28" w:type="dxa"/>
          <w:right w:w="28" w:type="dxa"/>
        </w:tblCellMar>
      </w:tblPr>
      <w:tblGrid>
        <w:gridCol w:w="1123"/>
        <w:gridCol w:w="987"/>
        <w:gridCol w:w="994"/>
        <w:gridCol w:w="236"/>
        <w:gridCol w:w="926"/>
        <w:gridCol w:w="174"/>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Commitments</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 (remaining nine months)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276,801 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entered into a new private pricing addendum with Amazon Web Services (“AWS”), which provides the Company with cloud computing infrastructure. Under the new pricing addendum, the minimum commitment is $600.0 million of cloud services from AWS through September 2026. As of April 30, 2023, the Company had utilized $366.9 million of this commitment. The remaining commitment is excluded from the table above and the Company expects to meet its remaining commitment with AWS.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April 30, 2023</w:t>
      </w:r>
      <w:r>
        <w:rPr>
          <w:rFonts w:ascii="Times New Roman;sans-serif" w:hAnsi="Times New Roman;sans-serif"/>
          <w:b w:val="false"/>
          <w:color w:val="000000"/>
          <w:sz w:val="20"/>
          <w:shd w:fill="FFFFFF" w:val="clear"/>
        </w:rPr>
        <w:t xml:space="preserve">, the Company had unused standby letters of credit for $0.7 million securing its facility in Tel Aviv, Israel, $0.4 million securing its facility in Sunnyvale, California, and $0.1 million securing its principal executive offices in Austin, Texas. As of </w:t>
      </w:r>
      <w:r>
        <w:rPr>
          <w:rFonts w:ascii="Times New Roman;sans-serif" w:hAnsi="Times New Roman;sans-serif"/>
          <w:b w:val="false"/>
          <w:color w:val="000000"/>
          <w:sz w:val="20"/>
        </w:rPr>
        <w:t>January 31, 2023</w:t>
      </w:r>
      <w:r>
        <w:rPr>
          <w:rFonts w:ascii="Times New Roman;sans-serif" w:hAnsi="Times New Roman;sans-serif"/>
          <w:b w:val="false"/>
          <w:color w:val="000000"/>
          <w:sz w:val="20"/>
          <w:shd w:fill="FFFFFF" w:val="clear"/>
        </w:rPr>
        <w:t>, the Company had unused standby letters of credit for $0.8 million securing its principal executive offices in Austin, Texas and $0.4 million securing its facility in Sunnyvale, California.</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the Company and Fair Isaac Corporation (“FICO”) resolved a trademark dispute that was pending before the Trademark Trial and Appellate Board (“TTAB”) at the U.S. Patent and Trademark Office. The TTAB dismissed all proceedings between the parties in July 2022.</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In May 2022, CrowdStrike, Inc. asserted counterclaims alleging that certain of Webroot’s products infringe two of its patents. In the filing, CrowdStrike, Inc. sought unspecified damages, reasonable fees and costs, and a permanent injunction. In September 2022, Webroot amended its complaint to assert six additional patents.</w:t>
      </w:r>
      <w:r>
        <w:rPr>
          <w:color w:val="000000"/>
        </w:rPr>
        <w:t xml:space="preserve"> </w:t>
      </w:r>
      <w:r>
        <w:rPr>
          <w:rFonts w:ascii="Times New Roman;sans-serif" w:hAnsi="Times New Roman;sans-serif"/>
          <w:b w:val="false"/>
          <w:color w:val="000000"/>
          <w:sz w:val="20"/>
        </w:rPr>
        <w:t>The Company intends to vigorously defend against Webroot’s allegations. As of April 30, 2023, the Company is unable to predict the outcome of Webroot’s claims or reasonably estimate a loss or a range of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Warranties and Indemnification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April 30, 2023 or January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9. Acquisitions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Reposify Ltd.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2022, the Company acquired 100% of the equity interest of Reposify Ltd. (“Reposify”), a privately-held company that provides an external attack surface management platform that scans the internet for exposed assets of an organization to detect and eliminate risk from vulnerable and unknown assets before attackers can exploit them. The acquisition has been accounted for as a business combination. The total consideration transferred consisted of $18.9 million, net of cash acquired of $0.5 million, and an immaterial amount representing the fair value of replacement equity awards attributable to pre-acquisition service. The remaining fair value of these replacement awards is subject to the recipient’s continued service and thus were excluded from the purchase price. The purchase price was allocated on a preliminary basis, subject to working capital adjustment and continuing management analysis, to developed technology of $3.8 million, net tangible assets acquired of $0.9 million, and goodwill of $14.2 million, which was allocated to the Company’s one reporting unit and represents the excess of the purchase price over the fair value of net tangible and intangible assets acquired. The goodwill was primarily attributable to the assembled workforce of Reposify, planned growth in new markets, and synergies expected to be achieved from the integration of Reposify. Goodwill was not deductible for income tax purposes.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developed technology acquired was $3.8 million with a useful life of 72 months.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costs during the three months ended April 30, 2023 were not material and are recorded in research and development expenses on the Company’s condensed consolidated statements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acquisition have been included in the Company’s condensed consolidated financial statements from the date of acquisition. The acquisition did not have a material impact on the Company’s condensed consolidated financial statements, and therefore historical and pro forma disclosures have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10. Net Income (Loss) Per Share Attributable to Common Stockholders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weighted-average number of dilutive common share equivalents during the period. Diluted net loss per share is the same as basic net loss per share for the three months ended April 30, 2022 because the effects of potentially dilutive items were antidilutive given the Company’s net loss position.</w:t>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(loss) per share attributable to CrowdStrike common stockholders are the same for shares of Class A and Class B common stock.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(loss) per share attributable to CrowdStrike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2895"/>
        <w:gridCol w:w="2370"/>
        <w:gridCol w:w="2383"/>
        <w:gridCol w:w="247"/>
        <w:gridCol w:w="589"/>
        <w:gridCol w:w="118"/>
        <w:gridCol w:w="118"/>
        <w:gridCol w:w="118"/>
        <w:gridCol w:w="118"/>
        <w:gridCol w:w="230"/>
        <w:gridCol w:w="843"/>
        <w:gridCol w:w="176"/>
      </w:tblGrid>
      <w:tr>
        <w:trPr/>
        <w:tc>
          <w:tcPr>
            <w:tcW w:w="2895"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April 30,</w:t>
            </w:r>
          </w:p>
        </w:tc>
      </w:tr>
      <w:tr>
        <w:trPr/>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Class A and Class B CrowdStrike common stockholders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attributable to Class A and Class B of CrowdStrike common stockholders, basic</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common stock equivalents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attributable to Class A and Class B of CrowdStrike common stockholders, dilutive</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231,179 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Class A and Class B CrowdStrike common stockholders, basic</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Class A and Class B CrowdStrike common stockholders, diluted</w:t>
            </w:r>
          </w:p>
        </w:tc>
        <w:tc>
          <w:tcPr>
            <w:tcW w:w="24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1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income (loss) per share attributable to common stockholders for the periods presented because including them would have been antidilutive are as follows (in thousands):</w:t>
      </w:r>
    </w:p>
    <w:tbl>
      <w:tblPr>
        <w:tblW w:w="9430" w:type="dxa"/>
        <w:jc w:val="left"/>
        <w:tblInd w:w="0" w:type="dxa"/>
        <w:tblLayout w:type="fixed"/>
        <w:tblCellMar>
          <w:top w:w="28" w:type="dxa"/>
          <w:left w:w="28" w:type="dxa"/>
          <w:bottom w:w="28" w:type="dxa"/>
          <w:right w:w="28" w:type="dxa"/>
        </w:tblCellMar>
      </w:tblPr>
      <w:tblGrid>
        <w:gridCol w:w="2325"/>
        <w:gridCol w:w="2044"/>
        <w:gridCol w:w="2050"/>
        <w:gridCol w:w="439"/>
        <w:gridCol w:w="439"/>
        <w:gridCol w:w="441"/>
        <w:gridCol w:w="109"/>
        <w:gridCol w:w="109"/>
        <w:gridCol w:w="109"/>
        <w:gridCol w:w="400"/>
        <w:gridCol w:w="400"/>
        <w:gridCol w:w="565"/>
      </w:tblGrid>
      <w:tr>
        <w:trPr/>
        <w:tc>
          <w:tcPr>
            <w:tcW w:w="2325"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subject to repurchase from outstanding stock options</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PSUs subject to future vesting</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issuable from stock options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purchase rights under the Employee Stock Purchase Plan</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common shares excluded from diluted net income (loss) per share</w:t>
            </w:r>
          </w:p>
        </w:tc>
        <w:tc>
          <w:tcPr>
            <w:tcW w:w="8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13,141 </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table excludes founder holdbacks related to business combinations. A variable number of shares will be issued upon vesting to settle a fixed monetary amount of $6.2 million, contingent upon continued employment with the Company. The share price will be determined based on the Company’s average stock price or the volume weighted average stock price five days prior to each vesting date. During the three months ended April 30, 2023, 12,810 shares were issued to settle founder holdbacks at a weighted average price of $128.77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2023,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CrowdStrike Falcon platform – the first, true cloud-native platform capable of harnessing vast amounts of security and enterprise data to deliver highly modular solutions through a single lightweight agent. Our pioneering platform approach keeps customers ahead of attackers by automatically detecting and preventing threats to stop breaches.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Our Go-To-Market Strategy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Certain Factors Affecting Our Performance</w:t>
      </w:r>
    </w:p>
    <w:p>
      <w:pPr>
        <w:pStyle w:val="TextBody"/>
        <w:bidi w:val="0"/>
        <w:spacing w:lineRule="auto" w:line="288" w:before="240" w:after="240"/>
        <w:ind w:left="0" w:right="0" w:firstLine="720"/>
        <w:jc w:val="left"/>
        <w:rPr/>
      </w:pPr>
      <w:r>
        <w:rPr>
          <w:rFonts w:ascii="Times New Roman;sans-serif" w:hAnsi="Times New Roman;sans-serif"/>
          <w:b/>
          <w:i/>
          <w:color w:val="000000"/>
          <w:sz w:val="20"/>
        </w:rPr>
        <w:t>Adoption of Our Solutions. </w:t>
      </w:r>
      <w:r>
        <w:rPr>
          <w:rFonts w:ascii="Times New Roman;sans-serif" w:hAnsi="Times New Roman;sans-serif"/>
          <w:b w:val="false"/>
          <w:color w:val="000000"/>
          <w:sz w:val="20"/>
        </w:rPr>
        <w:t>We believe our future success depends in large part on the growth in the market for cloud-based SaaS-delivered 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pStyle w:val="TextBody"/>
        <w:bidi w:val="0"/>
        <w:spacing w:lineRule="auto" w:line="288" w:before="240" w:after="240"/>
        <w:ind w:left="0" w:right="0" w:firstLine="720"/>
        <w:jc w:val="left"/>
        <w:rPr/>
      </w:pPr>
      <w:r>
        <w:rPr>
          <w:rFonts w:ascii="Times New Roman;sans-serif" w:hAnsi="Times New Roman;sans-serif"/>
          <w:b/>
          <w:i/>
          <w:color w:val="000000"/>
          <w:sz w:val="20"/>
        </w:rPr>
        <w:t>New Customer Acquisition. </w:t>
      </w:r>
      <w:r>
        <w:rPr>
          <w:rFonts w:ascii="Times New Roman;sans-serif" w:hAnsi="Times New Roman;sans-serif"/>
          <w:b w:val="false"/>
          <w:color w:val="000000"/>
          <w:sz w:val="20"/>
        </w:rPr>
        <w:t>Our future growth depends in large part on our ability to acquire new customers. If our efforts to attract new 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pStyle w:val="TextBody"/>
        <w:bidi w:val="0"/>
        <w:spacing w:lineRule="auto" w:line="276" w:before="0" w:after="0"/>
        <w:ind w:left="0" w:right="0" w:firstLine="720"/>
        <w:jc w:val="left"/>
        <w:rPr/>
      </w:pPr>
      <w:r>
        <w:rPr>
          <w:rFonts w:ascii="Times New Roman;sans-serif" w:hAnsi="Times New Roman;sans-serif"/>
          <w:b/>
          <w:i/>
          <w:color w:val="000000"/>
          <w:sz w:val="20"/>
        </w:rPr>
        <w:t xml:space="preserve">Maintain Customer Retention and Increase Sales. </w:t>
      </w:r>
      <w:r>
        <w:rPr>
          <w:rFonts w:ascii="Times New Roman;sans-serif" w:hAnsi="Times New Roman;sans-serif"/>
          <w:b w:val="false"/>
          <w:color w:val="000000"/>
          <w:sz w:val="20"/>
        </w:rPr>
        <w:t xml:space="preserve">Our ability to increase revenue depends in large part on our ability to retain our existing customers and increase the ARR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Invest in Growth. </w:t>
      </w:r>
      <w:r>
        <w:rPr>
          <w:rFonts w:ascii="Times New Roman;sans-serif" w:hAnsi="Times New Roman;sans-serif"/>
          <w:b w:val="false"/>
          <w:color w:val="000000"/>
          <w:sz w:val="20"/>
        </w:rPr>
        <w:t>We believe that our market opportunity is large and requires us to continue to invest significantly in sales and marketing efforts 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the following key metrics to help us evaluate our business, identify trends affecting our business, formulate business plans, and make strategic decisions.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 </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ARR as of the dates presented (dollars in thousands):</w:t>
      </w:r>
    </w:p>
    <w:tbl>
      <w:tblPr>
        <w:tblW w:w="5478" w:type="dxa"/>
        <w:jc w:val="left"/>
        <w:tblInd w:w="0" w:type="dxa"/>
        <w:tblLayout w:type="fixed"/>
        <w:tblCellMar>
          <w:top w:w="28" w:type="dxa"/>
          <w:left w:w="28" w:type="dxa"/>
          <w:bottom w:w="28" w:type="dxa"/>
          <w:right w:w="28" w:type="dxa"/>
        </w:tblCellMar>
      </w:tblPr>
      <w:tblGrid>
        <w:gridCol w:w="793"/>
        <w:gridCol w:w="696"/>
        <w:gridCol w:w="701"/>
        <w:gridCol w:w="211"/>
        <w:gridCol w:w="976"/>
        <w:gridCol w:w="271"/>
        <w:gridCol w:w="109"/>
        <w:gridCol w:w="109"/>
        <w:gridCol w:w="109"/>
        <w:gridCol w:w="211"/>
        <w:gridCol w:w="976"/>
        <w:gridCol w:w="316"/>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April 30,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recurring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2,733,931 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growth</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ARR grew to $2.7 billion as of April 30, 2023, of which $174.2 million was net new ARR added for the three months ended April 30, 2023. ARR grew to $1.9 billion as of April 30, 2022, of which $190.5 million was net new ARR added for the three months ended April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Dollar-Based Net Retention Rate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dollar-based net retention rate was above 120% as of April 30, 2023.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 xml:space="preserve">Subscription Revenue. </w:t>
      </w:r>
      <w:r>
        <w:rPr>
          <w:rFonts w:ascii="Times New Roman;sans-serif" w:hAnsi="Times New Roman;sans-serif"/>
          <w:b w:val="false"/>
          <w:color w:val="000000"/>
          <w:sz w:val="20"/>
        </w:rPr>
        <w:t>Subscription revenue primarily consists of subscription fees for our Falcon platform and additional cloud modules that are 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Professional Services Revenue. </w:t>
      </w:r>
      <w:r>
        <w:rPr>
          <w:rFonts w:ascii="Times New Roman;sans-serif" w:hAnsi="Times New Roman;sans-serif"/>
          <w:b w:val="false"/>
          <w:color w:val="000000"/>
          <w:sz w:val="20"/>
        </w:rPr>
        <w:t>Professional services revenue includes incident response and proactive services, forensic and malware analysis, 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Subscription Cost of Revenue. </w:t>
      </w:r>
      <w:r>
        <w:rPr>
          <w:rFonts w:ascii="Times New Roman;sans-serif" w:hAnsi="Times New Roman;sans-serif"/>
          <w:b w:val="false"/>
          <w:color w:val="000000"/>
          <w:sz w:val="20"/>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Professional Services Cost of Revenue. </w:t>
      </w:r>
      <w:r>
        <w:rPr>
          <w:rFonts w:ascii="Times New Roman;sans-serif" w:hAnsi="Times New Roman;sans-serif"/>
          <w:b w:val="false"/>
          <w:color w:val="000000"/>
          <w:sz w:val="20"/>
        </w:rPr>
        <w:t>Professional services cost of revenue consists primarily of employee-related costs, such as salaries and bonuses, stock-based compensation expense, technology, property and equipment depreciation, and an allocated portion of facilities and administrative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Sales and Marketing. </w:t>
      </w:r>
      <w:r>
        <w:rPr>
          <w:rFonts w:ascii="Times New Roman;sans-serif" w:hAnsi="Times New Roman;sans-serif"/>
          <w:b w:val="false"/>
          <w:color w:val="000000"/>
          <w:sz w:val="20"/>
        </w:rPr>
        <w:t>Sales and marketing expenses primarily consist of employee-related expenses such as salaries, commissions, and bonuses. Sales 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Sales and marketing expenses also include sales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 to period depending on the timing of these expenses.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Research and Development. </w:t>
      </w:r>
      <w:r>
        <w:rPr>
          <w:rFonts w:ascii="Times New Roman;sans-serif" w:hAnsi="Times New Roman;sans-serif"/>
          <w:b w:val="false"/>
          <w:color w:val="000000"/>
          <w:sz w:val="20"/>
        </w:rPr>
        <w:t>Research and development expenses primarily consist of employee-related expenses such as salaries and bonuses; 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 to period depending on the timing of these expenses.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General and Administrative. </w:t>
      </w:r>
      <w:r>
        <w:rPr>
          <w:rFonts w:ascii="Times New Roman;sans-serif" w:hAnsi="Times New Roman;sans-serif"/>
          <w:b w:val="false"/>
          <w:color w:val="000000"/>
          <w:sz w:val="20"/>
        </w:rPr>
        <w:t>General and administrative expenses consist of employee-related expenses such as salaries and bonuses; stock-based 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period-to-period depending on the timing of these expenses.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 xml:space="preserve">Interest expense consists primarily of amortization of debt issuance costs, contractual interest expense for our Senior Notes issued in January 2021, and amortization of debt issuance costs on our secured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 xml:space="preserve">Interest income consists primarily of income earned on our cash and cash equivalents and short-term investments. </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 xml:space="preserve">Other Income, Net. </w:t>
      </w:r>
      <w:r>
        <w:rPr>
          <w:rFonts w:ascii="Times New Roman;sans-serif" w:hAnsi="Times New Roman;sans-serif"/>
          <w:b w:val="false"/>
          <w:color w:val="000000"/>
          <w:sz w:val="20"/>
        </w:rPr>
        <w:t>Other income, net, consists primarily of gain and losses on strategic investments and foreign currency transaction gains and losses.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 xml:space="preserve">Provision for Income Taxes. </w:t>
      </w:r>
      <w:r>
        <w:rPr>
          <w:rFonts w:ascii="Times New Roman;sans-serif" w:hAnsi="Times New Roman;sans-serif"/>
          <w:b w:val="false"/>
          <w:color w:val="000000"/>
          <w:sz w:val="20"/>
        </w:rPr>
        <w:t>Provision for income taxes consists of state income taxes in the United States, foreign income taxes, and withholding taxes related to customer payments in certain foreign jurisdictions in which we conduct business. We maintain a full valuation allowance on our U.S. federal and state and U.K. deferred tax assets, which we have determined are not realizable on a more likely than not basis.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Net Income Attributable to Non-controlling Interest</w:t>
      </w:r>
      <w:r>
        <w:rPr>
          <w:rFonts w:ascii="Times New Roman;sans-serif" w:hAnsi="Times New Roman;sans-serif"/>
          <w:b w:val="false"/>
          <w:color w:val="000000"/>
          <w:sz w:val="20"/>
        </w:rPr>
        <w:t>. Net income attributable to non-controlling interest consists of the Falcon Funds’ non-controlling interest share of mark-to-market gains and losses and interest income from our strategic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statements of operations for each period presented (in thousands, except percentages):</w:t>
      </w:r>
    </w:p>
    <w:tbl>
      <w:tblPr>
        <w:tblW w:w="8792" w:type="dxa"/>
        <w:jc w:val="left"/>
        <w:tblInd w:w="0" w:type="dxa"/>
        <w:tblLayout w:type="fixed"/>
        <w:tblCellMar>
          <w:top w:w="28" w:type="dxa"/>
          <w:left w:w="28" w:type="dxa"/>
          <w:bottom w:w="28" w:type="dxa"/>
          <w:right w:w="28" w:type="dxa"/>
        </w:tblCellMar>
      </w:tblPr>
      <w:tblGrid>
        <w:gridCol w:w="1312"/>
        <w:gridCol w:w="1152"/>
        <w:gridCol w:w="1166"/>
        <w:gridCol w:w="201"/>
        <w:gridCol w:w="756"/>
        <w:gridCol w:w="112"/>
        <w:gridCol w:w="112"/>
        <w:gridCol w:w="112"/>
        <w:gridCol w:w="112"/>
        <w:gridCol w:w="201"/>
        <w:gridCol w:w="756"/>
        <w:gridCol w:w="112"/>
        <w:gridCol w:w="109"/>
        <w:gridCol w:w="109"/>
        <w:gridCol w:w="109"/>
        <w:gridCol w:w="196"/>
        <w:gridCol w:w="736"/>
        <w:gridCol w:w="109"/>
        <w:gridCol w:w="109"/>
        <w:gridCol w:w="109"/>
        <w:gridCol w:w="109"/>
        <w:gridCol w:w="276"/>
        <w:gridCol w:w="280"/>
        <w:gridCol w:w="437"/>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20"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651,175 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692,580 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487,834 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Subscription</w:t>
            </w:r>
            <w:r>
              <w:rPr>
                <w:color w:val="000000"/>
              </w:rPr>
              <w:t> </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169,230 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126,832 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523,350 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542,806 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384,885 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CrowdStrike</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our condensed consolidated statements of operations as a percentage of total revenue for the periods presented:</w:t>
      </w:r>
    </w:p>
    <w:tbl>
      <w:tblPr>
        <w:tblW w:w="7069" w:type="dxa"/>
        <w:jc w:val="left"/>
        <w:tblInd w:w="0" w:type="dxa"/>
        <w:tblLayout w:type="fixed"/>
        <w:tblCellMar>
          <w:top w:w="28" w:type="dxa"/>
          <w:left w:w="28" w:type="dxa"/>
          <w:bottom w:w="28" w:type="dxa"/>
          <w:right w:w="28" w:type="dxa"/>
        </w:tblCellMar>
      </w:tblPr>
      <w:tblGrid>
        <w:gridCol w:w="1526"/>
        <w:gridCol w:w="1346"/>
        <w:gridCol w:w="1358"/>
        <w:gridCol w:w="282"/>
        <w:gridCol w:w="219"/>
        <w:gridCol w:w="545"/>
        <w:gridCol w:w="219"/>
        <w:gridCol w:w="219"/>
        <w:gridCol w:w="219"/>
        <w:gridCol w:w="282"/>
        <w:gridCol w:w="219"/>
        <w:gridCol w:w="635"/>
      </w:tblGrid>
      <w:tr>
        <w:trPr/>
        <w:tc>
          <w:tcPr>
            <w:tcW w:w="152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April 30,</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CrowdStrike</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April 30, 2023 and 2022</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180"/>
        <w:ind w:left="0" w:right="0" w:firstLine="720"/>
        <w:jc w:val="left"/>
        <w:rPr/>
      </w:pPr>
      <w:r>
        <w:rPr>
          <w:rFonts w:ascii="Times New Roman;sans-serif" w:hAnsi="Times New Roman;sans-serif"/>
          <w:b w:val="false"/>
          <w:color w:val="000000"/>
          <w:sz w:val="20"/>
        </w:rPr>
        <w:t>The following shows total revenue from subscriptions and professional services for the three months ended</w:t>
      </w:r>
      <w:r>
        <w:rPr>
          <w:color w:val="000000"/>
        </w:rPr>
        <w:t xml:space="preserve"> </w:t>
      </w:r>
      <w:r>
        <w:rPr>
          <w:rFonts w:ascii="Times New Roman;sans-serif" w:hAnsi="Times New Roman;sans-serif"/>
          <w:b w:val="false"/>
          <w:color w:val="000000"/>
          <w:sz w:val="20"/>
        </w:rPr>
        <w:t>April 30, 2023 as compared to the three months ended April 30, 2022 (in thousands, except percentages):</w:t>
      </w:r>
    </w:p>
    <w:tbl>
      <w:tblPr>
        <w:tblW w:w="7024" w:type="dxa"/>
        <w:jc w:val="left"/>
        <w:tblInd w:w="0" w:type="dxa"/>
        <w:tblLayout w:type="fixed"/>
        <w:tblCellMar>
          <w:top w:w="28" w:type="dxa"/>
          <w:left w:w="28" w:type="dxa"/>
          <w:bottom w:w="28" w:type="dxa"/>
          <w:right w:w="28" w:type="dxa"/>
        </w:tblCellMar>
      </w:tblPr>
      <w:tblGrid>
        <w:gridCol w:w="652"/>
        <w:gridCol w:w="573"/>
        <w:gridCol w:w="57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45"/>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increased by $204.7 million, or 42%, for the three months ended April 30, 2023 compared to the three months ended April 30, 2022. Subscription revenue accounted for 94% of our total revenue for each of the three months ended April 30, 2023 and April 30, 2022. Professional services revenue accounted for 6% of our total revenue for each of the three months ended April 30, 2023 and April 30, 2022.</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by $191.4 million, or 42%, for the three months ended April 30, 2023 compared to the three months ended April 30, 2022, primarily driven by a combination of the addition of new customers and the sale of additional endpoints and modules to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increased by $13.4 million, or 48%, for the three months ended April 30, 2023, compared to the three months ended April 30, 2022, which was primarily attributable to an increase in the number of professional service hours performed.</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Cost of Revenue, Gross Profit, and Gross Margin</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cost of revenue related to subscriptions and professional services for the three months ended April 30, 2023 as compared to the three months ended April 30, 2022 (in thousands, except percentages):</w:t>
      </w:r>
    </w:p>
    <w:tbl>
      <w:tblPr>
        <w:tblW w:w="6950" w:type="dxa"/>
        <w:jc w:val="left"/>
        <w:tblInd w:w="0" w:type="dxa"/>
        <w:tblLayout w:type="fixed"/>
        <w:tblCellMar>
          <w:top w:w="28" w:type="dxa"/>
          <w:left w:w="28" w:type="dxa"/>
          <w:bottom w:w="28" w:type="dxa"/>
          <w:right w:w="28" w:type="dxa"/>
        </w:tblCellMar>
      </w:tblPr>
      <w:tblGrid>
        <w:gridCol w:w="663"/>
        <w:gridCol w:w="583"/>
        <w:gridCol w:w="58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increased by $42.4 million, or 33%, for the three months ended April 30, 2023 compared to the three months ended April 30, 2022. Subscription cost of revenue increased by $34.2 million, or 32%, for the three months ended April 30, 2023, compared to the three months ended April 30, 2022. The increase in subscription cost of revenue was primarily due to an increase in employee-related expenses of $11.7 million driven by a 41% increase in average headcount, an increase in cloud hosting and related services cost of $7.5 million driven by increased customer activity, an increase in depreciation of data center equipment of $4.3 million, an increase in amortization of internal-use software of $3.2 million, an increase in allocated overhead costs of $2.7 million, an increase in stock-based compensation expense of $2.4 million, and an increase in term-based software licenses of $1.7 million.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cost of revenue increased by $8.2 million, or 44%, for the three months ended April 30, 2023, compared to the three months ended April 30, 2022. The increase in professional services cost of revenue was primarily due to an increase in employee-related expenses of $5.3 million driven by an increase in average headcount of 44%, an increase in stock-based compensation expense of $1.6 million, an increase in allocated overhead costs of $0.8 million, and an increase in employee health insurance costs of $0.3 million.</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gross profit and gross margin for subscriptions and professional services for the three months ended April 30, 2023 as compared to the three months ended April 30, 2022 (in thousands, except percentages):</w:t>
      </w:r>
    </w:p>
    <w:tbl>
      <w:tblPr>
        <w:tblW w:w="7984" w:type="dxa"/>
        <w:jc w:val="left"/>
        <w:tblInd w:w="0" w:type="dxa"/>
        <w:tblLayout w:type="fixed"/>
        <w:tblCellMar>
          <w:top w:w="28" w:type="dxa"/>
          <w:left w:w="28" w:type="dxa"/>
          <w:bottom w:w="28" w:type="dxa"/>
          <w:right w:w="28" w:type="dxa"/>
        </w:tblCellMar>
      </w:tblPr>
      <w:tblGrid>
        <w:gridCol w:w="1000"/>
        <w:gridCol w:w="878"/>
        <w:gridCol w:w="8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45"/>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427" w:type="dxa"/>
        <w:jc w:val="left"/>
        <w:tblInd w:w="0" w:type="dxa"/>
        <w:tblLayout w:type="fixed"/>
        <w:tblCellMar>
          <w:top w:w="28" w:type="dxa"/>
          <w:left w:w="28" w:type="dxa"/>
          <w:bottom w:w="28" w:type="dxa"/>
          <w:right w:w="28" w:type="dxa"/>
        </w:tblCellMar>
      </w:tblPr>
      <w:tblGrid>
        <w:gridCol w:w="1044"/>
        <w:gridCol w:w="916"/>
        <w:gridCol w:w="919"/>
        <w:gridCol w:w="206"/>
        <w:gridCol w:w="206"/>
        <w:gridCol w:w="514"/>
        <w:gridCol w:w="206"/>
        <w:gridCol w:w="206"/>
        <w:gridCol w:w="206"/>
        <w:gridCol w:w="206"/>
        <w:gridCol w:w="206"/>
        <w:gridCol w:w="514"/>
        <w:gridCol w:w="109"/>
        <w:gridCol w:w="109"/>
        <w:gridCol w:w="109"/>
        <w:gridCol w:w="153"/>
        <w:gridCol w:w="153"/>
        <w:gridCol w:w="445"/>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gross margin</w:t>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margin</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4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gross margin increased by 1% for the three months ended April 30, 2023, compared to the three months ended April 30, 2022. The increase in subscription gross margin was primarily due to an increase in cloud hosting efficiency during the three months ended April 30, 2023, compared to the three months ended April 30, 2022.</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margin increased by 1% for the three months ended April 30, 2023 compared to the three months ended April 30, 2022. The increase in professional services gross margin was primarily due to increased utilization and decreased subcontractor costs during the three months ended April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8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sales and marketing expenses for the three months ended April 30, 2023 as compared to the three months ended April 30, 2022 (in thousands, except percentages):</w:t>
      </w:r>
    </w:p>
    <w:tbl>
      <w:tblPr>
        <w:tblW w:w="7654" w:type="dxa"/>
        <w:jc w:val="left"/>
        <w:tblInd w:w="0" w:type="dxa"/>
        <w:tblLayout w:type="fixed"/>
        <w:tblCellMar>
          <w:top w:w="28" w:type="dxa"/>
          <w:left w:w="28" w:type="dxa"/>
          <w:bottom w:w="28" w:type="dxa"/>
          <w:right w:w="28" w:type="dxa"/>
        </w:tblCellMar>
      </w:tblPr>
      <w:tblGrid>
        <w:gridCol w:w="916"/>
        <w:gridCol w:w="806"/>
        <w:gridCol w:w="81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by $87.6 million, or 45%, for the three months ended April 30, 2023 compared to the three months ended April 30, 2022. The increase in sales and marketing expenses was primarily due to an increase in employee-related expenses of $39.8 million driven by an increase in sales and marketing average headcount of 34%, an increase in marketing programs of $15.8 million, an increase in stock-based compensation of $9.0 million, an increase in company events expenses of $6.2 million, an increase in allocated overhead costs of $4.3 million, an increase in tax and licenses of $2.3 million, an increase in employer pension of $2.2 million, an increase in travel expenses of $2.1 million, and an increase in employee health insurance costs of $2.0 million. </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research and development expenses for the three months ended April 30, 2023 as compared to the three months ended April 30, 2022 (in thousands, except percentages):</w:t>
      </w:r>
    </w:p>
    <w:tbl>
      <w:tblPr>
        <w:tblW w:w="8209" w:type="dxa"/>
        <w:jc w:val="left"/>
        <w:tblInd w:w="0" w:type="dxa"/>
        <w:tblLayout w:type="fixed"/>
        <w:tblCellMar>
          <w:top w:w="28" w:type="dxa"/>
          <w:left w:w="28" w:type="dxa"/>
          <w:bottom w:w="28" w:type="dxa"/>
          <w:right w:w="28" w:type="dxa"/>
        </w:tblCellMar>
      </w:tblPr>
      <w:tblGrid>
        <w:gridCol w:w="1120"/>
        <w:gridCol w:w="982"/>
        <w:gridCol w:w="98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$55.7 million, or 45%, for the three months ended April 30, 2023 compared to the three months ended April 30, 2022. This increase was primarily due to an increase in employee-related expenses of $33.2 million driven by an increase in research and development average headcount of 46%, an increase in stock-based compensation of $10.3 million, an increase in cloud hosting and related costs of $6.5 million, an increase in allocated overhead costs of $5.0 million, an increase in employee health insurance costs of $1.7 million, an increase in employer pension of $1.8 million, and an increase in depreciation of data center equipment of $1.0 million, partially offset by an increase in software capitalization of $5.6 million.</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general and administrative expenses for the three months ended April 30, 2023 as compared to the three months ended April 30, 2022 (in thousands, except percentages):</w:t>
      </w:r>
    </w:p>
    <w:tbl>
      <w:tblPr>
        <w:tblW w:w="8065" w:type="dxa"/>
        <w:jc w:val="left"/>
        <w:tblInd w:w="0" w:type="dxa"/>
        <w:tblLayout w:type="fixed"/>
        <w:tblCellMar>
          <w:top w:w="28" w:type="dxa"/>
          <w:left w:w="28" w:type="dxa"/>
          <w:bottom w:w="28" w:type="dxa"/>
          <w:right w:w="28" w:type="dxa"/>
        </w:tblCellMar>
      </w:tblPr>
      <w:tblGrid>
        <w:gridCol w:w="1120"/>
        <w:gridCol w:w="984"/>
        <w:gridCol w:w="986"/>
        <w:gridCol w:w="216"/>
        <w:gridCol w:w="741"/>
        <w:gridCol w:w="112"/>
        <w:gridCol w:w="112"/>
        <w:gridCol w:w="112"/>
        <w:gridCol w:w="112"/>
        <w:gridCol w:w="216"/>
        <w:gridCol w:w="741"/>
        <w:gridCol w:w="112"/>
        <w:gridCol w:w="109"/>
        <w:gridCol w:w="109"/>
        <w:gridCol w:w="109"/>
        <w:gridCol w:w="211"/>
        <w:gridCol w:w="721"/>
        <w:gridCol w:w="109"/>
        <w:gridCol w:w="109"/>
        <w:gridCol w:w="109"/>
        <w:gridCol w:w="109"/>
        <w:gridCol w:w="180"/>
        <w:gridCol w:w="181"/>
        <w:gridCol w:w="445"/>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$14.7 million, or 22%, for the three months ended April 30, 2023 compared to the three months ended April 30, 2022. The increase in general and administrative expenses was primarily due to an increase in stock-based compensation expense of $5.0 million, an increase in employee-related expenses of $4.5 million driven by an increase in general and administrative average headcount of 35%, an increase in legal expense of $2.9 million, an increase in allocated overhead costs of $0.9 million, and an increase in other labor expense of $0.8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Expense, Interest Income, and Other Income, Net</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interest expense, interest income, and other income, net for the three months ended April 30, 2023 as compared to the three months ended April 30, 2022 (in thousands, except percentages):</w:t>
      </w:r>
    </w:p>
    <w:tbl>
      <w:tblPr>
        <w:tblW w:w="6787" w:type="dxa"/>
        <w:jc w:val="left"/>
        <w:tblInd w:w="0" w:type="dxa"/>
        <w:tblLayout w:type="fixed"/>
        <w:tblCellMar>
          <w:top w:w="28" w:type="dxa"/>
          <w:left w:w="28" w:type="dxa"/>
          <w:bottom w:w="28" w:type="dxa"/>
          <w:right w:w="28" w:type="dxa"/>
        </w:tblCellMar>
      </w:tblPr>
      <w:tblGrid>
        <w:gridCol w:w="565"/>
        <w:gridCol w:w="495"/>
        <w:gridCol w:w="499"/>
        <w:gridCol w:w="219"/>
        <w:gridCol w:w="750"/>
        <w:gridCol w:w="113"/>
        <w:gridCol w:w="113"/>
        <w:gridCol w:w="113"/>
        <w:gridCol w:w="113"/>
        <w:gridCol w:w="219"/>
        <w:gridCol w:w="719"/>
        <w:gridCol w:w="113"/>
        <w:gridCol w:w="109"/>
        <w:gridCol w:w="109"/>
        <w:gridCol w:w="109"/>
        <w:gridCol w:w="211"/>
        <w:gridCol w:w="721"/>
        <w:gridCol w:w="109"/>
        <w:gridCol w:w="109"/>
        <w:gridCol w:w="109"/>
        <w:gridCol w:w="109"/>
        <w:gridCol w:w="308"/>
        <w:gridCol w:w="308"/>
        <w:gridCol w:w="445"/>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88" w:type="dxa"/>
            <w:gridSpan w:val="6"/>
            <w:tcBorders/>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primarily of amortization of debt issuance costs, contractual interest expense, and accretion of debt discount for our Senior Notes issued in January 2021.</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for the three months ended April 30, 2023 compared to the three months ended April 30, 2022 was driven by increases in market interest rates.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other income, net for the three months ended April 30, 2023 compared to the three months ended April 30, 2022 was primarily due to a decrease in net positive mark-to-market adjustments of our strategic investments of $2.2 million, partially offset by a net increase of $0.7 million from foreign currency transaction gains.</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the provision for income taxes for the three months ended April 30, 2023 as compared to the three months ended April 30, 2022 (in thousands, except percentage):</w:t>
      </w:r>
    </w:p>
    <w:tbl>
      <w:tblPr>
        <w:tblW w:w="6996" w:type="dxa"/>
        <w:jc w:val="left"/>
        <w:tblInd w:w="0" w:type="dxa"/>
        <w:tblLayout w:type="fixed"/>
        <w:tblCellMar>
          <w:top w:w="28" w:type="dxa"/>
          <w:left w:w="28" w:type="dxa"/>
          <w:bottom w:w="28" w:type="dxa"/>
          <w:right w:w="28" w:type="dxa"/>
        </w:tblCellMar>
      </w:tblPr>
      <w:tblGrid>
        <w:gridCol w:w="825"/>
        <w:gridCol w:w="726"/>
        <w:gridCol w:w="729"/>
        <w:gridCol w:w="237"/>
        <w:gridCol w:w="693"/>
        <w:gridCol w:w="122"/>
        <w:gridCol w:w="122"/>
        <w:gridCol w:w="122"/>
        <w:gridCol w:w="122"/>
        <w:gridCol w:w="237"/>
        <w:gridCol w:w="693"/>
        <w:gridCol w:w="122"/>
        <w:gridCol w:w="109"/>
        <w:gridCol w:w="109"/>
        <w:gridCol w:w="109"/>
        <w:gridCol w:w="211"/>
        <w:gridCol w:w="466"/>
        <w:gridCol w:w="109"/>
        <w:gridCol w:w="109"/>
        <w:gridCol w:w="109"/>
        <w:gridCol w:w="109"/>
        <w:gridCol w:w="180"/>
        <w:gridCol w:w="181"/>
        <w:gridCol w:w="445"/>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provision for income taxes of $1.0 million during the three months ended April 30, 2023 compared to the three months ended April 30, 2022 was primarily attributable to withholding taxes related to customer payments in certain foreign jurisdictions in which the Company conducts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as of April 30, 2023, consisted of: (i) $2.8 billion in cash and cash equivalents, which mainly consists of cash on hand and highly liquid investments in time deposits and money market funds, (ii) $100.0 million in short-term investments, which consist of time deposits, (iii) cash we expect to generate from operations, and (iv) available capacity under our $750.0 million senior secured revolving credit facility (the “A&amp;R Credit Agreement”). We expect that the combination of our existing cash and cash equivalents, short-term investments, cash flows from operations, and the A&amp;R Credit Agreement will be sufficient to meet our anticipated cash needs for working capital and capital expenditures for at least the next 12 months.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generated operating losses, as reflected in our accumulated deficit of $1.1 billion as of April 30, 2023. We expect to continue to incur operating losses for the foreseeable future due to the investments we intend to continue to make, particularly in sales and marketing and research and development. As a result, we may require additional capital resources in the future to execute strategic initiatives to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April 30, 2023, we had deferred revenue of $2.4 billion, of which $1.8 billion was recorded as a current liability and is expected to be recorded as revenue in the next 12 months, provided all other revenue recognition criteria have been met.</w:t>
      </w:r>
    </w:p>
    <w:p>
      <w:pPr>
        <w:pStyle w:val="TextBody"/>
        <w:bidi w:val="0"/>
        <w:spacing w:lineRule="auto" w:line="276"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(in thousands):</w:t>
      </w:r>
    </w:p>
    <w:tbl>
      <w:tblPr>
        <w:tblW w:w="6864" w:type="dxa"/>
        <w:jc w:val="left"/>
        <w:tblInd w:w="0" w:type="dxa"/>
        <w:tblLayout w:type="fixed"/>
        <w:tblCellMar>
          <w:top w:w="28" w:type="dxa"/>
          <w:left w:w="28" w:type="dxa"/>
          <w:bottom w:w="28" w:type="dxa"/>
          <w:right w:w="28" w:type="dxa"/>
        </w:tblCellMar>
      </w:tblPr>
      <w:tblGrid>
        <w:gridCol w:w="1520"/>
        <w:gridCol w:w="1338"/>
        <w:gridCol w:w="1342"/>
        <w:gridCol w:w="211"/>
        <w:gridCol w:w="826"/>
        <w:gridCol w:w="109"/>
        <w:gridCol w:w="109"/>
        <w:gridCol w:w="109"/>
        <w:gridCol w:w="109"/>
        <w:gridCol w:w="211"/>
        <w:gridCol w:w="82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during the three months ended April 30, 2023 was $300.9 million, which resulted from net income of $0.5 million, adjusted for non-cash charges of $220.4 million and net cash inflow of $80.0 million from changes in operating assets and liabilities. Non-cash charges primarily consisted of $130.9 million in stock-based compensation expense, $55.3 million of amortization of deferred contract acquisition costs, $26.4 million of depreciation and amortization, $4.2 million of amortization of intangibles assets, $3.1 million of non-cash operating lease costs, and $0.8 million of non-cash interest expense. The net cash inflow from changes in operating assets and liabilities was primarily due to a $165.1 million decrease in accounts receivable, net, and a $48.7 million increase in deferred revenue, partially offset by a $49.5 million increase in deferred contract acquisition costs, a $36.6 million decrease in accrued expenses and other liabilities, an $18.6 million decrease in accounts payable, a $17.3 million decrease in accrued payroll and benefits, an $8.6 million increase in prepaid expenses and other assets, and a $3.2 million decrease in operating lease liabilities.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$66.0 million during the three months ended April 30, 2023 was primarily due to proceeds from the sale of investments of $150.0 million, partially offset by purchases of property and equipment of $62.3 million, purchases of strategic investments of $10.5 million, and capitalized internal-use software and website development costs of $10.9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$7.9 million during the three months ended April 30, 2023 was primarily due to $5.3 million of capital contributions from non-controlling interests and proceeds from the exercise of stock options of $2.7 million.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Supplemental Guarantor Financial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in our Notes to Condensed Consolidated Financial Statements in Part I, Item 1 of this Quarterly Report on Form 10-Q, for a brief description of the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almost entirely through our subsidiaries. Accordingly, the Obligor Group’s cash flow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tbl>
      <w:tblPr>
        <w:tblW w:w="6210" w:type="dxa"/>
        <w:jc w:val="left"/>
        <w:tblInd w:w="0" w:type="dxa"/>
        <w:tblLayout w:type="fixed"/>
        <w:tblCellMar>
          <w:top w:w="28" w:type="dxa"/>
          <w:left w:w="28" w:type="dxa"/>
          <w:bottom w:w="28" w:type="dxa"/>
          <w:right w:w="28" w:type="dxa"/>
        </w:tblCellMar>
      </w:tblPr>
      <w:tblGrid>
        <w:gridCol w:w="1097"/>
        <w:gridCol w:w="964"/>
        <w:gridCol w:w="969"/>
        <w:gridCol w:w="563"/>
        <w:gridCol w:w="2206"/>
        <w:gridCol w:w="411"/>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April 30, 2023</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692,580 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7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179,441 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550,408 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7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(37,269)</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CrowdStrike</w:t>
            </w:r>
          </w:p>
        </w:tc>
        <w:tc>
          <w:tcPr>
            <w:tcW w:w="27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51" w:type="dxa"/>
        <w:jc w:val="left"/>
        <w:tblInd w:w="0" w:type="dxa"/>
        <w:tblLayout w:type="fixed"/>
        <w:tblCellMar>
          <w:top w:w="28" w:type="dxa"/>
          <w:left w:w="28" w:type="dxa"/>
          <w:bottom w:w="28" w:type="dxa"/>
          <w:right w:w="28" w:type="dxa"/>
        </w:tblCellMar>
      </w:tblPr>
      <w:tblGrid>
        <w:gridCol w:w="2270"/>
        <w:gridCol w:w="1993"/>
        <w:gridCol w:w="2007"/>
        <w:gridCol w:w="215"/>
        <w:gridCol w:w="994"/>
        <w:gridCol w:w="111"/>
        <w:gridCol w:w="109"/>
        <w:gridCol w:w="109"/>
        <w:gridCol w:w="109"/>
        <w:gridCol w:w="257"/>
        <w:gridCol w:w="1190"/>
        <w:gridCol w:w="187"/>
      </w:tblGrid>
      <w:tr>
        <w:trPr/>
        <w:tc>
          <w:tcPr>
            <w:tcW w:w="2270"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2023</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intercompany receivables from non-Guarantors)    </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3,595,334 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3,541,670 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receivables from non-Guarantors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2,017,664 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2,027,443 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 (excluding intercompany payable to non-Guarantors)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1,402,132 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1,417,627 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payable to non-Guarantors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April 30, 2023, there were no significant changes to our debt obligations related to the Senior Notes or our contractual obligations under our non-cancelable real estate arrangements, as presented in Part II, Item 7, Management’s Discussion and Analysis of Financial Condition and Results of Operations included in our Annual Report on Form 10-K for the fiscal year ended January 31, 2023.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non-cancelable data center commitments totaling $265.0 million as of April 30, 2023, of which $194.9 million has a remaining term in excess of 12 months. We also have non-cancelable purchase commitments with various parties to purchase products and services entered in the normal course of business totaling $94.5 million as of April 30, 2023, of which $81.9 million has a remaining term in excess of 12 months. We expect to fund these obligations with cash flows from operations and cash on our balance sheet.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commitment amounts above are associated with agreements that are enforceable and legally binding. Obligations under contracts, including purchase orders, that we can cancel without a significant penalty are excluded.</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we entered into a new private pricing addendum with Amazon Web Services (“AWS”), which provides us with cloud computing infrastructure. Under the new pricing addendum, we committed to purchase a minimum of $600.0 million of cloud services from AWS through September 2026. As of April 30, 2023, we have utilized $366.9 million of this commitment. We expect to meet our remaining commitment with AWS.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2023, our unrecognized tax benefits included $4.4 million which were classified as long-term liabilities due to the inherent uncertainty with respect to the timing of future cash outflows associated with our unrecognized tax benefits.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sheets as of April 30, 2023 or January 31,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liability insurance policy mitigates our exposure. Historically, we have not been obligated to make any payments for these obligations and no liabilities have been recorded for these obligations on our condensed consolidated balance sheets as of April 30, 2023 or January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were prepared in accordance with U.S GAAP. The preparation of the condensed consolidated financial statements requires our management to make estimates and assumptions that affect the amounts reported in the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accounting policies and estimates during the three months ended April 30, 2023, as compared to the critical accounting policies and estimates disclosed in Management’s Discussion and Analysis of Financial Condition and Results of Operations included in our Annual Report on Form 10-K for the year ended January 31, 2023, filed with the SEC on March 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condensed consolidated financial statements, and are considered by us to be backlog. As of April 30, 2023, we had backlog of approximately $912.0 million.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76"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new hires, and annual sales and marketing events. This also impacts the timing of operating cash flow.</w:t>
      </w:r>
    </w:p>
    <w:p>
      <w:pPr>
        <w:pStyle w:val="TextBody"/>
        <w:bidi w:val="0"/>
        <w:spacing w:lineRule="auto" w:line="276"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2023, we had 7,321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“Description of Business and Significant Accounting Policies”, of our condensed consolidated financial statements included elsewhere in this Quarterly Report on Form 10-Q, for more information about the impact of certain recent accounting pronouncements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our market risks during the three months ended April 30, 2023 compared to our disclosures in Part II, Item 7A of our Annual Report on Form 10-K for the fiscal year ended January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of April 30, 2023. Based on such evaluation of our disclosure controls and procedures as of April 30, 2023,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8, “Commitments and Contingencies” in our Notes to Condensed Consolidated Financial Statements in Part I, Item 1 of this Quarterly Report on Form 10-Q.</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business and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experienced rapid growth in recent periods, and if we do not manage our future growth, our business and results of operations will be adversely affected.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revenue growth in recent periods and we expect to continue to invest broadly across our organization to support our growth. For example, our headcount grew from 3,394 employees as of January 31, 2021, to 7,321 employees as of April 30, 2023.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effectively attract, integrate, and retain a large number of new employees, particularly members of our sales and marketing and research and development teams;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further improve our Falcon platform, including our cloud modules, and IT infrastructure, including expanding and optimizing our data centers, to support our business needs;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enhance our information and communication systems to ensure that our employees and offices around the world are well coordinated and can effectively communicate with each other and our growing base of channel partners and customers;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our financial, management, and compliance systems and controls.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while we have achieved profitability in a period, we may not be able to achieve or sustain profitability in the future.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each year since our inception, and we may not achieve or maintain profitability in the future. We experienced net losses of $183.2 million, $234.8 million, and $92.6 million for fiscal 2023, fiscal 2022, and fiscal 2021, respectively. As of April 30, 2023, we had an accumulated deficit of $1.1 billion. While we have experienced significant growth in revenue in recent periods, and achieved profitability in a quarterly period,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organizations do not adopt cloud-based SaaS-delivered endpoint security solutions, our ability to grow our business and results of operations may be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especially in the early stages of introduction, as well as our ability to seamlessly integrate all of our product and service offerings and develop adequate sales capabilities in new markets. Failure in this regard may erode our competitive position, significantly impair our revenue growth, and negatively impact our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our future results of operations could be harmed.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the outbreak of diseases such as COVID-19,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and constrained spending on security and IT operations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customers do not renew their subscriptions for our products and add additional cloud modules to their subscriptions, our future results of operations could be harmed.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and geopolitical conditions. If our efforts to maintain and expand our relationships with our existing customers are not successful, our business, results of operations, and financial condition may materially suffer.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sales cycles can be long and unpredictable, and our sales efforts require considerable time and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conditions may lead to additional scrutiny of budgets by current and prospective customers, which has resulted in, for example, longer sales cycles for products and services, and may result in shifting demand for IT products and services, and slower adoption of new technologies.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capabilities, including performance and reliability, of our Falcon platform, including our cloud modules, services, and features compared to those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and the ability of our competitors, to improve existing products, services, and features, or to develop new ones to address evolving customer needs;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retain, and motivate talented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relationships with channel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strength of our sales and marketing efforts;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acquisitions or consolidation within our industry, which may result in more formidable competitors.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include the following by general category: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legacy antivirus product providers who offer a broad range of approaches and solutions including traditional signature-based anti-virus protection;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alternative endpoint security providers who generally offer a mix of on-premise and cloud-hosted products that rely heavily on malware-only or application whitelisting techniques;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network security vendors who are supplementing their core perimeter-based offerings with endpoint security solutions;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professional service providers who offer cybersecurity response services.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Competitive pricing pressure may reduce our gross profits and adversely affect our financial results.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solutions fail or are perceived to fail to detect or prevent incidents or have or are perceived to have defects, errors, or vulnerabilities, our brand and reputation would be harmed, which would adversely affect our business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 or become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if geopolitical tensions increase. We are also susceptible to inadvertent compromises of our systems and data, including those arising from process, coding, or human errors. We also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factors, many of which are beyond our control, can affect the delivery, availability, and the performance of our Falcon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development and maintenance of the infrastructure of the internet;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performance and availability of third-party providers of cloud infrastructure services, such as AWS, with the necessary speed, data capacity and security for providing reliable internet access and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physical or electronic break-ins, acts of war or terrorism, human error or interference (including by disgruntled employees, former employees or contractors) and other catastrophic events;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cyberattacks, including denial of service attacks, targeted at us, our data centers, or the infrastructure of the internet;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by us to maintain and update our cloud infrastructure to meet our data capacity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errors, defects or performance problems in our software, including third-party software incorporated in our software;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improper deployment or configuration of our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failure of our redundancy systems, in the event of a service disruption at one of our data centers, to provide failover to other data centers in our data center network;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failure of our disaster recovery and business continuity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our key technical, sales and management personnel to grow our business, and the loss of one or more key employees could harm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and retain qualified personnel, our business could be harmed.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do not effectively expand and train our direct sales force, we may be unable to add new customers or increase sales to our existing customers, and our business will be adversely affected.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we recognize revenue from subscriptions to our platform over the term of the subscription, downturns or upturns in new business will not be immediately reflected in our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new and retain existing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budgeting cycles, seasonal buying patterns, and purchasing practices of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economic difficulties confronting our customers, which may impact the number of modules or endpoint deployments they are willing or able to purchase;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length of our sales cycles;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customer or channel partner requirements or market needs;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growth rate of the cloud-based SaaS-delivered endpoint security solutions market;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success of new product and service introductions by us or our competitors or any other competitive developments, including consolidation among our customers or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level of awareness of cybersecurity threats, particularly advanced cyberattacks, and the market adoption of our Falcon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expand our business domestically 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decisions by organizations to purchase security solutions from larger, more established security vendors or from their primary IT equipment vendors;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our pricing policies or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disruption in our relationship with channel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insolvency or credit difficulties confronting our customers, affecting their ability to purchase or pay for our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security breaches of, technical difficulties with or interruptions to, the use of our Falcon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extraordinary expenses such as litigation or other dispute-related settlement payments or outcomes;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future accounting pronouncements or changes in our accounting policies or practices;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negative media coverage or publicity;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political events;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amount and timing of operating costs (including new hires) and capital expenditures related to the expansion of our business;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or decreases in our expenses caused by fluctuations in foreign currency exchange rates;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natural disasters and other catastrophic events, including the occurrence of a contagious disease or illness, such as COVID-19.</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business and revenues are impacted by global economic and geopolitical conditions. Volatile financial markets, bank failures, inflation, rising interest rates, supply chain challenges, political turmoil and other disruptions to global and regional economies and markets continue to add uncertainty to macroeconomic conditions. Any continued or further uncertainty, weakness or deterioration in economic conditions or the geopolitical environment could harm our business and results of operations. 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our CrowdStrike and Falcon brand and our reputation as a provider of high-efficacy security solutions, our business and results of operations may be adversely affected.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could adversely affect our reputation and brand.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international operations and plans for future international expansion expose us to significant risks, and failure to manage those risks could adversely impact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derived approximately 28%, 28%, 30% and 31% of our total revenue from our international customers for fiscal 2021, fiscal 2022, fiscal 2023 and the three months ended April 30, 2023,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greater difficulty in negotiating contracts with standard terms, enforcing contracts and managing collections, and longer collection periods;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higher costs of doing business internationally, including costs incurred in establishing and maintaining office space and equipment for our international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management communication and integration problems resulting from cultural and geographic dispersion;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risks associated with trade restrictions and foreign legal requirements, including any importation, certification, and localization of our Falcon platform that may be required in foreign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risk of unexpected changes in regulatory practices, tariffs, and tax laws and treaties;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heightened risk of unfair or corrupt business practices in certain geographies and of improper or fraudulent sales arrangements that may impact financial results and result in restatements of, or irregularities in, financial statements;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uncertainty of protection for intellectual property rights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and political conditions in these foreign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exchange controls or tax regulations that might prevent us from repatriating cash earned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political and economic instability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tax laws of the United States or the foreign jurisdictions in which we operate;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unexpected costs for the localization of our services, including translation into foreign languages and adaptation for local practices and regulatory requirements (including, but not limited to data localization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requirements to comply with foreign privacy, data protection, and information security laws and regulations and the risks and costs of noncompliance;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difficulty in identifying, attracting and retaining local qualified personnel, and the costs and expenses associated with such activities;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difficulty identifying qualified channel partners and maintaining successful relationships with such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differing employment practices and labor relations issues;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in managing and staffing international offices and increased travel, infrastructure, and legal compliance costs associated with multiple international locations.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depends, in part, on sales to government organizations, and significant changes in the contracting or fiscal policies of such government organizations could have an adverse effect on our business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to such government entities include, but are not limited to, the following risks: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selling to governmental agencies can be highly competitive, expensive and time consuming, often requiring significant upfront time and expense without any assurance that such efforts will generate a sale;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obtain personnel security clearances and facility clearances to perform on classified contracts for government agencies, and there is no guarantee that we will be able to obtain or maintain such clearances;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product requirements are often technically complex and assessors may require us to make costly changes to our products to meet such requirements without any assurance that such changes will generate a sale;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attitudes towards us as a company, our platform or the capabilities that we offer as a viable software solution may change, and reduce interest in our products and services as acceptable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political environment, including before or after a change to the leadership within the government administration, can create uncertainty or changes in policy or priorities and reduce available funding for our products and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even if we are awarded a sale, the terms of such contracts may be unusually burdensome;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foregoing risks could cause governments and governmental agencies to delay or refrain from purchasing our solutions in the future or otherwise have an adverse effect on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timely and cost-effectively scale and adapt our existing technology to meet our customers’ performance and other requirements.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expand their use of our solutions, we may not be able to grow as quickly as we anticipate, our customers may reduce or cancel use of our solutions and we may be unable to compete as effectively and our business and results of operations may be harmed.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maintain customer satisfaction depends in part on the quality of our customer support.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expand our operations and invest in new solutions, which capital may not be available on terms acceptable to us, or at all, and which could reduce our ability to compete and could harm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existing cash, cash equivalents and short-term investments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cannot maintain our company culture as we grow, we could lose the innovation, teamwork, passion, and focus on execution that we believe contribute to our success and our business may be harmed.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Public health crises, such as the COVID-19 pandemic could adversely affect our business, operating results and future 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public health crises, such as the COVID-19 pandemic, which has impacted and continues to impact worldwide economic activity and financial markets. We have previously taken and may in the future take precautionary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intended to mitigate the spread of the COVID-19 virus and minimize the risk to our employees, customers, partners, and the communities in which we operate to respond to developments relating to the pandemic, including developments relating to infection rates, disease variants, vaccination progress and efficacy, and evolving public health guidance. These measures could, for example, negatively affect our customer success efforts, delay and lengthen our sales cycles, impact our sales and marketing efforts, slow our international expansion efforts, increase cybersecurity risks, and create operational or other challenges, any of which could harm our business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public health crises may disrupt the operations of our customers and partners for an indefinite period of time. Some of our customers have been negatively impacted by the COVID-19 pandemic, which could result in delays in accounts receivable collection, or result in decreased technology spending which could negatively affect our revenues. More generally, the COVID-19 pandemic adversely affected economies and financial markets globally. Uncertainty caused by public health crises could lead to prolonged economic downturns, which could result in a larger customer churn than we can anticipate and reduce demand for our products and services, in which case our revenues could be significantly impacted. The lasting impact of the public health crises, including the COVID-19 pandemic, may also exacerbate other risks discussed in this “Risk Factors” section and elsewhere in this Quarterly Report on Form 10-Q.</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recently experienced widespread component shortages and delivery delays, including as a result of geopolitical tensions, the COVID-19 pandemic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 Legal, and Regulatory Matters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success of our business depends in part on our ability to protect and enforce our intellectual property rights.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Claims by others that we infringe their proprietary technology or other intellectual property rights could result in significant costs and substantially harm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For example, in March 2022, Webroot, Inc. and Open Text, Inc. filed a lawsuit against us alleging that certain of our products infringe on patents held by them.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license technology from third parties, and our inability to maintain those licenses could harm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stringent, complex and evolving laws, rules, regulations and standards in many jurisdictions, as well as contractual obligations, relating to data privacy and security. Ensuring that our collection, use, transfer, storage and other processing of personal information complies with such requirements can increase operating costs, impact the development of new products or services, and reduce operational efficiency.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 If we are found to have violated applicable laws or regulations, we also may be subject to penalties, fines, damages, injunctions or other outcomes that may adversely affect our operations and financial results.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also prohibits covered businesses from discriminating against California residents for exercising any of their CCPA rights.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At least four such laws, in Virginia, Colorado, Connecticut, and Utah, have taken effect, or are scheduled to take effect, in 2023. Moreover, laws in all 50 U.S. states require businesses to provide notice under certain circumstances to consumers whose personal information has been disclosed as a result of a data breach. These state statutes, and other similar state or federal laws that may be enacted in the future, may require us to modify our data processing practices and policies, incur substantial compliance-related costs and expenses, and otherwise suffer adverse impacts on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Internationally, virtually every jurisdiction in which we operate has established its own data privacy and security legal framework with which we must comply. For example, we are required to comply with the European Union (“EU”) General Data Protection Regulation (“GDPR”), which imposes stringent obligations regarding the collection, control, use, sharing, disclosure and other processing of personal data. Additionally, following the United Kingdom’s withdrawal from the EU, we also are subject to the U.K. General Data Protection Regulation (“U.K. GDPR”), a version of the GDPR as implemented into the laws of the United Kingdom (“U.K.”). While the GDPR and U.K. GDPR remain substantially similar for the time being, the U.K. government has announced that it would seek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The cost of compliance, and the potential for fines and penalties for non-compliance, with GDPR and U.K. GDPR may have a significant adverse effect on our business and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Legal developments in the European Economic Area (“EEA”), including recent rulings from the Court of Justice of the European Union (“CJEU”) and from various EU member state data protection authorities,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the efficacy and longevity of these mechanisms remains uncertain. Moreover, in 2021, the European Commission adopted new SCCs, which impose on companies additional obligations relating to personal data transfers out of the EEA, including the obligation to update internal privacy practices, conduct transfer impact assessments and, as required, implement additional security measures. The new SCCs may increase the legal risks and liabilities under EU laws associated with cross-border data transfers, and result in material increased compliance and operational costs. While the European Commission announced in March 2022 that an agreement in principle had been reached between EU and U.S. authorities regarding a new transatlantic data privacy framework, no formal agreement has been finalized, and any such agreement, if formalized, is likely to face challenge at the CJEU.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flows, in March 2022, the U.K. adopted its own International Data Transfer Agreement (“IDTA”) for transfers of personal data out of the U.K. to so-called third countries, as well as an international data transfer addendum (U.K. Addendum) that can be used with the SCCs for the same purpose.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data privacy and security laws, rules, regulations, standards, certifications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laws and regulations applicable to our business could subject us to fines and penalties and could also cause us to lose customers or negatively impact our ability to contract with customers, including those in the public sector.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regulation by various federal, state, local and foreign governmental agencies, including agencies responsible for monitoring and enforcing data protection, data privacy and data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of technologies like artificial intelligence may also become subject to regulation under new laws or new applications of existing laws. Noncompliance by us, our employees, representatives, contractors, channel partners, agents, intermediaries, or other third parties with applicable regulations or requirements could subject us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investigations, enforcement actions and sanctions;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mandatory changes to our Falcon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disgorgement of profits, fines and damages;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civil and criminal penalties or injunctions;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claims for damages by our customers or channel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termination of contracts;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loss of intellectual property rights;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our license to do business in the jurisdictions in which we operate;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temporary or permanent debarment from sales to government organizations.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substantial product inventory write-offs, reputational damage, penalties, and other sanctions, any of which could harm our business, reputation,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t>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collect information about cyber threats from open sources, intermediaries, and third parties, which we use and make available to our customers in our threat industry publications. Although we take precautions and have implemented certain procedures to prevent our information collection practices and services from being provided in violation of applicable laws and regulations, our information collection practices and services may have been in the past, and could in the future be, provided in violation of such laws and regulations. In addition, we cannot assure you that third parties, many of whom we do not control, have complied with all such laws or regulations. Failure by our employees, representatives, contractors, agents, intermediaries, or other third parties to comply with such laws and regulations in the collection of this information could adversely affect us, through reputational harm, loss of access to certain markets, government investigations, and civil and criminal penalties.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Obtaining the necessary authorizations, including any required license, for a particular transaction may be time consuming, is not guaranteed and may result in the delay or loss of sales opportunities.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promulgation of new regulations or change in export or import regulations, economic sanctions or related legislation, the enforcement or scope of existing regulations, or the countries, governments, persons or technologies targeted by such regulations, could result in decreased use of our products by, or in our decreased ability to export or sell our products to, existing or potential customers. Any decreased use of our products or limitation on our ability to export or sell our products would likely adversely affect our business, results of operations, and financial condition.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authorize such activities. While we have policies and procedures to address compliance with the FCPA, the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Some of our technology incorporates “open source” software, which could negatively affect our ability to sell our Falcon platform and subject us to possible litigation.</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resulting in time-consuming and costly litigation;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diverting management’s time and attention from developing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us to pay monetary damages or enter into royalty and licensing agreements that we would not normally find acceptable;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causing delays in the deployment of our Falcon platform or service offerings to our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us to stop offering certain services or features of our Falcon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us to redesign certain components of our Falcon platform using alternative non-infringing or non-open source technology, which could require significant effort and expense;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us to disclose our software source code and the detailed program commands for our software;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us to satisfy indemnification obligations to our customers.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provide service level commitments under some of our customer contracts. If we fail to meet these contractual commitments, we could be obligated to provide credits for future service and our business could suffer.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currently, and may in the future become, involved in litigation that may adversely affect us.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may be volatile regardless of our operating performance, and you could lose all or part of your investment.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financial projections we may provide to the public, any changes in these projections or our failure to meet these projections;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by us or our competitors of new products or new or terminated significant contracts, commercial relationships or capital commitments;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industry or financial analyst or investor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of industry or financial analysts to maintain coverage of us, changes in financial estimates by any analysts who follow our company,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developments in our business or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rights or our solutions, or third-party proprietary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announced or completed acquisitions of businesses or technologies by us or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major changes in our management or our board of directors, particularly with respect to Mr. Kurtz;</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effects of public health crises, pandemics and epidemics, such as COVID-19;</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conditions and slow or negative growth of our markets;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 events or factors, including those resulting from war, incidents of terrorism or responses to these events.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if instituted against us,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May 15, 2023, we had 224,132,410 shares of Class A common stock outstanding and 12,975,938 shares of Class B common stock outstanding.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industry or financial analysts do not publish research or reports about our business, or if they issue inaccurate or unfavorable research regarding our Class A common stock, our stock price and trading volume could decline.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2023, our executive officers, directors, one of our current stockholders and its respective affiliates held, in aggregate, 37%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in the foreseeable future. As a result, your ability to achieve a return on your investment will depend on appreciation in the price of our Class A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certain amendments to our amended and restated certificate of incorporation require the approval of two-thirds of the then-outstanding voting power of our capital stock;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prohibit large stockholders, in particular those owning 15% or more of our outstanding voting stock, from merging or combining with us for a certain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the Court of Chancery of the State of Delaware is the exclusive forum for: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breach of fiduciary duty;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to interpret, apply, enforce or determine the validity of our amended and restated certificate of incorporation or our amended and restated bylaws;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claim against us that is governed by the internal-affairs doctrine.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indebtedness could adversely affect our financial condition.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2023,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limiting our ability to obtain additional financing to fund future working capital, capital expenditures,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a portion of our cash flows to be dedicated to debt service payments instead of other purposes, thereby reducing the amount of cash flows available for working capital, capital expenditures, acquisitions and other general corporate purposes;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increasing our vulnerability to adverse changes in general economic, industry and competitive conditions;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exposing us to the risk of increased interest rates as certain of our borrowings, including borrowings under our revolving facility, are at variable rates of interest; and increasing our cost of borrowing.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generate sufficient cash to service all of our indebtedness, including the notes, and may be forced to take other actions to satisfy our obligations under our indebtedness, which may not be successful.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revolving facility and the indenture that governs our Senior Notes contain terms which restrict our current and future operations, particularly our ability to respond to changes or to take certain actions.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 additional indebtedness and guarantee indebtedness;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prepay, redeem or repurchase certain indebtedness;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sell or otherwise dispose of assets;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 liens;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alter the businesses we conduct;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enter into agreements restricting our subsidiaries’ ability to pay dividends;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consolidate, merge with, or sell all or substantially all of our assets to, another person.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covenants in the indenture and supplemental indenture that govern the Senior Notes are subject to exceptions and qualifications.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finance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make needed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make strategic acquisitions or investments or enter into joint ventures;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withstand a future downturn in our business, the industry or the economy in general;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engage in business activities, including future opportunities, that may be in our best interest;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plan for or react to market conditions or otherwise execute our business strategies.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restrictions may affect our ability to expand our business, which could have a material adverse effect on our business,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revolving facility and the indenture that governs our Senior Notes contain cross-default provisions that could result in the acceleration of all of our indebtedness.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controls, our ability to produce timely and accurate financial statements or comply with applicable regulations could be impaired.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condensed consolidated financial statements for prior periods, cause us to fail to meet our reporting obligations, and could result in an adverse opinion regarding our internal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financial reporting from our independent registered public accounting firm, and lead to investigations or sanctions by regulatory authorities.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maintain effective disclosure controls and internal control over financial reporting could have a material and adverse effect on our business and results of operations and could cause a decline in the price of our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risks we may face in connection with acquisitions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management time and focus from operating our business to addressing acquisition integration challenges;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coordination of research and development and sales and marketing functions;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integration of administrative systems, employee, product and service offerings;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retention of key employees from the acquired company;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relationships with strategic partners as a result of product acquisitions or strategic positioning resulting from the acquisition;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need to implement or improve controls, procedures, and policies at a business that prior to the acquisition may have lacked sufficiently effective controls, procedures and policies;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additional legal, regulatory or compliance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financial reporting, revenue recognition or other financial or control deficiencies of the acquired company that we do not adequately address and that cause our reported results to be incorrect;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liability for activities of the acquired company before the acquisition, including intellectual property infringement claims, violations of laws, commercial disputes, tax liabilities and other known and unknown liabilities;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litigation or other claims in connection with the acquired company, including claims from terminated employees, customers, former stockholders or other third parties.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Organization for Economic Cooperation and Development (“OECD”) has published proposals covering a number of issues, including country-by-country reporting, permanent establishment rules, transfer pricing rules, tax treaties and taxation of the digital economy. A significant majority of countries in the OECD’s Inclusive Framework have agreed in principle to a proposed solution to address the tax challenges arising from the digitalization of the economy, including joining a two-pillar plan to reform international taxation rules and ensure that multinational enterprises pay a fair share of tax wherever they operate. The first pillar is focused on the allocation of taxing rights between countries for in-scope multinational enterprises that sell goods and services into countries with little or no local physical presence and is intended to apply to multinational enterprises with global revenue above 20 billion euro and certain other criteria. The second pillar is focused on developing a global minimum tax rate of at least 15 percent applicable to in-scope multinational enterprises and is intended to apply to multinational enterprises with annual consolidated group revenue in excess of 750 million euro.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The OECD’s proposed solution envisages new international tax rules and the removal of all Digital Services Taxes (“DST”). Notwithstanding this, some countries, in the European Union and beyond, continue to operate a DST regime to capture tax revenue on digital services more immediately. Such laws may increase our tax obligations in those countries or change the manner in which we operate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2023, we had aggregate U.S. federal and California net operating loss carryforwards of $1.6 billion and $248.2 million, respectively, which may be available to offset future taxable income for income tax purposes. If not utilized, the federal and California net operating loss carryforwards will begin to expire in fiscal 2031. As of January 31, 2023, we had net operating loss carryforwards for other states of $1.0 billion that will begin to expire in fiscal 2024. As of January 31, 2023, we had federal and California research and development credit carryforwards of $87.4 million and $18.8 million, respectively. The federal research and development credit carryforwards will begin to expire in 2035, and the California carryforwards are carried forward indefinitely. As of January 31, 2023, we had aggregate United Kingdom net operating loss carryforwards of $80.9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equity investments, including partial or complete loss of invested capital, and significant changes in the fair value of this portfolio could adversely impact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catastrophic events, including, but not limited to, natural events such as earthquakes, fire, floods, and the outbreak of diseases, as well as man-made problems such as power disruptions, computer viruses, data security breaches, terrorism and bank or financial institution failures.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could have a significant adverse impact on our financial results. Moreover, the failure of a bank, or other adverse conditions impacting financial institutions at which we maintain balances, could adversely impact our business, results of operations, and financial performance. For example, in March 2023, the Federal Deposit Insurance Corporation (the “FDIC”) was named receiver for Silicon Valley Bank, one of the lenders under our credit agreement. While our cash management strategy is to maintain diversity in deposit accounts across financial institutions,</w:t>
      </w:r>
      <w:r>
        <w:rPr>
          <w:color w:val="000000"/>
        </w:rPr>
        <w:t xml:space="preserve"> </w:t>
      </w:r>
      <w:r>
        <w:rPr>
          <w:rFonts w:ascii="Times New Roman;sans-serif" w:hAnsi="Times New Roman;sans-serif"/>
          <w:b w:val="false"/>
          <w:color w:val="000000"/>
          <w:sz w:val="20"/>
        </w:rPr>
        <w:t>balances in these accounts regularly exceed FDIC insurance limits and the federal government may not guarantee all deposits if any such financial institutions were to fail.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purchases by the Company of shares of Class A Common Stock during the three months ended April 30, 2023:</w:t>
      </w:r>
    </w:p>
    <w:tbl>
      <w:tblPr>
        <w:tblW w:w="10205" w:type="dxa"/>
        <w:jc w:val="left"/>
        <w:tblInd w:w="0" w:type="dxa"/>
        <w:tblLayout w:type="fixed"/>
        <w:tblCellMar>
          <w:top w:w="28" w:type="dxa"/>
          <w:left w:w="28" w:type="dxa"/>
          <w:bottom w:w="28" w:type="dxa"/>
          <w:right w:w="28" w:type="dxa"/>
        </w:tblCellMar>
      </w:tblPr>
      <w:tblGrid>
        <w:gridCol w:w="459"/>
        <w:gridCol w:w="403"/>
        <w:gridCol w:w="408"/>
        <w:gridCol w:w="109"/>
        <w:gridCol w:w="109"/>
        <w:gridCol w:w="109"/>
        <w:gridCol w:w="434"/>
        <w:gridCol w:w="434"/>
        <w:gridCol w:w="436"/>
        <w:gridCol w:w="109"/>
        <w:gridCol w:w="109"/>
        <w:gridCol w:w="109"/>
        <w:gridCol w:w="292"/>
        <w:gridCol w:w="998"/>
        <w:gridCol w:w="150"/>
        <w:gridCol w:w="109"/>
        <w:gridCol w:w="109"/>
        <w:gridCol w:w="109"/>
        <w:gridCol w:w="716"/>
        <w:gridCol w:w="716"/>
        <w:gridCol w:w="718"/>
        <w:gridCol w:w="109"/>
        <w:gridCol w:w="109"/>
        <w:gridCol w:w="109"/>
        <w:gridCol w:w="796"/>
        <w:gridCol w:w="796"/>
        <w:gridCol w:w="1141"/>
      </w:tblGrid>
      <w:tr>
        <w:trPr/>
        <w:tc>
          <w:tcPr>
            <w:tcW w:w="45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 Total number of shares (or units) purchased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 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 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 Maximum number (or approximate dollar value) of shares (or units) that may yet be purchased under the plans or programs</w:t>
            </w:r>
          </w:p>
        </w:tc>
      </w:tr>
      <w:tr>
        <w:trPr/>
        <w:tc>
          <w:tcPr>
            <w:tcW w:w="1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to February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to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to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We repurchased, in open market transactions, seven shares in connection with the administration of our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filed the exhibits listed on the accompanying Exhibit Index, which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750"/>
        <w:gridCol w:w="1750"/>
        <w:gridCol w:w="1753"/>
        <w:gridCol w:w="208"/>
        <w:gridCol w:w="208"/>
        <w:gridCol w:w="213"/>
        <w:gridCol w:w="340"/>
        <w:gridCol w:w="264"/>
        <w:gridCol w:w="232"/>
        <w:gridCol w:w="210"/>
        <w:gridCol w:w="210"/>
        <w:gridCol w:w="211"/>
        <w:gridCol w:w="416"/>
        <w:gridCol w:w="263"/>
        <w:gridCol w:w="266"/>
        <w:gridCol w:w="242"/>
        <w:gridCol w:w="242"/>
        <w:gridCol w:w="350"/>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Filing </w:t>
              <w:br/>
              <w:t>Date</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Filed </w:t>
              <w:br/>
              <w:t>Herewith</w:t>
            </w:r>
          </w:p>
        </w:tc>
      </w:tr>
      <w:tr>
        <w:trPr/>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of the Registrant, as currently in effect.</w:t>
              </w:r>
            </w:hyperlink>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001-38933</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14, 2019</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the Registrant, as currently in effect.</w:t>
              </w:r>
            </w:hyperlink>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001-38933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03, 2023</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fy24ciptcs42423.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fy24ciptcs42423.htm">
              <w:r>
                <w:rPr>
                  <w:rStyle w:val="InternetLink"/>
                  <w:rFonts w:ascii="Times New Roman;sans-serif" w:hAnsi="Times New Roman;sans-serif"/>
                  <w:b w:val="false"/>
                  <w:color w:val="0000FF"/>
                  <w:sz w:val="20"/>
                  <w:u w:val="single"/>
                </w:rPr>
                <w:t>CrowdStrike Holdings, Inc. Corporate Incentive Plan</w:t>
              </w:r>
            </w:hyperlink>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List of Subsidiary Guarantors</w:t>
              </w:r>
            </w:hyperlink>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S-3ASR</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333-252007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11, 2021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430xex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430xexx311.htm">
              <w:r>
                <w:rPr>
                  <w:rStyle w:val="InternetLink"/>
                  <w:rFonts w:ascii="Times New Roman;sans-serif" w:hAnsi="Times New Roman;sans-serif"/>
                  <w:b w:val="false"/>
                  <w:color w:val="0000FF"/>
                  <w:sz w:val="20"/>
                  <w:u w:val="single"/>
                </w:rPr>
                <w:t>Certification of the Principal Executive Officer pursuant to Exchange Act Rules 13a14(a) and 15d14(a), as adopted pursuant to Section 302 of the Sarbanes-Oxley Act of 2002.</w:t>
              </w:r>
            </w:hyperlink>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430xex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430xexx312.htm">
              <w:r>
                <w:rPr>
                  <w:rStyle w:val="InternetLink"/>
                  <w:rFonts w:ascii="Times New Roman;sans-serif" w:hAnsi="Times New Roman;sans-serif"/>
                  <w:b w:val="false"/>
                  <w:color w:val="0000FF"/>
                  <w:sz w:val="20"/>
                  <w:u w:val="single"/>
                </w:rPr>
                <w:t>Certification of the Principal Financial Officer pursuant to Exchange Act Rules 13a14(a) and 15d14(a), as adopted pursuant to Section 302 of the Sarbanes-Oxley Act of 2002.</w:t>
              </w:r>
            </w:hyperlink>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430xex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430xexx321.htm">
              <w:r>
                <w:rPr>
                  <w:rStyle w:val="InternetLink"/>
                  <w:rFonts w:ascii="Times New Roman;sans-serif" w:hAnsi="Times New Roman;sans-serif"/>
                  <w:b w:val="false"/>
                  <w:color w:val="0000FF"/>
                  <w:sz w:val="20"/>
                  <w:u w:val="single"/>
                </w:rPr>
                <w:t>Certification of the Principal Executive Officer and Principal Financial Officer pursuant to 18 U.S.C. Section 1350, as adopted pursuant to Section 906 of the Sarbanes-Oxley Act of 2002.</w:t>
              </w:r>
            </w:hyperlink>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Instance XBRL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1b22080a7e4f468397a9cd5156948d7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on the day of May 31, 2023. </w:t>
      </w:r>
    </w:p>
    <w:tbl>
      <w:tblPr>
        <w:tblW w:w="6636" w:type="dxa"/>
        <w:jc w:val="left"/>
        <w:tblInd w:w="0" w:type="dxa"/>
        <w:tblLayout w:type="fixed"/>
        <w:tblCellMar>
          <w:top w:w="28" w:type="dxa"/>
          <w:left w:w="28" w:type="dxa"/>
          <w:bottom w:w="28" w:type="dxa"/>
          <w:right w:w="28" w:type="dxa"/>
        </w:tblCellMar>
      </w:tblPr>
      <w:tblGrid>
        <w:gridCol w:w="124"/>
        <w:gridCol w:w="109"/>
        <w:gridCol w:w="109"/>
        <w:gridCol w:w="498"/>
        <w:gridCol w:w="498"/>
        <w:gridCol w:w="498"/>
        <w:gridCol w:w="1405"/>
        <w:gridCol w:w="1405"/>
        <w:gridCol w:w="19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CROWDSTRIKE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Burt W. Podbere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Burt W. Podbere </w:t>
            </w:r>
          </w:p>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Financial Officer (Principal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Anurag Saha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Anurag Saha</w:t>
            </w:r>
          </w:p>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Accounting Officer (Principal Accounting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val="false"/>
          <w:color w:val="000000"/>
          <w:sz w:val="21"/>
        </w:rPr>
      </w:pPr>
      <w:r>
        <w:rPr>
          <w:rFonts w:ascii="Calibri;sans-serif" w:hAnsi="Calibri;sans-serif"/>
          <w:b w:val="false"/>
          <w:color w:val="000000"/>
          <w:sz w:val="21"/>
        </w:rPr>
        <w:t>Exhibit 10.1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95" w:after="283"/>
        <w:jc w:val="center"/>
        <w:rPr>
          <w:rFonts w:ascii="Calibri;sans-serif" w:hAnsi="Calibri;sans-serif"/>
          <w:b/>
          <w:color w:val="000000"/>
          <w:sz w:val="21"/>
        </w:rPr>
      </w:pPr>
      <w:r>
        <w:rPr>
          <w:rFonts w:ascii="Calibri;sans-serif" w:hAnsi="Calibri;sans-serif"/>
          <w:b/>
          <w:color w:val="000000"/>
          <w:sz w:val="21"/>
        </w:rPr>
        <w:t>CROWDSTRIKE CORPORATE INCENTIVE PLAN</w:t>
      </w:r>
    </w:p>
    <w:p>
      <w:pPr>
        <w:pStyle w:val="TextBody"/>
        <w:bidi w:val="0"/>
        <w:spacing w:before="1" w:after="283"/>
        <w:jc w:val="both"/>
        <w:rPr/>
      </w:pPr>
      <w:r>
        <w:rPr/>
      </w:r>
    </w:p>
    <w:p>
      <w:pPr>
        <w:pStyle w:val="TextBody"/>
        <w:bidi w:val="0"/>
        <w:spacing w:lineRule="auto" w:line="280" w:before="1" w:after="283"/>
        <w:jc w:val="both"/>
        <w:rPr>
          <w:rFonts w:ascii="Calibri;sans-serif" w:hAnsi="Calibri;sans-serif"/>
          <w:b/>
          <w:color w:val="000000"/>
          <w:sz w:val="21"/>
        </w:rPr>
      </w:pPr>
      <w:r>
        <w:rPr>
          <w:rFonts w:ascii="Calibri;sans-serif" w:hAnsi="Calibri;sans-serif"/>
          <w:b/>
          <w:color w:val="000000"/>
          <w:sz w:val="21"/>
        </w:rPr>
        <w:t>PURPOSE</w:t>
      </w:r>
    </w:p>
    <w:p>
      <w:pPr>
        <w:pStyle w:val="TextBody"/>
        <w:bidi w:val="0"/>
        <w:spacing w:lineRule="auto" w:line="280" w:before="1" w:after="283"/>
        <w:jc w:val="both"/>
        <w:rPr>
          <w:rFonts w:ascii="Calibri;sans-serif" w:hAnsi="Calibri;sans-serif"/>
          <w:b w:val="false"/>
          <w:color w:val="000000"/>
          <w:sz w:val="21"/>
        </w:rPr>
      </w:pPr>
      <w:r>
        <w:rPr>
          <w:rFonts w:ascii="Calibri;sans-serif" w:hAnsi="Calibri;sans-serif"/>
          <w:b w:val="false"/>
          <w:color w:val="000000"/>
          <w:sz w:val="21"/>
        </w:rPr>
        <w:t>The CrowdStrike Corporate Incentive Plan (the “CIP” or “Plan”) is designed to align departmental and employee work product to company goals and encourage continued employment through the payment of incentive awards (each, an “Incentive Award”).</w:t>
      </w:r>
    </w:p>
    <w:p>
      <w:pPr>
        <w:pStyle w:val="TextBody"/>
        <w:bidi w:val="0"/>
        <w:spacing w:before="0" w:after="0"/>
        <w:jc w:val="both"/>
        <w:rPr/>
      </w:pPr>
      <w:r>
        <w:rPr/>
      </w:r>
    </w:p>
    <w:p>
      <w:pPr>
        <w:pStyle w:val="TextBody"/>
        <w:bidi w:val="0"/>
        <w:spacing w:lineRule="auto" w:line="240" w:before="1" w:after="283"/>
        <w:jc w:val="both"/>
        <w:rPr>
          <w:rFonts w:ascii="Calibri;sans-serif" w:hAnsi="Calibri;sans-serif"/>
          <w:b/>
          <w:color w:val="000000"/>
          <w:sz w:val="21"/>
        </w:rPr>
      </w:pPr>
      <w:r>
        <w:rPr>
          <w:rFonts w:ascii="Calibri;sans-serif" w:hAnsi="Calibri;sans-serif"/>
          <w:b/>
          <w:color w:val="000000"/>
          <w:sz w:val="21"/>
        </w:rPr>
        <w:t>ADMINISTRATION</w:t>
      </w:r>
    </w:p>
    <w:p>
      <w:pPr>
        <w:pStyle w:val="TextBody"/>
        <w:bidi w:val="0"/>
        <w:spacing w:lineRule="auto" w:line="280" w:before="2" w:after="283"/>
        <w:jc w:val="both"/>
        <w:rPr>
          <w:rFonts w:ascii="Calibri;sans-serif" w:hAnsi="Calibri;sans-serif"/>
          <w:b w:val="false"/>
          <w:color w:val="000000"/>
          <w:sz w:val="21"/>
        </w:rPr>
      </w:pPr>
      <w:r>
        <w:rPr>
          <w:rFonts w:ascii="Calibri;sans-serif" w:hAnsi="Calibri;sans-serif"/>
          <w:b w:val="false"/>
          <w:color w:val="000000"/>
          <w:sz w:val="21"/>
        </w:rPr>
        <w:t>The Plan is maintained by CrowdStrike Holdings, Inc. (the “Company” or “CrowdStrike”). The Plan is administered by the Compensation Committee (the “Committee”) of the Board of Directors of the Company (the “Board”). The Committee will have full discretion and authority to (i) designate Participants, (ii) determine the terms, conditions and amounts of any Incentive Award (including payment terms and restrictions) and (iii) make any other determination and take any other action that the Committee in its sole discretion deems necessary or desirable for the administration of the Plan and due compliance with applicable law or accounting or tax rules and regulations. All decisions of the Committee shall be final, conclusive and binding upon all parties, including all Participants.</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1"/>
        </w:rPr>
      </w:pPr>
      <w:r>
        <w:rPr>
          <w:rFonts w:ascii="Calibri;sans-serif" w:hAnsi="Calibri;sans-serif"/>
          <w:b w:val="false"/>
          <w:color w:val="000000"/>
          <w:sz w:val="21"/>
        </w:rPr>
        <w:t xml:space="preserve">With respect to Participants other than executive officers of the Company, the Committee may delegate its authority under the Plan to the Company’s Chief Executive Officer, Chief Human Resources Officer and/or such other officers of the Company as it determines in its discretion (the “Delegated Officers”). </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1"/>
        </w:rPr>
      </w:pPr>
      <w:r>
        <w:rPr>
          <w:rFonts w:ascii="Calibri;sans-serif" w:hAnsi="Calibri;sans-serif"/>
          <w:b w:val="false"/>
          <w:color w:val="000000"/>
          <w:sz w:val="21"/>
        </w:rPr>
        <w:t>The Board may, in its sole discretion, at any time and from time to time, grant Incentive Awards or administer the Plan (and, in any such case, the Board shall have all of the authority and responsibility granted to the Committee under the Plan).</w:t>
      </w:r>
    </w:p>
    <w:p>
      <w:pPr>
        <w:pStyle w:val="TextBody"/>
        <w:bidi w:val="0"/>
        <w:spacing w:before="0" w:after="0"/>
        <w:jc w:val="both"/>
        <w:rPr/>
      </w:pPr>
      <w:r>
        <w:rPr/>
      </w:r>
    </w:p>
    <w:p>
      <w:pPr>
        <w:pStyle w:val="TextBody"/>
        <w:bidi w:val="0"/>
        <w:spacing w:lineRule="auto" w:line="240" w:before="1" w:after="283"/>
        <w:jc w:val="both"/>
        <w:rPr>
          <w:rFonts w:ascii="Calibri;sans-serif" w:hAnsi="Calibri;sans-serif"/>
          <w:b/>
          <w:color w:val="000000"/>
          <w:sz w:val="21"/>
        </w:rPr>
      </w:pPr>
      <w:r>
        <w:rPr>
          <w:rFonts w:ascii="Calibri;sans-serif" w:hAnsi="Calibri;sans-serif"/>
          <w:b/>
          <w:color w:val="000000"/>
          <w:sz w:val="21"/>
        </w:rPr>
        <w:t>PERFORMANCE AND PAYOUT PERIODS</w:t>
      </w:r>
    </w:p>
    <w:p>
      <w:pPr>
        <w:pStyle w:val="TextBody"/>
        <w:bidi w:val="0"/>
        <w:spacing w:lineRule="auto" w:line="280" w:before="1" w:after="283"/>
        <w:jc w:val="both"/>
        <w:rPr>
          <w:rFonts w:ascii="Calibri;sans-serif" w:hAnsi="Calibri;sans-serif"/>
          <w:b w:val="false"/>
          <w:color w:val="000000"/>
          <w:sz w:val="21"/>
        </w:rPr>
      </w:pPr>
      <w:r>
        <w:rPr>
          <w:rFonts w:ascii="Calibri;sans-serif" w:hAnsi="Calibri;sans-serif"/>
          <w:b w:val="false"/>
          <w:color w:val="000000"/>
          <w:sz w:val="21"/>
        </w:rPr>
        <w:t xml:space="preserve">The CIP runs on CrowdStrike’s fiscal year (February 1 through January 31). Each fiscal year is a “Plan Period”. Each quarter within the fiscal year is a “Performance Period.” Each Incentive Award is generally paid no later than 60 days following the applicable Performance Period. </w:t>
      </w:r>
    </w:p>
    <w:p>
      <w:pPr>
        <w:pStyle w:val="TextBody"/>
        <w:bidi w:val="0"/>
        <w:spacing w:before="11" w:after="283"/>
        <w:jc w:val="both"/>
        <w:rPr/>
      </w:pPr>
      <w:r>
        <w:rPr/>
      </w:r>
    </w:p>
    <w:p>
      <w:pPr>
        <w:pStyle w:val="TextBody"/>
        <w:bidi w:val="0"/>
        <w:spacing w:lineRule="auto" w:line="240" w:before="0" w:after="0"/>
        <w:jc w:val="both"/>
        <w:rPr>
          <w:rFonts w:ascii="Calibri;sans-serif" w:hAnsi="Calibri;sans-serif"/>
          <w:b/>
          <w:color w:val="000000"/>
          <w:sz w:val="21"/>
        </w:rPr>
      </w:pPr>
      <w:r>
        <w:rPr>
          <w:rFonts w:ascii="Calibri;sans-serif" w:hAnsi="Calibri;sans-serif"/>
          <w:b/>
          <w:color w:val="000000"/>
          <w:sz w:val="21"/>
        </w:rPr>
        <w:t xml:space="preserve">ELIGIBILITY </w:t>
      </w:r>
    </w:p>
    <w:p>
      <w:pPr>
        <w:pStyle w:val="TextBody"/>
        <w:bidi w:val="0"/>
        <w:spacing w:lineRule="auto" w:line="280" w:before="1" w:after="283"/>
        <w:jc w:val="both"/>
        <w:rPr>
          <w:rFonts w:ascii="Calibri;sans-serif" w:hAnsi="Calibri;sans-serif"/>
          <w:b w:val="false"/>
          <w:color w:val="000000"/>
          <w:sz w:val="21"/>
        </w:rPr>
      </w:pPr>
      <w:r>
        <w:rPr>
          <w:rFonts w:ascii="Calibri;sans-serif" w:hAnsi="Calibri;sans-serif"/>
          <w:b w:val="false"/>
          <w:color w:val="000000"/>
          <w:sz w:val="21"/>
        </w:rPr>
        <w:t>Full-time and part-time CrowdStrike employees are eligible to participate in the CIP if (i) such participation is indicated in their offer of employment or employment agreement; (ii) they are not already participating in any other incentive plan or commission plan (e.g. Sales or Professional Services); (iii) they are not subject to formal written disciplinary action from HR including violation of security compliance, or demotion, at any time during a Performance Period; and (iv) they are still employed on the day the Incentive Award is paid (“Participant”), to the extent permitted by law. The Company reserves the right to limit participation in the CIP to avoid any potential conflicts with other incentive programs. Only the Delegated Officers may approve exceptions to this policy, for Participants other than executive officers of the Company.</w:t>
      </w:r>
    </w:p>
    <w:p>
      <w:pPr>
        <w:pStyle w:val="TextBody"/>
        <w:bidi w:val="0"/>
        <w:spacing w:before="1" w:after="283"/>
        <w:jc w:val="both"/>
        <w:rPr/>
      </w:pPr>
      <w:r>
        <w:rPr/>
      </w:r>
    </w:p>
    <w:p>
      <w:pPr>
        <w:pStyle w:val="TextBody"/>
        <w:bidi w:val="0"/>
        <w:spacing w:lineRule="auto" w:line="280" w:before="1" w:after="283"/>
        <w:jc w:val="both"/>
        <w:rPr>
          <w:rFonts w:ascii="Calibri;sans-serif" w:hAnsi="Calibri;sans-serif"/>
          <w:b w:val="false"/>
          <w:color w:val="000000"/>
          <w:sz w:val="21"/>
        </w:rPr>
      </w:pPr>
      <w:r>
        <w:rPr>
          <w:rFonts w:ascii="Calibri;sans-serif" w:hAnsi="Calibri;sans-serif"/>
          <w:b w:val="false"/>
          <w:color w:val="000000"/>
          <w:sz w:val="21"/>
        </w:rPr>
        <w:t>To be eligible for an Incentive Award for any applicable Performance Period, new employees must have started employment on or by the first workday of the last calendar month of such Performance Period. An Incentive Award for the first Performance Period during which a new employee is eligible to participate will be prorated based on the number of calendar days the new employee was actually employed by the Company during the applicable Performance Period. For example, if an employee starts employment halfway through the Performance Period, their bonus target for the first Performance Period of eligibility will be 50% of their quarterly target.</w:t>
      </w:r>
    </w:p>
    <w:p>
      <w:pPr>
        <w:pStyle w:val="TextBody"/>
        <w:bidi w:val="0"/>
        <w:spacing w:before="1" w:after="283"/>
        <w:jc w:val="both"/>
        <w:rPr/>
      </w:pPr>
      <w:r>
        <w:rPr/>
      </w:r>
    </w:p>
    <w:p>
      <w:pPr>
        <w:pStyle w:val="TextBody"/>
        <w:bidi w:val="0"/>
        <w:spacing w:lineRule="auto" w:line="240" w:before="7" w:after="283"/>
        <w:jc w:val="both"/>
        <w:rPr>
          <w:rFonts w:ascii="Calibri;sans-serif" w:hAnsi="Calibri;sans-serif"/>
          <w:b w:val="false"/>
          <w:color w:val="000000"/>
          <w:sz w:val="21"/>
        </w:rPr>
      </w:pPr>
      <w:r>
        <w:rPr>
          <w:rFonts w:ascii="Calibri;sans-serif" w:hAnsi="Calibri;sans-serif"/>
          <w:b w:val="false"/>
          <w:color w:val="000000"/>
          <w:sz w:val="21"/>
        </w:rPr>
        <w:t>Where an employee is placed on a Performance Improvement Plan that includes any period of time during a Performance Period, an Incentive Award will be prorated based on the number of calendar days the employee was not subject to a Performance Improvement Plan during Performance Period, to the extent permitted by law. For example, if an employee is subject to a Performance Improvement Plan during the first half, but not the second half of the Performance Period, their bonus target for the first Performance Period of eligibility will be 50% of their quarterly target.</w:t>
      </w:r>
    </w:p>
    <w:p>
      <w:pPr>
        <w:pStyle w:val="TextBody"/>
        <w:bidi w:val="0"/>
        <w:spacing w:before="7" w:after="283"/>
        <w:jc w:val="both"/>
        <w:rPr/>
      </w:pPr>
      <w:r>
        <w:rPr/>
      </w:r>
    </w:p>
    <w:p>
      <w:pPr>
        <w:pStyle w:val="TextBody"/>
        <w:bidi w:val="0"/>
        <w:spacing w:lineRule="auto" w:line="240" w:before="0" w:after="0"/>
        <w:jc w:val="right"/>
        <w:rPr>
          <w:rFonts w:ascii="Calibri;sans-serif" w:hAnsi="Calibri;sans-serif"/>
          <w:b w:val="false"/>
          <w:color w:val="000000"/>
          <w:sz w:val="21"/>
        </w:rPr>
      </w:pPr>
      <w:r>
        <w:rPr>
          <w:rFonts w:ascii="Calibri;sans-serif" w:hAnsi="Calibri;sans-serif"/>
          <w:b w:val="false"/>
          <w:color w:val="000000"/>
          <w:sz w:val="21"/>
        </w:rPr>
        <w:t>Exhibit 10.1</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37820"/>
                <wp:effectExtent l="0" t="0" r="0" b="0"/>
                <wp:wrapNone/>
                <wp:docPr id="75" name="Frame7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Gill Sans MT;sans-serif" w:hAnsi="Gill Sans MT;sans-serif"/>
                                <w:b w:val="false"/>
                                <w:color w:val="000000"/>
                                <w:sz w:val="22"/>
                              </w:rPr>
                            </w:pPr>
                            <w:r>
                              <w:rPr>
                                <w:rFonts w:ascii="Gill Sans MT;sans-serif" w:hAnsi="Gill Sans MT;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40" w:before="0" w:after="0"/>
                        <w:jc w:val="center"/>
                        <w:rPr>
                          <w:rFonts w:ascii="Gill Sans MT;sans-serif" w:hAnsi="Gill Sans MT;sans-serif"/>
                          <w:b w:val="false"/>
                          <w:color w:val="000000"/>
                          <w:sz w:val="22"/>
                        </w:rPr>
                      </w:pPr>
                      <w:r>
                        <w:rPr>
                          <w:rFonts w:ascii="Gill Sans MT;sans-serif" w:hAnsi="Gill Sans MT;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Calibri;sans-serif" w:hAnsi="Calibri;sans-serif"/>
          <w:b/>
          <w:color w:val="000000"/>
          <w:sz w:val="21"/>
        </w:rPr>
      </w:pPr>
      <w:r>
        <w:rPr>
          <w:rFonts w:ascii="Calibri;sans-serif" w:hAnsi="Calibri;sans-serif"/>
          <w:b/>
          <w:color w:val="000000"/>
          <w:sz w:val="21"/>
        </w:rPr>
        <w:t>COMPANY PERFORMANCE AND FUNDING THE POOL</w:t>
      </w:r>
    </w:p>
    <w:p>
      <w:pPr>
        <w:pStyle w:val="TextBody"/>
        <w:bidi w:val="0"/>
        <w:spacing w:before="0" w:after="0"/>
        <w:jc w:val="both"/>
        <w:rPr/>
      </w:pPr>
      <w:r>
        <w:rPr/>
      </w:r>
    </w:p>
    <w:p>
      <w:pPr>
        <w:pStyle w:val="TextBody"/>
        <w:bidi w:val="0"/>
        <w:spacing w:lineRule="auto" w:line="240" w:before="6" w:after="283"/>
        <w:jc w:val="both"/>
        <w:rPr>
          <w:rFonts w:ascii="Calibri;sans-serif" w:hAnsi="Calibri;sans-serif"/>
          <w:b w:val="false"/>
          <w:color w:val="000000"/>
          <w:sz w:val="21"/>
        </w:rPr>
      </w:pPr>
      <w:r>
        <w:rPr>
          <w:rFonts w:ascii="Calibri;sans-serif" w:hAnsi="Calibri;sans-serif"/>
          <w:b w:val="false"/>
          <w:color w:val="000000"/>
          <w:sz w:val="21"/>
        </w:rPr>
        <w:t>For each Performance Period, the Committee will establish one or more performance objectives for such Performance Period which will determine the level of funding of the CIP “pool” for the applicable Performance Period.</w:t>
      </w:r>
    </w:p>
    <w:p>
      <w:pPr>
        <w:pStyle w:val="TextBody"/>
        <w:bidi w:val="0"/>
        <w:spacing w:before="6" w:after="283"/>
        <w:jc w:val="both"/>
        <w:rPr/>
      </w:pPr>
      <w:r>
        <w:rPr/>
      </w:r>
    </w:p>
    <w:p>
      <w:pPr>
        <w:pStyle w:val="TextBody"/>
        <w:bidi w:val="0"/>
        <w:spacing w:lineRule="auto" w:line="240" w:before="6" w:after="283"/>
        <w:jc w:val="both"/>
        <w:rPr>
          <w:rFonts w:ascii="Calibri;sans-serif" w:hAnsi="Calibri;sans-serif"/>
          <w:b w:val="false"/>
          <w:color w:val="000000"/>
          <w:sz w:val="21"/>
        </w:rPr>
      </w:pPr>
      <w:r>
        <w:rPr>
          <w:rFonts w:ascii="Calibri;sans-serif" w:hAnsi="Calibri;sans-serif"/>
          <w:b w:val="false"/>
          <w:color w:val="000000"/>
          <w:sz w:val="21"/>
        </w:rPr>
        <w:t>The performance objectives may include, without limitation, annual recurring revenue, operating income, EBITDA and/or any other performance objectives set forth in Section 10(c) of the CrowdStrike Holdings, Inc. 2019 Equity Incentive Plan (as amended from time to time). Performance objectives may be measured on an absolute (e.g., plan or budget) or relative basis, may be based on a ratio or separate calculation of any performance criteria and may be made relative to an index, one or more of the performance goals themselves, a previous period’s results or to a designated comparison group. Relative performance may be measured against a group of peer companies, a financial market index or other acceptable objective and quantifiable indices. The Committee may modify and/or adjust the performance objectives or the related level of achievement, in whole or in part, as the Committee deems appropriate or equitable.</w:t>
      </w:r>
    </w:p>
    <w:p>
      <w:pPr>
        <w:pStyle w:val="TextBody"/>
        <w:bidi w:val="0"/>
        <w:spacing w:before="6" w:after="283"/>
        <w:jc w:val="both"/>
        <w:rPr/>
      </w:pPr>
      <w:r>
        <w:rPr/>
      </w:r>
    </w:p>
    <w:p>
      <w:pPr>
        <w:pStyle w:val="TextBody"/>
        <w:bidi w:val="0"/>
        <w:spacing w:lineRule="auto" w:line="240" w:before="6" w:after="283"/>
        <w:jc w:val="both"/>
        <w:rPr>
          <w:rFonts w:ascii="Calibri;sans-serif" w:hAnsi="Calibri;sans-serif"/>
          <w:b w:val="false"/>
          <w:color w:val="000000"/>
          <w:sz w:val="21"/>
        </w:rPr>
      </w:pPr>
      <w:r>
        <w:rPr>
          <w:rFonts w:ascii="Calibri;sans-serif" w:hAnsi="Calibri;sans-serif"/>
          <w:b w:val="false"/>
          <w:color w:val="000000"/>
          <w:sz w:val="21"/>
        </w:rPr>
        <w:t xml:space="preserve">The individual Incentive Award for any applicable Performance Period may be subject to such additional department, individual or other performance goals and metrics as determined by the Committee with respect to any Participant for the applicable Plan Year or Performance Period. </w:t>
      </w:r>
    </w:p>
    <w:p>
      <w:pPr>
        <w:pStyle w:val="TextBody"/>
        <w:bidi w:val="0"/>
        <w:spacing w:before="0" w:after="0"/>
        <w:ind w:left="0" w:right="0" w:firstLine="117"/>
        <w:jc w:val="both"/>
        <w:rPr/>
      </w:pPr>
      <w:r>
        <w:rPr/>
      </w:r>
    </w:p>
    <w:p>
      <w:pPr>
        <w:pStyle w:val="TextBody"/>
        <w:bidi w:val="0"/>
        <w:spacing w:lineRule="auto" w:line="240" w:before="0" w:after="0"/>
        <w:jc w:val="both"/>
        <w:rPr>
          <w:rFonts w:ascii="Calibri;sans-serif" w:hAnsi="Calibri;sans-serif"/>
          <w:b/>
          <w:color w:val="000000"/>
          <w:sz w:val="21"/>
        </w:rPr>
      </w:pPr>
      <w:r>
        <w:rPr>
          <w:rFonts w:ascii="Calibri;sans-serif" w:hAnsi="Calibri;sans-serif"/>
          <w:b/>
          <w:color w:val="000000"/>
          <w:sz w:val="21"/>
        </w:rPr>
        <w:t>NO GUARANTEED INCENTIVE AWARD PAYOUTS</w:t>
      </w:r>
    </w:p>
    <w:p>
      <w:pPr>
        <w:pStyle w:val="TextBody"/>
        <w:bidi w:val="0"/>
        <w:spacing w:lineRule="auto" w:line="240" w:before="1" w:after="283"/>
        <w:jc w:val="both"/>
        <w:rPr>
          <w:rFonts w:ascii="Calibri;sans-serif" w:hAnsi="Calibri;sans-serif"/>
          <w:b w:val="false"/>
          <w:color w:val="000000"/>
          <w:sz w:val="21"/>
        </w:rPr>
      </w:pPr>
      <w:r>
        <w:rPr>
          <w:rFonts w:ascii="Calibri;sans-serif" w:hAnsi="Calibri;sans-serif"/>
          <w:b w:val="false"/>
          <w:color w:val="000000"/>
          <w:sz w:val="21"/>
        </w:rPr>
        <w:t>No Incentive Award payouts under the CIP are guaranteed, and all Incentive Awards are earned and payable only at the discretion of the Company. Incentive Awards under this Plan are not earned unless all requirements have been met during the Performance Period and the Participant is employed on the day of the Incentive Award payout.</w:t>
      </w:r>
    </w:p>
    <w:p>
      <w:pPr>
        <w:pStyle w:val="TextBody"/>
        <w:bidi w:val="0"/>
        <w:spacing w:before="1" w:after="283"/>
        <w:jc w:val="both"/>
        <w:rPr/>
      </w:pPr>
      <w:r>
        <w:rPr/>
      </w:r>
    </w:p>
    <w:p>
      <w:pPr>
        <w:pStyle w:val="TextBody"/>
        <w:bidi w:val="0"/>
        <w:spacing w:lineRule="auto" w:line="240" w:before="0" w:after="0"/>
        <w:jc w:val="both"/>
        <w:rPr>
          <w:rFonts w:ascii="Calibri;sans-serif" w:hAnsi="Calibri;sans-serif"/>
          <w:b/>
          <w:color w:val="000000"/>
          <w:sz w:val="21"/>
        </w:rPr>
      </w:pPr>
      <w:r>
        <w:rPr>
          <w:rFonts w:ascii="Calibri;sans-serif" w:hAnsi="Calibri;sans-serif"/>
          <w:b/>
          <w:color w:val="000000"/>
          <w:sz w:val="21"/>
        </w:rPr>
        <w:t>ADMINISTRATIVE PROCEDURE</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1"/>
          <w:u w:val="single"/>
        </w:rPr>
      </w:pPr>
      <w:r>
        <w:rPr>
          <w:rFonts w:ascii="Calibri;sans-serif" w:hAnsi="Calibri;sans-serif"/>
          <w:b w:val="false"/>
          <w:color w:val="000000"/>
          <w:sz w:val="21"/>
          <w:u w:val="single"/>
        </w:rPr>
        <w:t>Salary Adjustments During the Performance Period</w:t>
      </w:r>
    </w:p>
    <w:p>
      <w:pPr>
        <w:pStyle w:val="TextBody"/>
        <w:bidi w:val="0"/>
        <w:spacing w:lineRule="auto" w:line="280" w:before="2" w:after="283"/>
        <w:jc w:val="both"/>
        <w:rPr>
          <w:rFonts w:ascii="Calibri;sans-serif" w:hAnsi="Calibri;sans-serif"/>
          <w:b w:val="false"/>
          <w:color w:val="000000"/>
          <w:sz w:val="21"/>
        </w:rPr>
      </w:pPr>
      <w:r>
        <w:rPr>
          <w:rFonts w:ascii="Calibri;sans-serif" w:hAnsi="Calibri;sans-serif"/>
          <w:b w:val="false"/>
          <w:color w:val="000000"/>
          <w:sz w:val="21"/>
        </w:rPr>
        <w:t>Newly promoted employees, employees transferring into an eligible CIP position or employees receiving a salary adjustment mid-quarter should refer to their promotion or transfer notification letter for CIP details; the quarterly Incentive Award may be pro-rated. If transferring out of an eligible CIP position, the Incentive Award that may be earned for that quarter will be prorated.</w:t>
      </w:r>
    </w:p>
    <w:p>
      <w:pPr>
        <w:pStyle w:val="TextBody"/>
        <w:bidi w:val="0"/>
        <w:spacing w:before="1" w:after="283"/>
        <w:jc w:val="both"/>
        <w:rPr/>
      </w:pPr>
      <w:r>
        <w:rPr/>
      </w:r>
    </w:p>
    <w:p>
      <w:pPr>
        <w:pStyle w:val="TextBody"/>
        <w:bidi w:val="0"/>
        <w:spacing w:lineRule="auto" w:line="240" w:before="0" w:after="0"/>
        <w:jc w:val="both"/>
        <w:rPr>
          <w:rFonts w:ascii="Calibri;sans-serif" w:hAnsi="Calibri;sans-serif"/>
          <w:b w:val="false"/>
          <w:color w:val="000000"/>
          <w:sz w:val="21"/>
          <w:u w:val="single"/>
        </w:rPr>
      </w:pPr>
      <w:r>
        <w:rPr>
          <w:rFonts w:ascii="Calibri;sans-serif" w:hAnsi="Calibri;sans-serif"/>
          <w:b w:val="false"/>
          <w:color w:val="000000"/>
          <w:sz w:val="21"/>
          <w:u w:val="single"/>
        </w:rPr>
        <w:t>Leaves of Absences, Disability, or Death</w:t>
      </w:r>
    </w:p>
    <w:p>
      <w:pPr>
        <w:pStyle w:val="TextBody"/>
        <w:bidi w:val="0"/>
        <w:spacing w:lineRule="auto" w:line="280" w:before="1" w:after="283"/>
        <w:jc w:val="both"/>
        <w:rPr>
          <w:rFonts w:ascii="Calibri;sans-serif" w:hAnsi="Calibri;sans-serif"/>
          <w:b w:val="false"/>
          <w:color w:val="000000"/>
          <w:sz w:val="21"/>
        </w:rPr>
      </w:pPr>
      <w:r>
        <w:rPr>
          <w:rFonts w:ascii="Calibri;sans-serif" w:hAnsi="Calibri;sans-serif"/>
          <w:b w:val="false"/>
          <w:color w:val="000000"/>
          <w:sz w:val="21"/>
        </w:rPr>
        <w:t>In the event of a Participant’s leave of absence for more than 30 days overall (not limited to any one quarter), any Incentive Award that may be earned will be calculated on a pro-rated basis, to the extent permitted by applicable law. Any leaves of absence of 30 days or less will not result in pro-rating of the Incentive Award. In the event of Participant’s death, an amount equal to the prorated Incentive Payout the Participant would have earned, if the Participant had otherwise remained eligible, will be paid.</w:t>
      </w:r>
    </w:p>
    <w:p>
      <w:pPr>
        <w:pStyle w:val="TextBody"/>
        <w:bidi w:val="0"/>
        <w:spacing w:before="3" w:after="283"/>
        <w:jc w:val="both"/>
        <w:rPr/>
      </w:pPr>
      <w:r>
        <w:rPr/>
      </w:r>
    </w:p>
    <w:p>
      <w:pPr>
        <w:pStyle w:val="TextBody"/>
        <w:bidi w:val="0"/>
        <w:spacing w:lineRule="auto" w:line="240" w:before="0" w:after="0"/>
        <w:jc w:val="both"/>
        <w:rPr>
          <w:rFonts w:ascii="Calibri;sans-serif" w:hAnsi="Calibri;sans-serif"/>
          <w:b w:val="false"/>
          <w:color w:val="000000"/>
          <w:sz w:val="21"/>
          <w:u w:val="single"/>
        </w:rPr>
      </w:pPr>
      <w:r>
        <w:rPr>
          <w:rFonts w:ascii="Calibri;sans-serif" w:hAnsi="Calibri;sans-serif"/>
          <w:b w:val="false"/>
          <w:color w:val="000000"/>
          <w:sz w:val="21"/>
          <w:u w:val="single"/>
        </w:rPr>
        <w:t>Changes or Amendments</w:t>
      </w:r>
    </w:p>
    <w:p>
      <w:pPr>
        <w:pStyle w:val="TextBody"/>
        <w:bidi w:val="0"/>
        <w:spacing w:lineRule="auto" w:line="280" w:before="2" w:after="283"/>
        <w:jc w:val="both"/>
        <w:rPr>
          <w:rFonts w:ascii="Calibri;sans-serif" w:hAnsi="Calibri;sans-serif"/>
          <w:b w:val="false"/>
          <w:color w:val="000000"/>
          <w:sz w:val="21"/>
        </w:rPr>
      </w:pPr>
      <w:r>
        <w:rPr>
          <w:rFonts w:ascii="Calibri;sans-serif" w:hAnsi="Calibri;sans-serif"/>
          <w:b w:val="false"/>
          <w:color w:val="000000"/>
          <w:sz w:val="21"/>
        </w:rPr>
        <w:t xml:space="preserve">While the Committee has every intention of maintaining the Plan through the end of the applicable Plan Year, the Committee reserves the right to revise, alter, amend or terminate the Plan at any time. </w:t>
      </w:r>
    </w:p>
    <w:p>
      <w:pPr>
        <w:pStyle w:val="TextBody"/>
        <w:bidi w:val="0"/>
        <w:spacing w:before="2" w:after="283"/>
        <w:jc w:val="both"/>
        <w:rPr/>
      </w:pPr>
      <w:r>
        <w:rPr/>
      </w:r>
    </w:p>
    <w:p>
      <w:pPr>
        <w:pStyle w:val="TextBody"/>
        <w:bidi w:val="0"/>
        <w:spacing w:lineRule="auto" w:line="280" w:before="2" w:after="283"/>
        <w:jc w:val="both"/>
        <w:rPr>
          <w:rFonts w:ascii="Calibri;sans-serif" w:hAnsi="Calibri;sans-serif"/>
          <w:b w:val="false"/>
          <w:color w:val="000000"/>
          <w:sz w:val="21"/>
          <w:u w:val="single"/>
        </w:rPr>
      </w:pPr>
      <w:r>
        <w:rPr>
          <w:rFonts w:ascii="Calibri;sans-serif" w:hAnsi="Calibri;sans-serif"/>
          <w:b w:val="false"/>
          <w:color w:val="000000"/>
          <w:sz w:val="21"/>
          <w:u w:val="single"/>
        </w:rPr>
        <w:t>Deferral of Incentive Award Payments</w:t>
      </w:r>
    </w:p>
    <w:p>
      <w:pPr>
        <w:pStyle w:val="TextBody"/>
        <w:bidi w:val="0"/>
        <w:spacing w:lineRule="auto" w:line="280" w:before="2" w:after="283"/>
        <w:jc w:val="both"/>
        <w:rPr>
          <w:rFonts w:ascii="Calibri;sans-serif" w:hAnsi="Calibri;sans-serif"/>
          <w:b w:val="false"/>
          <w:color w:val="000000"/>
          <w:sz w:val="21"/>
        </w:rPr>
      </w:pPr>
      <w:r>
        <w:rPr>
          <w:rFonts w:ascii="Calibri;sans-serif" w:hAnsi="Calibri;sans-serif"/>
          <w:b w:val="false"/>
          <w:color w:val="000000"/>
          <w:sz w:val="21"/>
        </w:rPr>
        <w:t>The Committee may, in its sole discretion, permit or require the deferral of payment of any Incentive Award in accordance with the terms of any deferred compensation plan or arrangement established or maintained by the Company from time to time.</w:t>
      </w:r>
    </w:p>
    <w:p>
      <w:pPr>
        <w:pStyle w:val="TextBody"/>
        <w:bidi w:val="0"/>
        <w:spacing w:before="2" w:after="283"/>
        <w:jc w:val="both"/>
        <w:rPr/>
      </w:pPr>
      <w:r>
        <w:rPr/>
      </w:r>
    </w:p>
    <w:p>
      <w:pPr>
        <w:pStyle w:val="TextBody"/>
        <w:bidi w:val="0"/>
        <w:spacing w:lineRule="auto" w:line="280" w:before="2" w:after="283"/>
        <w:jc w:val="both"/>
        <w:rPr>
          <w:rFonts w:ascii="Calibri;sans-serif" w:hAnsi="Calibri;sans-serif"/>
          <w:b w:val="false"/>
          <w:color w:val="000000"/>
          <w:sz w:val="21"/>
          <w:u w:val="single"/>
        </w:rPr>
      </w:pPr>
      <w:r>
        <w:rPr>
          <w:rFonts w:ascii="Calibri;sans-serif" w:hAnsi="Calibri;sans-serif"/>
          <w:b w:val="false"/>
          <w:color w:val="000000"/>
          <w:sz w:val="21"/>
          <w:u w:val="single"/>
        </w:rPr>
        <w:t>No Guaranteed Employment</w:t>
      </w:r>
    </w:p>
    <w:p>
      <w:pPr>
        <w:pStyle w:val="TextBody"/>
        <w:bidi w:val="0"/>
        <w:spacing w:lineRule="auto" w:line="280" w:before="2" w:after="283"/>
        <w:jc w:val="both"/>
        <w:rPr>
          <w:rFonts w:ascii="Calibri;sans-serif" w:hAnsi="Calibri;sans-serif"/>
          <w:b w:val="false"/>
          <w:color w:val="000000"/>
          <w:sz w:val="21"/>
        </w:rPr>
      </w:pPr>
      <w:r>
        <w:rPr>
          <w:rFonts w:ascii="Calibri;sans-serif" w:hAnsi="Calibri;sans-serif"/>
          <w:b w:val="false"/>
          <w:color w:val="000000"/>
          <w:sz w:val="21"/>
        </w:rPr>
        <w:t>The Plan does not constitute a contract of employment or guarantee employment for any duration, nor does it alter the “at-will” status of employment.</w:t>
      </w:r>
    </w:p>
    <w:p>
      <w:pPr>
        <w:pStyle w:val="TextBody"/>
        <w:bidi w:val="0"/>
        <w:spacing w:before="8" w:after="283"/>
        <w:jc w:val="both"/>
        <w:rPr/>
      </w:pPr>
      <w:r>
        <w:rPr/>
      </w:r>
    </w:p>
    <w:p>
      <w:pPr>
        <w:pStyle w:val="TextBody"/>
        <w:bidi w:val="0"/>
        <w:spacing w:lineRule="auto" w:line="240" w:before="0" w:after="0"/>
        <w:jc w:val="both"/>
        <w:rPr>
          <w:rFonts w:ascii="Calibri;sans-serif" w:hAnsi="Calibri;sans-serif"/>
          <w:b w:val="false"/>
          <w:color w:val="000000"/>
          <w:sz w:val="21"/>
          <w:u w:val="single"/>
        </w:rPr>
      </w:pPr>
      <w:r>
        <w:rPr>
          <w:rFonts w:ascii="Calibri;sans-serif" w:hAnsi="Calibri;sans-serif"/>
          <w:b w:val="false"/>
          <w:color w:val="000000"/>
          <w:sz w:val="21"/>
          <w:u w:val="single"/>
        </w:rPr>
        <w:t>Disputes</w:t>
      </w:r>
    </w:p>
    <w:p>
      <w:pPr>
        <w:pStyle w:val="TextBody"/>
        <w:bidi w:val="0"/>
        <w:spacing w:lineRule="auto" w:line="240" w:before="1" w:after="283"/>
        <w:jc w:val="both"/>
        <w:rPr>
          <w:rFonts w:ascii="Calibri;sans-serif" w:hAnsi="Calibri;sans-serif"/>
          <w:b w:val="false"/>
          <w:color w:val="000000"/>
          <w:sz w:val="21"/>
        </w:rPr>
      </w:pPr>
      <w:r>
        <w:rPr>
          <w:rFonts w:ascii="Calibri;sans-serif" w:hAnsi="Calibri;sans-serif"/>
          <w:b w:val="false"/>
          <w:color w:val="000000"/>
          <w:sz w:val="21"/>
        </w:rPr>
        <w:t>All disputes with respect to this Plan will be resolved by the CEO and CHRO, whose decisions will be final.</w:t>
      </w:r>
    </w:p>
    <w:p>
      <w:pPr>
        <w:pStyle w:val="TextBody"/>
        <w:bidi w:val="0"/>
        <w:spacing w:before="1" w:after="283"/>
        <w:jc w:val="both"/>
        <w:rPr/>
      </w:pPr>
      <w:r>
        <w:rPr/>
      </w:r>
    </w:p>
    <w:p>
      <w:pPr>
        <w:pStyle w:val="TextBody"/>
        <w:bidi w:val="0"/>
        <w:spacing w:lineRule="auto" w:line="240" w:before="0" w:after="0"/>
        <w:jc w:val="right"/>
        <w:rPr>
          <w:rFonts w:ascii="Calibri;sans-serif" w:hAnsi="Calibri;sans-serif"/>
          <w:b w:val="false"/>
          <w:color w:val="000000"/>
          <w:sz w:val="21"/>
        </w:rPr>
      </w:pPr>
      <w:r>
        <w:rPr>
          <w:rFonts w:ascii="Calibri;sans-serif" w:hAnsi="Calibri;sans-serif"/>
          <w:b w:val="false"/>
          <w:color w:val="000000"/>
          <w:sz w:val="21"/>
        </w:rPr>
        <w:t>Exhibit 10.1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37820"/>
                <wp:effectExtent l="0" t="0" r="0" b="0"/>
                <wp:wrapNone/>
                <wp:docPr id="76" name="Frame7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Gill Sans MT;sans-serif" w:hAnsi="Gill Sans MT;sans-serif"/>
                                <w:b w:val="false"/>
                                <w:color w:val="000000"/>
                                <w:sz w:val="22"/>
                              </w:rPr>
                            </w:pPr>
                            <w:r>
                              <w:rPr>
                                <w:rFonts w:ascii="Gill Sans MT;sans-serif" w:hAnsi="Gill Sans MT;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40" w:before="0" w:after="0"/>
                        <w:jc w:val="center"/>
                        <w:rPr>
                          <w:rFonts w:ascii="Gill Sans MT;sans-serif" w:hAnsi="Gill Sans MT;sans-serif"/>
                          <w:b w:val="false"/>
                          <w:color w:val="000000"/>
                          <w:sz w:val="22"/>
                        </w:rPr>
                      </w:pPr>
                      <w:r>
                        <w:rPr>
                          <w:rFonts w:ascii="Gill Sans MT;sans-serif" w:hAnsi="Gill Sans MT;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283"/>
        <w:jc w:val="both"/>
        <w:rPr>
          <w:rFonts w:ascii="Calibri;sans-serif" w:hAnsi="Calibri;sans-serif"/>
          <w:b w:val="false"/>
          <w:color w:val="000000"/>
          <w:sz w:val="21"/>
          <w:u w:val="single"/>
        </w:rPr>
      </w:pPr>
      <w:r>
        <w:rPr>
          <w:rFonts w:ascii="Calibri;sans-serif" w:hAnsi="Calibri;sans-serif"/>
          <w:b w:val="false"/>
          <w:color w:val="000000"/>
          <w:sz w:val="21"/>
          <w:u w:val="single"/>
        </w:rPr>
        <w:t>Taxes</w:t>
      </w:r>
    </w:p>
    <w:p>
      <w:pPr>
        <w:pStyle w:val="TextBody"/>
        <w:bidi w:val="0"/>
        <w:spacing w:before="0" w:after="0"/>
        <w:jc w:val="both"/>
        <w:rPr/>
      </w:pPr>
      <w:r>
        <w:rPr/>
      </w:r>
    </w:p>
    <w:p>
      <w:pPr>
        <w:pStyle w:val="TextBody"/>
        <w:bidi w:val="0"/>
        <w:spacing w:lineRule="auto" w:line="240" w:before="1" w:after="283"/>
        <w:jc w:val="both"/>
        <w:rPr>
          <w:rFonts w:ascii="Calibri;sans-serif" w:hAnsi="Calibri;sans-serif"/>
          <w:b w:val="false"/>
          <w:color w:val="000000"/>
          <w:sz w:val="21"/>
        </w:rPr>
      </w:pPr>
      <w:r>
        <w:rPr>
          <w:rFonts w:ascii="Calibri;sans-serif" w:hAnsi="Calibri;sans-serif"/>
          <w:b w:val="false"/>
          <w:color w:val="000000"/>
          <w:sz w:val="21"/>
        </w:rPr>
        <w:t xml:space="preserve">All payments under the Plan will be made net of any applicable withholding or other taxes. </w:t>
      </w:r>
    </w:p>
    <w:p>
      <w:pPr>
        <w:pStyle w:val="TextBody"/>
        <w:bidi w:val="0"/>
        <w:spacing w:before="1" w:after="283"/>
        <w:jc w:val="both"/>
        <w:rPr/>
      </w:pPr>
      <w:r>
        <w:rPr/>
      </w:r>
    </w:p>
    <w:p>
      <w:pPr>
        <w:pStyle w:val="TextBody"/>
        <w:bidi w:val="0"/>
        <w:spacing w:lineRule="auto" w:line="240" w:before="1" w:after="283"/>
        <w:jc w:val="both"/>
        <w:rPr>
          <w:rFonts w:ascii="Calibri;sans-serif" w:hAnsi="Calibri;sans-serif"/>
          <w:b w:val="false"/>
          <w:color w:val="000000"/>
          <w:sz w:val="21"/>
        </w:rPr>
      </w:pPr>
      <w:r>
        <w:rPr>
          <w:rFonts w:ascii="Calibri;sans-serif" w:hAnsi="Calibri;sans-serif"/>
          <w:b w:val="false"/>
          <w:color w:val="000000"/>
          <w:sz w:val="21"/>
        </w:rPr>
        <w:t>All payments made pursuant to the Plan are intended to be exempt and/or comply with Section 409A of the Code (including the regulations and guidance promulgated thereunder) (“Section 409A”), and shall be interpreted on a basis consistent with such intent. If any provision of the Plan or any term or condition of any Incentive Award would otherwise frustrate or conflict with this intent, the provision, term or condition will be interpreted and, to the extent necessary, deemed amended so as to avoid this conflict. However, nothing herein will be construed as a guarantee by the Company of any particular tax effect to the Participant. The Company will not be liable to the Participant for any additional tax, penalty or interest that may be imposed on the Participant pursuant to Section 409A or otherwise or any damages incurred by the Participant as a result of the Plan (and the payment and benefits hereunder) failing to comply with, or be exempt from, Section 409A. If an amount payable under an Incentive Award as a result of the Participant’s termination of employment occurring while the Participant is a “specified employee” under Section 409A constitutes a deferral of compensation subject to Section 409A, then payment of such amount shall not occur until six months and one day after the date of the Participant’s “separation from service” (as defined under Section 409A), except as permitted under Section 409A.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37820"/>
                <wp:effectExtent l="0" t="0" r="0" b="0"/>
                <wp:wrapNone/>
                <wp:docPr id="77" name="Frame7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Gill Sans MT;sans-serif" w:hAnsi="Gill Sans MT;sans-serif"/>
                                <w:b w:val="false"/>
                                <w:color w:val="000000"/>
                                <w:sz w:val="22"/>
                              </w:rPr>
                            </w:pPr>
                            <w:r>
                              <w:rPr>
                                <w:rFonts w:ascii="Gill Sans MT;sans-serif" w:hAnsi="Gill Sans MT;sans-serif"/>
                                <w:b w:val="false"/>
                                <w:color w:val="000000"/>
                                <w:sz w:val="22"/>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Gill Sans MT;sans-serif" w:hAnsi="Gill Sans MT;sans-serif"/>
                          <w:b w:val="false"/>
                          <w:color w:val="000000"/>
                          <w:sz w:val="22"/>
                        </w:rPr>
                      </w:pPr>
                      <w:r>
                        <w:rPr>
                          <w:rFonts w:ascii="Gill Sans MT;sans-serif" w:hAnsi="Gill Sans MT;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George Kurtz,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CrowdStrike Holdings,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31, 2023 </w:t>
      </w:r>
    </w:p>
    <w:tbl>
      <w:tblPr>
        <w:tblW w:w="5455" w:type="dxa"/>
        <w:jc w:val="left"/>
        <w:tblInd w:w="0" w:type="dxa"/>
        <w:tblLayout w:type="fixed"/>
        <w:tblCellMar>
          <w:top w:w="28" w:type="dxa"/>
          <w:left w:w="28" w:type="dxa"/>
          <w:bottom w:w="28" w:type="dxa"/>
          <w:right w:w="28" w:type="dxa"/>
        </w:tblCellMar>
      </w:tblPr>
      <w:tblGrid>
        <w:gridCol w:w="526"/>
        <w:gridCol w:w="462"/>
        <w:gridCol w:w="462"/>
        <w:gridCol w:w="1171"/>
        <w:gridCol w:w="1171"/>
        <w:gridCol w:w="166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r>
      <w:tr>
        <w:trPr/>
        <w:tc>
          <w:tcPr>
            <w:tcW w:w="54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CROWDSTRIKE HOLDINGS, INC.</w:t>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George Kurtz</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George Kurtz</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br/>
              <w:t>(Principal Executive Officer)</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Burt W. Podbere,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CrowdStrike Holdings,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31, 2023 </w:t>
      </w:r>
    </w:p>
    <w:tbl>
      <w:tblPr>
        <w:tblW w:w="5815" w:type="dxa"/>
        <w:jc w:val="left"/>
        <w:tblInd w:w="0" w:type="dxa"/>
        <w:tblLayout w:type="fixed"/>
        <w:tblCellMar>
          <w:top w:w="28" w:type="dxa"/>
          <w:left w:w="28" w:type="dxa"/>
          <w:bottom w:w="28" w:type="dxa"/>
          <w:right w:w="28" w:type="dxa"/>
        </w:tblCellMar>
      </w:tblPr>
      <w:tblGrid>
        <w:gridCol w:w="526"/>
        <w:gridCol w:w="462"/>
        <w:gridCol w:w="462"/>
        <w:gridCol w:w="1276"/>
        <w:gridCol w:w="1276"/>
        <w:gridCol w:w="181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58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CROWDSTRIKE HOLDINGS, INC.</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Burt W. Podbere</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Burt W. Podbere</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(Principal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AND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April 30, 2023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tbl>
      <w:tblPr>
        <w:tblW w:w="6373" w:type="dxa"/>
        <w:jc w:val="left"/>
        <w:tblInd w:w="0" w:type="dxa"/>
        <w:tblLayout w:type="fixed"/>
        <w:tblCellMar>
          <w:top w:w="28" w:type="dxa"/>
          <w:left w:w="28" w:type="dxa"/>
          <w:bottom w:w="28" w:type="dxa"/>
          <w:right w:w="28" w:type="dxa"/>
        </w:tblCellMar>
      </w:tblPr>
      <w:tblGrid>
        <w:gridCol w:w="629"/>
        <w:gridCol w:w="554"/>
        <w:gridCol w:w="557"/>
        <w:gridCol w:w="208"/>
        <w:gridCol w:w="208"/>
        <w:gridCol w:w="213"/>
        <w:gridCol w:w="1172"/>
        <w:gridCol w:w="1172"/>
        <w:gridCol w:w="166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31, 2023</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George Kurtz</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George Kurtz</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br/>
              <w:t>(Principal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April 30, 2023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tbl>
      <w:tblPr>
        <w:tblW w:w="4783" w:type="dxa"/>
        <w:jc w:val="left"/>
        <w:tblInd w:w="0" w:type="dxa"/>
        <w:tblLayout w:type="fixed"/>
        <w:tblCellMar>
          <w:top w:w="28" w:type="dxa"/>
          <w:left w:w="28" w:type="dxa"/>
          <w:bottom w:w="28" w:type="dxa"/>
          <w:right w:w="28" w:type="dxa"/>
        </w:tblCellMar>
      </w:tblPr>
      <w:tblGrid>
        <w:gridCol w:w="629"/>
        <w:gridCol w:w="554"/>
        <w:gridCol w:w="557"/>
        <w:gridCol w:w="208"/>
        <w:gridCol w:w="208"/>
        <w:gridCol w:w="213"/>
        <w:gridCol w:w="705"/>
        <w:gridCol w:w="705"/>
        <w:gridCol w:w="100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31, 2023</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Burt W. Podbere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Burt W. Podbere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Gill Sans M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35527/000110465919035685/a19-11597_1ex3d1.htm" TargetMode="External"/><Relationship Id="rId3" Type="http://schemas.openxmlformats.org/officeDocument/2006/relationships/hyperlink" Target="http://www.sec.gov/Archives/edgar/data/1535527/000110465919035685/a19-11597_1ex3d1.htm" TargetMode="External"/><Relationship Id="rId4" Type="http://schemas.openxmlformats.org/officeDocument/2006/relationships/hyperlink" Target="http://www.sec.gov/Archives/edgar/data/1535527/000110465919035685/a19-11597_1ex3d2.htm" TargetMode="External"/><Relationship Id="rId5" Type="http://schemas.openxmlformats.org/officeDocument/2006/relationships/hyperlink" Target="http://www.sec.gov/Archives/edgar/data/1535527/000110465919035685/a19-11597_1ex3d2.htm" TargetMode="External"/><Relationship Id="rId6" Type="http://schemas.openxmlformats.org/officeDocument/2006/relationships/hyperlink" Target="http://www.sec.gov/Archives/edgar/data/1535527/000110465921002705/tm2039203d2_ex22-1.htm" TargetMode="External"/><Relationship Id="rId7" Type="http://schemas.openxmlformats.org/officeDocument/2006/relationships/hyperlink" Target="http://www.sec.gov/Archives/edgar/data/1535527/000110465921002705/tm2039203d2_ex22-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48083</Words>
  <Characters>268925</Characters>
  <CharactersWithSpaces>315280</CharactersWithSpaces>
  <Paragraphs>2727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