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467995</wp:posOffset>
            </wp:positionV>
            <wp:extent cx="72675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488950</wp:posOffset>
            </wp:positionV>
            <wp:extent cx="72675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___________________________________________________________________________________________________</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7"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___________________________________________________________________________________________________</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32" w:lineRule="exact"/>
        <w:rPr>
          <w:sz w:val="24"/>
          <w:szCs w:val="24"/>
          <w:color w:val="auto"/>
        </w:rPr>
      </w:pPr>
    </w:p>
    <w:p>
      <w:pPr>
        <w:ind w:left="360" w:hanging="230"/>
        <w:spacing w:after="0"/>
        <w:tabs>
          <w:tab w:leader="none" w:pos="3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October 31, 2019</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7" w:lineRule="exact"/>
        <w:rPr>
          <w:sz w:val="24"/>
          <w:szCs w:val="24"/>
          <w:color w:val="auto"/>
        </w:rPr>
      </w:pPr>
    </w:p>
    <w:p>
      <w:pPr>
        <w:ind w:left="360" w:hanging="246"/>
        <w:spacing w:after="0"/>
        <w:tabs>
          <w:tab w:leader="none" w:pos="3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the transition period from to</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001-38933</w:t>
      </w:r>
    </w:p>
    <w:p>
      <w:pPr>
        <w:spacing w:after="0" w:line="26"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___________________________________________________________________________________________________</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CROWDSTRIKE HOLDINGS, INC.</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___________________________________________________________________________________________________</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169"/>
        </w:trPr>
        <w:tc>
          <w:tcPr>
            <w:tcW w:w="1120" w:type="dxa"/>
            <w:vAlign w:val="bottom"/>
          </w:tcPr>
          <w:p>
            <w:pPr>
              <w:spacing w:after="0"/>
              <w:rPr>
                <w:sz w:val="14"/>
                <w:szCs w:val="14"/>
                <w:color w:val="auto"/>
              </w:rPr>
            </w:pPr>
          </w:p>
        </w:tc>
        <w:tc>
          <w:tcPr>
            <w:tcW w:w="4160" w:type="dxa"/>
            <w:vAlign w:val="bottom"/>
            <w:gridSpan w:val="3"/>
          </w:tcPr>
          <w:p>
            <w:pPr>
              <w:jc w:val="center"/>
              <w:ind w:right="2135"/>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60" w:type="dxa"/>
            <w:vAlign w:val="bottom"/>
            <w:gridSpan w:val="4"/>
          </w:tcPr>
          <w:p>
            <w:pPr>
              <w:jc w:val="right"/>
              <w:ind w:right="775"/>
              <w:spacing w:after="0"/>
              <w:rPr>
                <w:sz w:val="20"/>
                <w:szCs w:val="20"/>
                <w:color w:val="auto"/>
              </w:rPr>
            </w:pPr>
            <w:r>
              <w:rPr>
                <w:rFonts w:ascii="Times New Roman" w:cs="Times New Roman" w:eastAsia="Times New Roman" w:hAnsi="Times New Roman"/>
                <w:sz w:val="13"/>
                <w:szCs w:val="13"/>
                <w:b w:val="1"/>
                <w:bCs w:val="1"/>
                <w:color w:val="auto"/>
              </w:rPr>
              <w:t>45-3788918</w:t>
            </w: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9"/>
        </w:trPr>
        <w:tc>
          <w:tcPr>
            <w:tcW w:w="1120" w:type="dxa"/>
            <w:vAlign w:val="bottom"/>
          </w:tcPr>
          <w:p>
            <w:pPr>
              <w:spacing w:after="0"/>
              <w:rPr>
                <w:sz w:val="17"/>
                <w:szCs w:val="17"/>
                <w:color w:val="auto"/>
              </w:rPr>
            </w:pPr>
          </w:p>
        </w:tc>
        <w:tc>
          <w:tcPr>
            <w:tcW w:w="4160" w:type="dxa"/>
            <w:vAlign w:val="bottom"/>
            <w:gridSpan w:val="3"/>
          </w:tcPr>
          <w:p>
            <w:pPr>
              <w:jc w:val="center"/>
              <w:ind w:right="2195"/>
              <w:spacing w:after="0"/>
              <w:rPr>
                <w:sz w:val="20"/>
                <w:szCs w:val="20"/>
                <w:color w:val="auto"/>
              </w:rPr>
            </w:pPr>
            <w:r>
              <w:rPr>
                <w:rFonts w:ascii="Times New Roman" w:cs="Times New Roman" w:eastAsia="Times New Roman" w:hAnsi="Times New Roman"/>
                <w:sz w:val="13"/>
                <w:szCs w:val="13"/>
                <w:color w:val="auto"/>
                <w:w w:val="99"/>
              </w:rPr>
              <w:t>(State or other jurisdiction of</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80" w:type="dxa"/>
            <w:vAlign w:val="bottom"/>
            <w:gridSpan w:val="3"/>
          </w:tcPr>
          <w:p>
            <w:pPr>
              <w:jc w:val="center"/>
              <w:ind w:right="1360"/>
              <w:spacing w:after="0"/>
              <w:rPr>
                <w:sz w:val="20"/>
                <w:szCs w:val="20"/>
                <w:color w:val="auto"/>
              </w:rPr>
            </w:pPr>
            <w:r>
              <w:rPr>
                <w:rFonts w:ascii="Times New Roman" w:cs="Times New Roman" w:eastAsia="Times New Roman" w:hAnsi="Times New Roman"/>
                <w:sz w:val="13"/>
                <w:szCs w:val="13"/>
                <w:color w:val="auto"/>
                <w:w w:val="99"/>
              </w:rPr>
              <w:t>(I.R.S. Employer</w:t>
            </w:r>
          </w:p>
        </w:tc>
      </w:tr>
      <w:tr>
        <w:trPr>
          <w:trHeight w:val="167"/>
        </w:trPr>
        <w:tc>
          <w:tcPr>
            <w:tcW w:w="1120" w:type="dxa"/>
            <w:vAlign w:val="bottom"/>
          </w:tcPr>
          <w:p>
            <w:pPr>
              <w:spacing w:after="0"/>
              <w:rPr>
                <w:sz w:val="14"/>
                <w:szCs w:val="14"/>
                <w:color w:val="auto"/>
              </w:rPr>
            </w:pPr>
          </w:p>
        </w:tc>
        <w:tc>
          <w:tcPr>
            <w:tcW w:w="4160" w:type="dxa"/>
            <w:vAlign w:val="bottom"/>
            <w:gridSpan w:val="3"/>
          </w:tcPr>
          <w:p>
            <w:pPr>
              <w:jc w:val="center"/>
              <w:ind w:right="2155"/>
              <w:spacing w:after="0"/>
              <w:rPr>
                <w:sz w:val="20"/>
                <w:szCs w:val="20"/>
                <w:color w:val="auto"/>
              </w:rPr>
            </w:pPr>
            <w:r>
              <w:rPr>
                <w:rFonts w:ascii="Times New Roman" w:cs="Times New Roman" w:eastAsia="Times New Roman" w:hAnsi="Times New Roman"/>
                <w:sz w:val="13"/>
                <w:szCs w:val="13"/>
                <w:color w:val="auto"/>
                <w:w w:val="98"/>
              </w:rPr>
              <w:t>incorporation or organization)</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8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Identification Number)</w:t>
            </w:r>
          </w:p>
        </w:tc>
      </w:tr>
      <w:tr>
        <w:trPr>
          <w:trHeight w:val="216"/>
        </w:trPr>
        <w:tc>
          <w:tcPr>
            <w:tcW w:w="1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56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150 Mathilda Place , Suite 300</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Sunnyvale ,</w:t>
            </w:r>
          </w:p>
        </w:tc>
        <w:tc>
          <w:tcPr>
            <w:tcW w:w="8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California</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94086</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94"/>
        </w:trPr>
        <w:tc>
          <w:tcPr>
            <w:tcW w:w="1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5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7"/>
        </w:trPr>
        <w:tc>
          <w:tcPr>
            <w:tcW w:w="1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50"/>
        </w:trPr>
        <w:tc>
          <w:tcPr>
            <w:tcW w:w="1120" w:type="dxa"/>
            <w:vAlign w:val="bottom"/>
            <w:tcBorders>
              <w:left w:val="single" w:sz="8" w:color="auto"/>
            </w:tcBorders>
          </w:tcPr>
          <w:p>
            <w:pPr>
              <w:spacing w:after="0"/>
              <w:rPr>
                <w:sz w:val="13"/>
                <w:szCs w:val="13"/>
                <w:color w:val="auto"/>
              </w:rPr>
            </w:pPr>
          </w:p>
        </w:tc>
        <w:tc>
          <w:tcPr>
            <w:tcW w:w="2740" w:type="dxa"/>
            <w:vAlign w:val="bottom"/>
            <w:tcBorders>
              <w:right w:val="single" w:sz="8" w:color="auto"/>
            </w:tcBorders>
            <w:gridSpan w:val="2"/>
          </w:tcPr>
          <w:p>
            <w:pPr>
              <w:jc w:val="center"/>
              <w:ind w:right="1075"/>
              <w:spacing w:after="0"/>
              <w:rPr>
                <w:sz w:val="20"/>
                <w:szCs w:val="20"/>
                <w:color w:val="auto"/>
              </w:rPr>
            </w:pPr>
            <w:r>
              <w:rPr>
                <w:rFonts w:ascii="Times New Roman" w:cs="Times New Roman" w:eastAsia="Times New Roman" w:hAnsi="Times New Roman"/>
                <w:sz w:val="13"/>
                <w:szCs w:val="13"/>
                <w:color w:val="auto"/>
                <w:w w:val="99"/>
              </w:rPr>
              <w:t>Title of each class of securities</w:t>
            </w:r>
          </w:p>
        </w:tc>
        <w:tc>
          <w:tcPr>
            <w:tcW w:w="14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5"/>
              </w:rPr>
              <w:t>Trading symbol(s)</w:t>
            </w:r>
          </w:p>
        </w:tc>
        <w:tc>
          <w:tcPr>
            <w:tcW w:w="88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80" w:type="dxa"/>
            <w:vAlign w:val="bottom"/>
            <w:tcBorders>
              <w:right w:val="single" w:sz="8" w:color="auto"/>
            </w:tcBorders>
            <w:gridSpan w:val="3"/>
          </w:tcPr>
          <w:p>
            <w:pPr>
              <w:jc w:val="center"/>
              <w:ind w:right="980"/>
              <w:spacing w:after="0"/>
              <w:rPr>
                <w:sz w:val="20"/>
                <w:szCs w:val="20"/>
                <w:color w:val="auto"/>
              </w:rPr>
            </w:pPr>
            <w:r>
              <w:rPr>
                <w:rFonts w:ascii="Times New Roman" w:cs="Times New Roman" w:eastAsia="Times New Roman" w:hAnsi="Times New Roman"/>
                <w:sz w:val="13"/>
                <w:szCs w:val="13"/>
                <w:color w:val="auto"/>
                <w:w w:val="99"/>
              </w:rPr>
              <w:t>Name of each national exchange and</w:t>
            </w:r>
          </w:p>
        </w:tc>
      </w:tr>
      <w:tr>
        <w:trPr>
          <w:trHeight w:val="20"/>
        </w:trPr>
        <w:tc>
          <w:tcPr>
            <w:tcW w:w="1120" w:type="dxa"/>
            <w:vAlign w:val="bottom"/>
            <w:tcBorders>
              <w:left w:val="single" w:sz="8" w:color="auto"/>
            </w:tcBorders>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r>
      <w:tr>
        <w:trPr>
          <w:trHeight w:val="142"/>
        </w:trPr>
        <w:tc>
          <w:tcPr>
            <w:tcW w:w="1120" w:type="dxa"/>
            <w:vAlign w:val="bottom"/>
            <w:tcBorders>
              <w:left w:val="single" w:sz="8" w:color="auto"/>
            </w:tcBorders>
          </w:tcPr>
          <w:p>
            <w:pPr>
              <w:spacing w:after="0"/>
              <w:rPr>
                <w:sz w:val="12"/>
                <w:szCs w:val="12"/>
                <w:color w:val="auto"/>
              </w:rPr>
            </w:pPr>
          </w:p>
        </w:tc>
        <w:tc>
          <w:tcPr>
            <w:tcW w:w="160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2920" w:type="dxa"/>
            <w:vAlign w:val="bottom"/>
            <w:tcBorders>
              <w:right w:val="single" w:sz="8" w:color="auto"/>
            </w:tcBorders>
            <w:gridSpan w:val="4"/>
          </w:tcPr>
          <w:p>
            <w:pPr>
              <w:jc w:val="center"/>
              <w:ind w:right="920"/>
              <w:spacing w:after="0" w:line="142" w:lineRule="exact"/>
              <w:rPr>
                <w:sz w:val="20"/>
                <w:szCs w:val="20"/>
                <w:color w:val="auto"/>
              </w:rPr>
            </w:pPr>
            <w:r>
              <w:rPr>
                <w:rFonts w:ascii="Times New Roman" w:cs="Times New Roman" w:eastAsia="Times New Roman" w:hAnsi="Times New Roman"/>
                <w:sz w:val="13"/>
                <w:szCs w:val="13"/>
                <w:color w:val="auto"/>
                <w:w w:val="99"/>
              </w:rPr>
              <w:t>principal U.S. market for the securities</w:t>
            </w:r>
          </w:p>
        </w:tc>
      </w:tr>
      <w:tr>
        <w:trPr>
          <w:trHeight w:val="34"/>
        </w:trPr>
        <w:tc>
          <w:tcPr>
            <w:tcW w:w="1120" w:type="dxa"/>
            <w:vAlign w:val="bottom"/>
            <w:tcBorders>
              <w:left w:val="single" w:sz="8" w:color="auto"/>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9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169"/>
        </w:trPr>
        <w:tc>
          <w:tcPr>
            <w:tcW w:w="38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color w:val="auto"/>
                <w:w w:val="98"/>
              </w:rPr>
              <w:t>Class A common stock, par value $0.0005 per share</w:t>
            </w:r>
          </w:p>
        </w:tc>
        <w:tc>
          <w:tcPr>
            <w:tcW w:w="142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CRWD</w:t>
            </w:r>
          </w:p>
        </w:tc>
        <w:tc>
          <w:tcPr>
            <w:tcW w:w="88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80" w:type="dxa"/>
            <w:vAlign w:val="bottom"/>
            <w:tcBorders>
              <w:right w:val="single" w:sz="8" w:color="auto"/>
            </w:tcBorders>
            <w:gridSpan w:val="3"/>
          </w:tcPr>
          <w:p>
            <w:pPr>
              <w:jc w:val="center"/>
              <w:ind w:right="960"/>
              <w:spacing w:after="0"/>
              <w:rPr>
                <w:sz w:val="20"/>
                <w:szCs w:val="20"/>
                <w:color w:val="auto"/>
              </w:rPr>
            </w:pPr>
            <w:r>
              <w:rPr>
                <w:rFonts w:ascii="Times New Roman" w:cs="Times New Roman" w:eastAsia="Times New Roman" w:hAnsi="Times New Roman"/>
                <w:sz w:val="13"/>
                <w:szCs w:val="13"/>
                <w:color w:val="auto"/>
              </w:rPr>
              <w:t>The Nasdaq Stock Market LLC</w:t>
            </w:r>
          </w:p>
        </w:tc>
      </w:tr>
      <w:tr>
        <w:trPr>
          <w:trHeight w:val="205"/>
        </w:trPr>
        <w:tc>
          <w:tcPr>
            <w:tcW w:w="1120" w:type="dxa"/>
            <w:vAlign w:val="bottom"/>
            <w:tcBorders>
              <w:lef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80" w:type="dxa"/>
            <w:vAlign w:val="bottom"/>
            <w:tcBorders>
              <w:right w:val="single" w:sz="8" w:color="auto"/>
            </w:tcBorders>
            <w:gridSpan w:val="3"/>
          </w:tcPr>
          <w:p>
            <w:pPr>
              <w:jc w:val="center"/>
              <w:ind w:right="960"/>
              <w:spacing w:after="0"/>
              <w:rPr>
                <w:sz w:val="20"/>
                <w:szCs w:val="20"/>
                <w:color w:val="auto"/>
              </w:rPr>
            </w:pPr>
            <w:r>
              <w:rPr>
                <w:rFonts w:ascii="Times New Roman" w:cs="Times New Roman" w:eastAsia="Times New Roman" w:hAnsi="Times New Roman"/>
                <w:sz w:val="13"/>
                <w:szCs w:val="13"/>
                <w:color w:val="auto"/>
                <w:w w:val="98"/>
              </w:rPr>
              <w:t>(Nasdaq Global Select Market)</w:t>
            </w: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bl>
    <w:p>
      <w:pPr>
        <w:spacing w:after="0" w:line="75"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___________________________________________________________________________________________________</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(888) 512-8906</w:t>
      </w:r>
    </w:p>
    <w:p>
      <w:pPr>
        <w:spacing w:after="0" w:line="14"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___________________________________________________________________________________________________</w:t>
      </w:r>
    </w:p>
    <w:p>
      <w:pPr>
        <w:ind w:right="380" w:firstLine="517"/>
        <w:spacing w:after="0" w:line="14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360" w:firstLine="517"/>
        <w:spacing w:after="0" w:line="15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p>
    <w:p>
      <w:pPr>
        <w:spacing w:after="0" w:line="111" w:lineRule="exact"/>
        <w:rPr>
          <w:sz w:val="24"/>
          <w:szCs w:val="24"/>
          <w:color w:val="auto"/>
        </w:rPr>
      </w:pPr>
    </w:p>
    <w:p>
      <w:pPr>
        <w:ind w:right="160" w:firstLine="517"/>
        <w:spacing w:after="0" w:line="260"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is a large accelerated filer, an accelerated filer, a non-accelerated filer, a smaller reporting company, or an emerging growth company. See the definitions of </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large accelerated filer,</w:t>
      </w:r>
      <w:r>
        <w:rPr>
          <w:rFonts w:ascii="Times New Roman" w:cs="Times New Roman" w:eastAsia="Times New Roman" w:hAnsi="Times New Roman"/>
          <w:sz w:val="14"/>
          <w:szCs w:val="14"/>
          <w:color w:val="auto"/>
        </w:rPr>
        <w:t>” “</w:t>
      </w:r>
      <w:r>
        <w:rPr>
          <w:rFonts w:ascii="Times New Roman" w:cs="Times New Roman" w:eastAsia="Times New Roman" w:hAnsi="Times New Roman"/>
          <w:sz w:val="13"/>
          <w:szCs w:val="13"/>
          <w:color w:val="auto"/>
        </w:rPr>
        <w:t>accelerated filer,</w:t>
      </w:r>
      <w:r>
        <w:rPr>
          <w:rFonts w:ascii="Times New Roman" w:cs="Times New Roman" w:eastAsia="Times New Roman" w:hAnsi="Times New Roman"/>
          <w:sz w:val="14"/>
          <w:szCs w:val="14"/>
          <w:color w:val="auto"/>
        </w:rPr>
        <w:t>” “</w:t>
      </w:r>
      <w:r>
        <w:rPr>
          <w:rFonts w:ascii="Times New Roman" w:cs="Times New Roman" w:eastAsia="Times New Roman" w:hAnsi="Times New Roman"/>
          <w:sz w:val="13"/>
          <w:szCs w:val="13"/>
          <w:color w:val="auto"/>
        </w:rPr>
        <w:t>smaller reporting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emerging growth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 xml:space="preserve"> in Rule 12b-2 of the Exchange Act.</w:t>
      </w:r>
    </w:p>
    <w:p>
      <w:pPr>
        <w:spacing w:after="0" w:line="1" w:lineRule="exact"/>
        <w:rPr>
          <w:sz w:val="24"/>
          <w:szCs w:val="24"/>
          <w:color w:val="auto"/>
        </w:rPr>
      </w:pPr>
    </w:p>
    <w:tbl>
      <w:tblPr>
        <w:tblLayout w:type="fixed"/>
        <w:tblInd w:w="1540" w:type="dxa"/>
        <w:tblCellMar>
          <w:top w:w="0" w:type="dxa"/>
          <w:left w:w="0" w:type="dxa"/>
          <w:bottom w:w="0" w:type="dxa"/>
          <w:right w:w="0" w:type="dxa"/>
        </w:tblCellMar>
      </w:tblPr>
      <w:tr>
        <w:trPr>
          <w:trHeight w:val="200"/>
        </w:trPr>
        <w:tc>
          <w:tcPr>
            <w:tcW w:w="3180" w:type="dxa"/>
            <w:vAlign w:val="bottom"/>
          </w:tcPr>
          <w:p>
            <w:pPr>
              <w:jc w:val="center"/>
              <w:ind w:right="715"/>
              <w:spacing w:after="0"/>
              <w:rPr>
                <w:sz w:val="20"/>
                <w:szCs w:val="20"/>
                <w:color w:val="auto"/>
              </w:rPr>
            </w:pPr>
            <w:r>
              <w:rPr>
                <w:rFonts w:ascii="Times New Roman" w:cs="Times New Roman" w:eastAsia="Times New Roman" w:hAnsi="Times New Roman"/>
                <w:sz w:val="13"/>
                <w:szCs w:val="13"/>
                <w:color w:val="auto"/>
              </w:rPr>
              <w:t>Large Accelerated Filer</w:t>
            </w:r>
          </w:p>
        </w:tc>
        <w:tc>
          <w:tcPr>
            <w:tcW w:w="196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auto"/>
                <w:w w:val="97"/>
              </w:rPr>
              <w:t>Accelerated Filer</w:t>
            </w:r>
          </w:p>
        </w:tc>
        <w:tc>
          <w:tcPr>
            <w:tcW w:w="11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3180" w:type="dxa"/>
            <w:vAlign w:val="bottom"/>
          </w:tcPr>
          <w:p>
            <w:pPr>
              <w:jc w:val="center"/>
              <w:ind w:right="715"/>
              <w:spacing w:after="0"/>
              <w:rPr>
                <w:sz w:val="20"/>
                <w:szCs w:val="20"/>
                <w:color w:val="auto"/>
              </w:rPr>
            </w:pPr>
            <w:r>
              <w:rPr>
                <w:rFonts w:ascii="Times New Roman" w:cs="Times New Roman" w:eastAsia="Times New Roman" w:hAnsi="Times New Roman"/>
                <w:sz w:val="13"/>
                <w:szCs w:val="13"/>
                <w:color w:val="auto"/>
                <w:w w:val="99"/>
              </w:rPr>
              <w:t>Non-accelerated Filer</w:t>
            </w:r>
          </w:p>
        </w:tc>
        <w:tc>
          <w:tcPr>
            <w:tcW w:w="196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auto"/>
                <w:w w:val="98"/>
              </w:rPr>
              <w:t>Smaller reporting company</w:t>
            </w:r>
          </w:p>
        </w:tc>
        <w:tc>
          <w:tcPr>
            <w:tcW w:w="11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5"/>
        </w:trPr>
        <w:tc>
          <w:tcPr>
            <w:tcW w:w="3180" w:type="dxa"/>
            <w:vAlign w:val="bottom"/>
          </w:tcPr>
          <w:p>
            <w:pPr>
              <w:jc w:val="center"/>
              <w:ind w:right="715"/>
              <w:spacing w:after="0"/>
              <w:rPr>
                <w:sz w:val="20"/>
                <w:szCs w:val="20"/>
                <w:color w:val="auto"/>
              </w:rPr>
            </w:pPr>
            <w:r>
              <w:rPr>
                <w:rFonts w:ascii="Times New Roman" w:cs="Times New Roman" w:eastAsia="Times New Roman" w:hAnsi="Times New Roman"/>
                <w:sz w:val="13"/>
                <w:szCs w:val="13"/>
                <w:color w:val="auto"/>
                <w:w w:val="99"/>
              </w:rPr>
              <w:t>(Do not check if a smaller reporting company)</w:t>
            </w:r>
          </w:p>
        </w:tc>
        <w:tc>
          <w:tcPr>
            <w:tcW w:w="1960" w:type="dxa"/>
            <w:vAlign w:val="bottom"/>
          </w:tcPr>
          <w:p>
            <w:pPr>
              <w:spacing w:after="0"/>
              <w:rPr>
                <w:sz w:val="19"/>
                <w:szCs w:val="19"/>
                <w:color w:val="auto"/>
              </w:rPr>
            </w:pPr>
          </w:p>
        </w:tc>
        <w:tc>
          <w:tcPr>
            <w:tcW w:w="34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auto"/>
                <w:w w:val="98"/>
              </w:rPr>
              <w:t>Emerging growth company</w:t>
            </w:r>
          </w:p>
        </w:tc>
        <w:tc>
          <w:tcPr>
            <w:tcW w:w="11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2" w:lineRule="exact"/>
        <w:rPr>
          <w:sz w:val="24"/>
          <w:szCs w:val="24"/>
          <w:color w:val="auto"/>
        </w:rPr>
      </w:pPr>
    </w:p>
    <w:p>
      <w:pPr>
        <w:ind w:right="340" w:firstLine="517"/>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3" w:lineRule="exact"/>
        <w:rPr>
          <w:sz w:val="24"/>
          <w:szCs w:val="24"/>
          <w:color w:val="auto"/>
        </w:rPr>
      </w:pPr>
    </w:p>
    <w:p>
      <w:pPr>
        <w:ind w:left="520"/>
        <w:spacing w:after="0" w:line="150" w:lineRule="exact"/>
        <w:tabs>
          <w:tab w:leader="none" w:pos="672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2"/>
          <w:szCs w:val="12"/>
          <w:color w:val="auto"/>
        </w:rPr>
        <w:t>No</w:t>
      </w:r>
      <w:r>
        <w:rPr>
          <w:rFonts w:ascii="MS PGothic" w:cs="MS PGothic" w:eastAsia="MS PGothic" w:hAnsi="MS PGothic"/>
          <w:sz w:val="14"/>
          <w:szCs w:val="14"/>
          <w:color w:val="auto"/>
        </w:rPr>
        <w:t xml:space="preserve">  ☑</w:t>
      </w:r>
    </w:p>
    <w:p>
      <w:pPr>
        <w:spacing w:after="0" w:line="104" w:lineRule="exact"/>
        <w:rPr>
          <w:sz w:val="24"/>
          <w:szCs w:val="24"/>
          <w:color w:val="auto"/>
        </w:rPr>
      </w:pPr>
    </w:p>
    <w:p>
      <w:pPr>
        <w:ind w:right="640" w:firstLine="517"/>
        <w:spacing w:after="0" w:line="270" w:lineRule="auto"/>
        <w:rPr>
          <w:sz w:val="20"/>
          <w:szCs w:val="20"/>
          <w:color w:val="auto"/>
        </w:rPr>
      </w:pPr>
      <w:r>
        <w:rPr>
          <w:rFonts w:ascii="Times New Roman" w:cs="Times New Roman" w:eastAsia="Times New Roman" w:hAnsi="Times New Roman"/>
          <w:sz w:val="13"/>
          <w:szCs w:val="13"/>
          <w:color w:val="auto"/>
        </w:rPr>
        <w:t>As of November 29, 2019, the number of shares of the registrant’s Class A common stock outstanding was 40,871,355, and the number of shares of the registrant’s Class B common stock outstanding was 164,673,516.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669925</wp:posOffset>
            </wp:positionV>
            <wp:extent cx="7299960"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960" cy="393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72675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33020</wp:posOffset>
            </wp:positionV>
            <wp:extent cx="726757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ectPr>
          <w:pgSz w:w="11900" w:h="16838" w:orient="portrait"/>
          <w:cols w:equalWidth="0" w:num="1">
            <w:col w:w="11460"/>
          </w:cols>
          <w:pgMar w:left="220" w:top="211" w:right="219" w:bottom="1440" w:gutter="0" w:footer="0" w:header="0"/>
        </w:sectPr>
      </w:pPr>
    </w:p>
    <w:bookmarkStart w:id="1" w:name="page2"/>
    <w:bookmarkEnd w:id="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Page No.</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60" w:type="dxa"/>
            <w:vAlign w:val="bottom"/>
            <w:gridSpan w:val="10"/>
          </w:tcPr>
          <w:p>
            <w:pPr>
              <w:jc w:val="center"/>
              <w:ind w:right="3460"/>
              <w:spacing w:after="0" w:line="160" w:lineRule="exact"/>
              <w:rPr>
                <w:rFonts w:ascii="Times New Roman" w:cs="Times New Roman" w:eastAsia="Times New Roman" w:hAnsi="Times New Roman"/>
                <w:sz w:val="14"/>
                <w:szCs w:val="14"/>
                <w:color w:val="0000FF"/>
              </w:rPr>
            </w:pPr>
            <w:hyperlink w:anchor="page4">
              <w:r>
                <w:rPr>
                  <w:rFonts w:ascii="Times New Roman" w:cs="Times New Roman" w:eastAsia="Times New Roman" w:hAnsi="Times New Roman"/>
                  <w:sz w:val="14"/>
                  <w:szCs w:val="14"/>
                  <w:color w:val="0000FF"/>
                </w:rPr>
                <w:t>PART I. FINANCIAL INFORMATION</w:t>
              </w:r>
            </w:hyperlink>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6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spacing w:after="0" w:line="151" w:lineRule="exact"/>
              <w:rPr>
                <w:rFonts w:ascii="Times New Roman" w:cs="Times New Roman" w:eastAsia="Times New Roman" w:hAnsi="Times New Roman"/>
                <w:sz w:val="14"/>
                <w:szCs w:val="14"/>
                <w:color w:val="0000FF"/>
              </w:rPr>
            </w:pPr>
            <w:hyperlink w:anchor="page5">
              <w:r>
                <w:rPr>
                  <w:rFonts w:ascii="Times New Roman" w:cs="Times New Roman" w:eastAsia="Times New Roman" w:hAnsi="Times New Roman"/>
                  <w:sz w:val="14"/>
                  <w:szCs w:val="14"/>
                  <w:color w:val="0000FF"/>
                </w:rPr>
                <w:t>Item 1.</w:t>
              </w:r>
            </w:hyperlink>
          </w:p>
        </w:tc>
        <w:tc>
          <w:tcPr>
            <w:tcW w:w="9320" w:type="dxa"/>
            <w:vAlign w:val="bottom"/>
            <w:gridSpan w:val="21"/>
            <w:shd w:val="clear" w:color="auto" w:fill="CCEEFF"/>
          </w:tcPr>
          <w:p>
            <w:pPr>
              <w:spacing w:after="0" w:line="151" w:lineRule="exact"/>
              <w:rPr>
                <w:rFonts w:ascii="Times New Roman" w:cs="Times New Roman" w:eastAsia="Times New Roman" w:hAnsi="Times New Roman"/>
                <w:sz w:val="14"/>
                <w:szCs w:val="14"/>
                <w:color w:val="0000FF"/>
              </w:rPr>
            </w:pPr>
            <w:hyperlink w:anchor="page5">
              <w:r>
                <w:rPr>
                  <w:rFonts w:ascii="Times New Roman" w:cs="Times New Roman" w:eastAsia="Times New Roman" w:hAnsi="Times New Roman"/>
                  <w:sz w:val="14"/>
                  <w:szCs w:val="14"/>
                  <w:color w:val="0000FF"/>
                </w:rPr>
                <w:t>Financial Statements (unaudited)</w:t>
              </w:r>
            </w:hyperlink>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20" w:type="dxa"/>
            <w:vAlign w:val="bottom"/>
            <w:gridSpan w:val="21"/>
          </w:tcPr>
          <w:p>
            <w:pPr>
              <w:spacing w:after="0" w:line="151" w:lineRule="exact"/>
              <w:rPr>
                <w:rFonts w:ascii="Times New Roman" w:cs="Times New Roman" w:eastAsia="Times New Roman" w:hAnsi="Times New Roman"/>
                <w:sz w:val="14"/>
                <w:szCs w:val="14"/>
                <w:color w:val="0000FF"/>
              </w:rPr>
            </w:pPr>
            <w:hyperlink w:anchor="page5">
              <w:r>
                <w:rPr>
                  <w:rFonts w:ascii="Times New Roman" w:cs="Times New Roman" w:eastAsia="Times New Roman" w:hAnsi="Times New Roman"/>
                  <w:sz w:val="14"/>
                  <w:szCs w:val="14"/>
                  <w:color w:val="0000FF"/>
                </w:rPr>
                <w:t>Condensed Consolidated Balance Sheets as of October 31, 2019 and January 31, 2019</w:t>
              </w:r>
            </w:hyperlink>
          </w:p>
        </w:tc>
        <w:tc>
          <w:tcPr>
            <w:tcW w:w="1120" w:type="dxa"/>
            <w:vAlign w:val="bottom"/>
          </w:tcPr>
          <w:p>
            <w:pPr>
              <w:jc w:val="center"/>
              <w:ind w:left="49"/>
              <w:spacing w:after="0" w:line="151" w:lineRule="exact"/>
              <w:rPr>
                <w:rFonts w:ascii="Times New Roman" w:cs="Times New Roman" w:eastAsia="Times New Roman" w:hAnsi="Times New Roman"/>
                <w:sz w:val="14"/>
                <w:szCs w:val="14"/>
                <w:color w:val="auto"/>
              </w:rPr>
            </w:pPr>
            <w:hyperlink w:anchor="page5">
              <w:r>
                <w:rPr>
                  <w:rFonts w:ascii="Times New Roman" w:cs="Times New Roman" w:eastAsia="Times New Roman" w:hAnsi="Times New Roman"/>
                  <w:sz w:val="14"/>
                  <w:szCs w:val="14"/>
                  <w:color w:val="auto"/>
                </w:rPr>
                <w:t>5</w:t>
              </w:r>
            </w:hyperlink>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320" w:type="dxa"/>
            <w:vAlign w:val="bottom"/>
            <w:gridSpan w:val="21"/>
            <w:shd w:val="clear" w:color="auto" w:fill="CCEEFF"/>
          </w:tcPr>
          <w:p>
            <w:pPr>
              <w:spacing w:after="0" w:line="151" w:lineRule="exact"/>
              <w:rPr>
                <w:rFonts w:ascii="Times New Roman" w:cs="Times New Roman" w:eastAsia="Times New Roman" w:hAnsi="Times New Roman"/>
                <w:sz w:val="14"/>
                <w:szCs w:val="14"/>
                <w:color w:val="0000FF"/>
              </w:rPr>
            </w:pPr>
            <w:hyperlink w:anchor="page5">
              <w:r>
                <w:rPr>
                  <w:rFonts w:ascii="Times New Roman" w:cs="Times New Roman" w:eastAsia="Times New Roman" w:hAnsi="Times New Roman"/>
                  <w:sz w:val="14"/>
                  <w:szCs w:val="14"/>
                  <w:color w:val="0000FF"/>
                </w:rPr>
                <w:t>Condensed Consolidated Statements of Operations for the Three and Nine Months Ended October 31, 2019 and October 31, 2018</w:t>
              </w:r>
            </w:hyperlink>
          </w:p>
        </w:tc>
        <w:tc>
          <w:tcPr>
            <w:tcW w:w="1120" w:type="dxa"/>
            <w:vAlign w:val="bottom"/>
            <w:shd w:val="clear" w:color="auto" w:fill="CCEEFF"/>
          </w:tcPr>
          <w:p>
            <w:pPr>
              <w:jc w:val="center"/>
              <w:ind w:left="49"/>
              <w:spacing w:after="0" w:line="151" w:lineRule="exact"/>
              <w:rPr>
                <w:rFonts w:ascii="Times New Roman" w:cs="Times New Roman" w:eastAsia="Times New Roman" w:hAnsi="Times New Roman"/>
                <w:sz w:val="14"/>
                <w:szCs w:val="14"/>
                <w:color w:val="auto"/>
              </w:rPr>
            </w:pPr>
            <w:hyperlink w:anchor="page5">
              <w:r>
                <w:rPr>
                  <w:rFonts w:ascii="Times New Roman" w:cs="Times New Roman" w:eastAsia="Times New Roman" w:hAnsi="Times New Roman"/>
                  <w:sz w:val="14"/>
                  <w:szCs w:val="14"/>
                  <w:color w:val="auto"/>
                </w:rPr>
                <w:t>6</w:t>
              </w:r>
            </w:hyperlink>
          </w:p>
        </w:tc>
        <w:tc>
          <w:tcPr>
            <w:tcW w:w="0" w:type="dxa"/>
            <w:vAlign w:val="bottom"/>
          </w:tcPr>
          <w:p>
            <w:pPr>
              <w:spacing w:after="0"/>
              <w:rPr>
                <w:sz w:val="1"/>
                <w:szCs w:val="1"/>
                <w:color w:val="auto"/>
              </w:rPr>
            </w:pPr>
          </w:p>
        </w:tc>
      </w:tr>
      <w:tr>
        <w:trPr>
          <w:trHeight w:val="23"/>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20" w:type="dxa"/>
            <w:vAlign w:val="bottom"/>
            <w:gridSpan w:val="21"/>
          </w:tcPr>
          <w:p>
            <w:pPr>
              <w:spacing w:after="0" w:line="151" w:lineRule="exact"/>
              <w:rPr>
                <w:rFonts w:ascii="Times New Roman" w:cs="Times New Roman" w:eastAsia="Times New Roman" w:hAnsi="Times New Roman"/>
                <w:sz w:val="14"/>
                <w:szCs w:val="14"/>
                <w:color w:val="0000FF"/>
              </w:rPr>
            </w:pPr>
            <w:hyperlink w:anchor="page6">
              <w:r>
                <w:rPr>
                  <w:rFonts w:ascii="Times New Roman" w:cs="Times New Roman" w:eastAsia="Times New Roman" w:hAnsi="Times New Roman"/>
                  <w:sz w:val="14"/>
                  <w:szCs w:val="14"/>
                  <w:color w:val="0000FF"/>
                </w:rPr>
                <w:t>Condensed Consolidated Statements of Comprehensive Loss for the Three and Nine Months Ended October 31, 2019 and October 31, 2018</w:t>
              </w:r>
            </w:hyperlink>
          </w:p>
        </w:tc>
        <w:tc>
          <w:tcPr>
            <w:tcW w:w="1120" w:type="dxa"/>
            <w:vAlign w:val="bottom"/>
          </w:tcPr>
          <w:p>
            <w:pPr>
              <w:jc w:val="center"/>
              <w:ind w:left="49"/>
              <w:spacing w:after="0" w:line="151" w:lineRule="exact"/>
              <w:rPr>
                <w:rFonts w:ascii="Times New Roman" w:cs="Times New Roman" w:eastAsia="Times New Roman" w:hAnsi="Times New Roman"/>
                <w:sz w:val="14"/>
                <w:szCs w:val="14"/>
                <w:color w:val="auto"/>
              </w:rPr>
            </w:pPr>
            <w:hyperlink w:anchor="page6">
              <w:r>
                <w:rPr>
                  <w:rFonts w:ascii="Times New Roman" w:cs="Times New Roman" w:eastAsia="Times New Roman" w:hAnsi="Times New Roman"/>
                  <w:sz w:val="14"/>
                  <w:szCs w:val="14"/>
                  <w:color w:val="auto"/>
                </w:rPr>
                <w:t>6</w:t>
              </w:r>
            </w:hyperlink>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320" w:type="dxa"/>
            <w:vAlign w:val="bottom"/>
            <w:gridSpan w:val="21"/>
            <w:shd w:val="clear" w:color="auto" w:fill="CCEEFF"/>
          </w:tcPr>
          <w:p>
            <w:pPr>
              <w:spacing w:after="0" w:line="151" w:lineRule="exact"/>
              <w:rPr>
                <w:rFonts w:ascii="Times New Roman" w:cs="Times New Roman" w:eastAsia="Times New Roman" w:hAnsi="Times New Roman"/>
                <w:sz w:val="14"/>
                <w:szCs w:val="14"/>
                <w:color w:val="0000FF"/>
              </w:rPr>
            </w:pPr>
            <w:hyperlink w:anchor="page7">
              <w:r>
                <w:rPr>
                  <w:rFonts w:ascii="Times New Roman" w:cs="Times New Roman" w:eastAsia="Times New Roman" w:hAnsi="Times New Roman"/>
                  <w:sz w:val="14"/>
                  <w:szCs w:val="14"/>
                  <w:color w:val="0000FF"/>
                </w:rPr>
                <w:t>Condensed Consolidated Statements of Redeemable Convertible Preferred Stock and Stockholders’ Equity (Deficit) for the Three and Nine Months Ended</w:t>
              </w:r>
            </w:hyperlink>
          </w:p>
        </w:tc>
        <w:tc>
          <w:tcPr>
            <w:tcW w:w="1120" w:type="dxa"/>
            <w:vAlign w:val="bottom"/>
            <w:vMerge w:val="restart"/>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20"/>
        </w:trPr>
        <w:tc>
          <w:tcPr>
            <w:tcW w:w="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8900" w:type="dxa"/>
            <w:vAlign w:val="bottom"/>
            <w:tcBorders>
              <w:top w:val="single" w:sz="8" w:color="0000FF"/>
            </w:tcBorders>
            <w:gridSpan w:val="20"/>
            <w:shd w:val="clear" w:color="auto" w:fill="CCEEFF"/>
          </w:tcPr>
          <w:p>
            <w:pPr>
              <w:spacing w:after="0" w:line="110" w:lineRule="exact"/>
              <w:rPr>
                <w:rFonts w:ascii="Times New Roman" w:cs="Times New Roman" w:eastAsia="Times New Roman" w:hAnsi="Times New Roman"/>
                <w:sz w:val="12"/>
                <w:szCs w:val="12"/>
                <w:color w:val="0000FF"/>
              </w:rPr>
            </w:pPr>
            <w:hyperlink w:anchor="page7">
              <w:r>
                <w:rPr>
                  <w:rFonts w:ascii="Times New Roman" w:cs="Times New Roman" w:eastAsia="Times New Roman" w:hAnsi="Times New Roman"/>
                  <w:sz w:val="12"/>
                  <w:szCs w:val="12"/>
                  <w:color w:val="0000FF"/>
                </w:rPr>
                <w:t>October 31, 2019 and October 31, 2018</w:t>
              </w:r>
            </w:hyperlink>
          </w:p>
        </w:tc>
        <w:tc>
          <w:tcPr>
            <w:tcW w:w="42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20" w:type="dxa"/>
            <w:vAlign w:val="bottom"/>
            <w:gridSpan w:val="21"/>
          </w:tcPr>
          <w:p>
            <w:pPr>
              <w:spacing w:after="0" w:line="151" w:lineRule="exact"/>
              <w:rPr>
                <w:rFonts w:ascii="Times New Roman" w:cs="Times New Roman" w:eastAsia="Times New Roman" w:hAnsi="Times New Roman"/>
                <w:sz w:val="14"/>
                <w:szCs w:val="14"/>
                <w:color w:val="0000FF"/>
              </w:rPr>
            </w:pPr>
            <w:hyperlink w:anchor="page9">
              <w:r>
                <w:rPr>
                  <w:rFonts w:ascii="Times New Roman" w:cs="Times New Roman" w:eastAsia="Times New Roman" w:hAnsi="Times New Roman"/>
                  <w:sz w:val="14"/>
                  <w:szCs w:val="14"/>
                  <w:color w:val="0000FF"/>
                </w:rPr>
                <w:t>Condensed Consolidated Statements of Cash Flows for the Nine Months Ended October 31, 2019 and October 31, 2018</w:t>
              </w:r>
            </w:hyperlink>
          </w:p>
        </w:tc>
        <w:tc>
          <w:tcPr>
            <w:tcW w:w="1120" w:type="dxa"/>
            <w:vAlign w:val="bottom"/>
          </w:tcPr>
          <w:p>
            <w:pPr>
              <w:jc w:val="center"/>
              <w:ind w:left="49"/>
              <w:spacing w:after="0" w:line="151" w:lineRule="exact"/>
              <w:rPr>
                <w:rFonts w:ascii="Times New Roman" w:cs="Times New Roman" w:eastAsia="Times New Roman" w:hAnsi="Times New Roman"/>
                <w:sz w:val="14"/>
                <w:szCs w:val="14"/>
                <w:color w:val="auto"/>
              </w:rPr>
            </w:pPr>
            <w:hyperlink w:anchor="page9">
              <w:r>
                <w:rPr>
                  <w:rFonts w:ascii="Times New Roman" w:cs="Times New Roman" w:eastAsia="Times New Roman" w:hAnsi="Times New Roman"/>
                  <w:sz w:val="14"/>
                  <w:szCs w:val="14"/>
                  <w:color w:val="auto"/>
                </w:rPr>
                <w:t>10</w:t>
              </w:r>
            </w:hyperlink>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3200" w:type="dxa"/>
            <w:vAlign w:val="bottom"/>
            <w:tcBorders>
              <w:bottom w:val="single" w:sz="8" w:color="0000FF"/>
            </w:tcBorders>
            <w:gridSpan w:val="9"/>
            <w:shd w:val="clear" w:color="auto" w:fill="CCEEFF"/>
          </w:tcPr>
          <w:p>
            <w:pPr>
              <w:spacing w:after="0" w:line="151" w:lineRule="exact"/>
              <w:rPr>
                <w:rFonts w:ascii="Times New Roman" w:cs="Times New Roman" w:eastAsia="Times New Roman" w:hAnsi="Times New Roman"/>
                <w:sz w:val="14"/>
                <w:szCs w:val="14"/>
                <w:color w:val="0000FF"/>
              </w:rPr>
            </w:pPr>
            <w:hyperlink w:anchor="page10">
              <w:r>
                <w:rPr>
                  <w:rFonts w:ascii="Times New Roman" w:cs="Times New Roman" w:eastAsia="Times New Roman" w:hAnsi="Times New Roman"/>
                  <w:sz w:val="14"/>
                  <w:szCs w:val="14"/>
                  <w:color w:val="0000FF"/>
                </w:rPr>
                <w:t>Notes to Condensed Consolidated Financial Statements</w:t>
              </w:r>
            </w:hyperlink>
          </w:p>
        </w:tc>
        <w:tc>
          <w:tcPr>
            <w:tcW w:w="6120" w:type="dxa"/>
            <w:vAlign w:val="bottom"/>
            <w:tcBorders>
              <w:bottom w:val="single" w:sz="8" w:color="CCEEFF"/>
            </w:tcBorders>
            <w:gridSpan w:val="12"/>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ind w:left="49"/>
              <w:spacing w:after="0" w:line="151" w:lineRule="exact"/>
              <w:rPr>
                <w:rFonts w:ascii="Times New Roman" w:cs="Times New Roman" w:eastAsia="Times New Roman" w:hAnsi="Times New Roman"/>
                <w:sz w:val="14"/>
                <w:szCs w:val="14"/>
                <w:color w:val="auto"/>
                <w:w w:val="85"/>
              </w:rPr>
            </w:pPr>
            <w:hyperlink w:anchor="page10">
              <w:r>
                <w:rPr>
                  <w:rFonts w:ascii="Times New Roman" w:cs="Times New Roman" w:eastAsia="Times New Roman" w:hAnsi="Times New Roman"/>
                  <w:sz w:val="14"/>
                  <w:szCs w:val="14"/>
                  <w:color w:val="auto"/>
                  <w:w w:val="85"/>
                </w:rPr>
                <w:t>11</w:t>
              </w:r>
            </w:hyperlink>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0" w:type="dxa"/>
            <w:vAlign w:val="bottom"/>
            <w:gridSpan w:val="3"/>
          </w:tcPr>
          <w:p>
            <w:pPr>
              <w:spacing w:after="0" w:line="151" w:lineRule="exact"/>
              <w:rPr>
                <w:rFonts w:ascii="Times New Roman" w:cs="Times New Roman" w:eastAsia="Times New Roman" w:hAnsi="Times New Roman"/>
                <w:sz w:val="14"/>
                <w:szCs w:val="14"/>
                <w:color w:val="0000FF"/>
              </w:rPr>
            </w:pPr>
            <w:hyperlink w:anchor="page39">
              <w:r>
                <w:rPr>
                  <w:rFonts w:ascii="Times New Roman" w:cs="Times New Roman" w:eastAsia="Times New Roman" w:hAnsi="Times New Roman"/>
                  <w:sz w:val="14"/>
                  <w:szCs w:val="14"/>
                  <w:color w:val="0000FF"/>
                </w:rPr>
                <w:t>Item 2.</w:t>
              </w:r>
            </w:hyperlink>
          </w:p>
        </w:tc>
        <w:tc>
          <w:tcPr>
            <w:tcW w:w="9320" w:type="dxa"/>
            <w:vAlign w:val="bottom"/>
            <w:gridSpan w:val="21"/>
          </w:tcPr>
          <w:p>
            <w:pPr>
              <w:spacing w:after="0" w:line="151" w:lineRule="exact"/>
              <w:rPr>
                <w:rFonts w:ascii="Times New Roman" w:cs="Times New Roman" w:eastAsia="Times New Roman" w:hAnsi="Times New Roman"/>
                <w:sz w:val="14"/>
                <w:szCs w:val="14"/>
                <w:color w:val="0000FF"/>
              </w:rPr>
            </w:pPr>
            <w:hyperlink w:anchor="page39">
              <w:r>
                <w:rPr>
                  <w:rFonts w:ascii="Times New Roman" w:cs="Times New Roman" w:eastAsia="Times New Roman" w:hAnsi="Times New Roman"/>
                  <w:sz w:val="14"/>
                  <w:szCs w:val="14"/>
                  <w:color w:val="0000FF"/>
                </w:rPr>
                <w:t>Management’s Discussion and Analysis of Financial Condition and Results of Operations</w:t>
              </w:r>
            </w:hyperlink>
          </w:p>
        </w:tc>
        <w:tc>
          <w:tcPr>
            <w:tcW w:w="1120" w:type="dxa"/>
            <w:vAlign w:val="bottom"/>
          </w:tcPr>
          <w:p>
            <w:pPr>
              <w:jc w:val="center"/>
              <w:ind w:left="49"/>
              <w:spacing w:after="0" w:line="151" w:lineRule="exact"/>
              <w:rPr>
                <w:rFonts w:ascii="Times New Roman" w:cs="Times New Roman" w:eastAsia="Times New Roman" w:hAnsi="Times New Roman"/>
                <w:sz w:val="14"/>
                <w:szCs w:val="14"/>
                <w:color w:val="auto"/>
              </w:rPr>
            </w:pPr>
            <w:hyperlink w:anchor="page39">
              <w:r>
                <w:rPr>
                  <w:rFonts w:ascii="Times New Roman" w:cs="Times New Roman" w:eastAsia="Times New Roman" w:hAnsi="Times New Roman"/>
                  <w:sz w:val="14"/>
                  <w:szCs w:val="14"/>
                  <w:color w:val="auto"/>
                </w:rPr>
                <w:t>40</w:t>
              </w:r>
            </w:hyperlink>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spacing w:after="0" w:line="151" w:lineRule="exact"/>
              <w:rPr>
                <w:rFonts w:ascii="Times New Roman" w:cs="Times New Roman" w:eastAsia="Times New Roman" w:hAnsi="Times New Roman"/>
                <w:sz w:val="14"/>
                <w:szCs w:val="14"/>
                <w:color w:val="0000FF"/>
              </w:rPr>
            </w:pPr>
            <w:hyperlink w:anchor="page60">
              <w:r>
                <w:rPr>
                  <w:rFonts w:ascii="Times New Roman" w:cs="Times New Roman" w:eastAsia="Times New Roman" w:hAnsi="Times New Roman"/>
                  <w:sz w:val="14"/>
                  <w:szCs w:val="14"/>
                  <w:color w:val="0000FF"/>
                </w:rPr>
                <w:t>Item 3.</w:t>
              </w:r>
            </w:hyperlink>
          </w:p>
        </w:tc>
        <w:tc>
          <w:tcPr>
            <w:tcW w:w="9320" w:type="dxa"/>
            <w:vAlign w:val="bottom"/>
            <w:gridSpan w:val="21"/>
            <w:shd w:val="clear" w:color="auto" w:fill="CCEEFF"/>
          </w:tcPr>
          <w:p>
            <w:pPr>
              <w:spacing w:after="0" w:line="151" w:lineRule="exact"/>
              <w:rPr>
                <w:rFonts w:ascii="Times New Roman" w:cs="Times New Roman" w:eastAsia="Times New Roman" w:hAnsi="Times New Roman"/>
                <w:sz w:val="14"/>
                <w:szCs w:val="14"/>
                <w:color w:val="0000FF"/>
              </w:rPr>
            </w:pPr>
            <w:hyperlink w:anchor="page60">
              <w:r>
                <w:rPr>
                  <w:rFonts w:ascii="Times New Roman" w:cs="Times New Roman" w:eastAsia="Times New Roman" w:hAnsi="Times New Roman"/>
                  <w:sz w:val="14"/>
                  <w:szCs w:val="14"/>
                  <w:color w:val="0000FF"/>
                </w:rPr>
                <w:t>Quantitative and Qualitative Disclosures about Market Risk</w:t>
              </w:r>
            </w:hyperlink>
          </w:p>
        </w:tc>
        <w:tc>
          <w:tcPr>
            <w:tcW w:w="1120" w:type="dxa"/>
            <w:vAlign w:val="bottom"/>
            <w:shd w:val="clear" w:color="auto" w:fill="CCEEFF"/>
          </w:tcPr>
          <w:p>
            <w:pPr>
              <w:jc w:val="center"/>
              <w:ind w:left="49"/>
              <w:spacing w:after="0" w:line="151" w:lineRule="exact"/>
              <w:rPr>
                <w:rFonts w:ascii="Times New Roman" w:cs="Times New Roman" w:eastAsia="Times New Roman" w:hAnsi="Times New Roman"/>
                <w:sz w:val="14"/>
                <w:szCs w:val="14"/>
                <w:color w:val="auto"/>
              </w:rPr>
            </w:pPr>
            <w:hyperlink w:anchor="page60">
              <w:r>
                <w:rPr>
                  <w:rFonts w:ascii="Times New Roman" w:cs="Times New Roman" w:eastAsia="Times New Roman" w:hAnsi="Times New Roman"/>
                  <w:sz w:val="14"/>
                  <w:szCs w:val="14"/>
                  <w:color w:val="auto"/>
                </w:rPr>
                <w:t>61</w:t>
              </w:r>
            </w:hyperlink>
          </w:p>
        </w:tc>
        <w:tc>
          <w:tcPr>
            <w:tcW w:w="0" w:type="dxa"/>
            <w:vAlign w:val="bottom"/>
          </w:tcPr>
          <w:p>
            <w:pPr>
              <w:spacing w:after="0"/>
              <w:rPr>
                <w:sz w:val="1"/>
                <w:szCs w:val="1"/>
                <w:color w:val="auto"/>
              </w:rPr>
            </w:pPr>
          </w:p>
        </w:tc>
      </w:tr>
      <w:tr>
        <w:trPr>
          <w:trHeight w:val="23"/>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1000" w:type="dxa"/>
            <w:vAlign w:val="bottom"/>
            <w:gridSpan w:val="3"/>
          </w:tcPr>
          <w:p>
            <w:pPr>
              <w:spacing w:after="0" w:line="151" w:lineRule="exact"/>
              <w:rPr>
                <w:rFonts w:ascii="Times New Roman" w:cs="Times New Roman" w:eastAsia="Times New Roman" w:hAnsi="Times New Roman"/>
                <w:sz w:val="14"/>
                <w:szCs w:val="14"/>
                <w:color w:val="0000FF"/>
              </w:rPr>
            </w:pPr>
            <w:hyperlink w:anchor="page61">
              <w:r>
                <w:rPr>
                  <w:rFonts w:ascii="Times New Roman" w:cs="Times New Roman" w:eastAsia="Times New Roman" w:hAnsi="Times New Roman"/>
                  <w:sz w:val="14"/>
                  <w:szCs w:val="14"/>
                  <w:color w:val="0000FF"/>
                </w:rPr>
                <w:t>Item 4.</w:t>
              </w:r>
            </w:hyperlink>
          </w:p>
        </w:tc>
        <w:tc>
          <w:tcPr>
            <w:tcW w:w="9320" w:type="dxa"/>
            <w:vAlign w:val="bottom"/>
            <w:gridSpan w:val="21"/>
          </w:tcPr>
          <w:p>
            <w:pPr>
              <w:spacing w:after="0" w:line="151" w:lineRule="exact"/>
              <w:rPr>
                <w:rFonts w:ascii="Times New Roman" w:cs="Times New Roman" w:eastAsia="Times New Roman" w:hAnsi="Times New Roman"/>
                <w:sz w:val="14"/>
                <w:szCs w:val="14"/>
                <w:color w:val="0000FF"/>
              </w:rPr>
            </w:pPr>
            <w:hyperlink w:anchor="page61">
              <w:r>
                <w:rPr>
                  <w:rFonts w:ascii="Times New Roman" w:cs="Times New Roman" w:eastAsia="Times New Roman" w:hAnsi="Times New Roman"/>
                  <w:sz w:val="14"/>
                  <w:szCs w:val="14"/>
                  <w:color w:val="0000FF"/>
                </w:rPr>
                <w:t>Controls and Procedures</w:t>
              </w:r>
            </w:hyperlink>
          </w:p>
        </w:tc>
        <w:tc>
          <w:tcPr>
            <w:tcW w:w="1120" w:type="dxa"/>
            <w:vAlign w:val="bottom"/>
          </w:tcPr>
          <w:p>
            <w:pPr>
              <w:jc w:val="center"/>
              <w:ind w:left="49"/>
              <w:spacing w:after="0" w:line="151" w:lineRule="exact"/>
              <w:rPr>
                <w:rFonts w:ascii="Times New Roman" w:cs="Times New Roman" w:eastAsia="Times New Roman" w:hAnsi="Times New Roman"/>
                <w:sz w:val="14"/>
                <w:szCs w:val="14"/>
                <w:color w:val="auto"/>
              </w:rPr>
            </w:pPr>
            <w:hyperlink w:anchor="page61">
              <w:r>
                <w:rPr>
                  <w:rFonts w:ascii="Times New Roman" w:cs="Times New Roman" w:eastAsia="Times New Roman" w:hAnsi="Times New Roman"/>
                  <w:sz w:val="14"/>
                  <w:szCs w:val="14"/>
                  <w:color w:val="auto"/>
                </w:rPr>
                <w:t>61</w:t>
              </w:r>
            </w:hyperlink>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20" w:type="dxa"/>
            <w:vAlign w:val="bottom"/>
            <w:gridSpan w:val="9"/>
          </w:tcPr>
          <w:p>
            <w:pPr>
              <w:jc w:val="center"/>
              <w:ind w:right="3580"/>
              <w:spacing w:after="0" w:line="151" w:lineRule="exact"/>
              <w:rPr>
                <w:rFonts w:ascii="Times New Roman" w:cs="Times New Roman" w:eastAsia="Times New Roman" w:hAnsi="Times New Roman"/>
                <w:sz w:val="14"/>
                <w:szCs w:val="14"/>
                <w:color w:val="0000FF"/>
              </w:rPr>
            </w:pPr>
            <w:hyperlink w:anchor="page62">
              <w:r>
                <w:rPr>
                  <w:rFonts w:ascii="Times New Roman" w:cs="Times New Roman" w:eastAsia="Times New Roman" w:hAnsi="Times New Roman"/>
                  <w:sz w:val="14"/>
                  <w:szCs w:val="14"/>
                  <w:color w:val="0000FF"/>
                </w:rPr>
                <w:t>PART II. OTHER INFORMATION</w:t>
              </w:r>
            </w:hyperlink>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0" w:type="dxa"/>
            <w:vAlign w:val="bottom"/>
            <w:gridSpan w:val="3"/>
          </w:tcPr>
          <w:p>
            <w:pPr>
              <w:spacing w:after="0" w:line="151" w:lineRule="exact"/>
              <w:rPr>
                <w:rFonts w:ascii="Times New Roman" w:cs="Times New Roman" w:eastAsia="Times New Roman" w:hAnsi="Times New Roman"/>
                <w:sz w:val="14"/>
                <w:szCs w:val="14"/>
                <w:color w:val="0000FF"/>
              </w:rPr>
            </w:pPr>
            <w:hyperlink w:anchor="page63">
              <w:r>
                <w:rPr>
                  <w:rFonts w:ascii="Times New Roman" w:cs="Times New Roman" w:eastAsia="Times New Roman" w:hAnsi="Times New Roman"/>
                  <w:sz w:val="14"/>
                  <w:szCs w:val="14"/>
                  <w:color w:val="0000FF"/>
                </w:rPr>
                <w:t>Item 1.</w:t>
              </w:r>
            </w:hyperlink>
          </w:p>
        </w:tc>
        <w:tc>
          <w:tcPr>
            <w:tcW w:w="9320" w:type="dxa"/>
            <w:vAlign w:val="bottom"/>
            <w:gridSpan w:val="21"/>
          </w:tcPr>
          <w:p>
            <w:pPr>
              <w:spacing w:after="0" w:line="151" w:lineRule="exact"/>
              <w:rPr>
                <w:rFonts w:ascii="Times New Roman" w:cs="Times New Roman" w:eastAsia="Times New Roman" w:hAnsi="Times New Roman"/>
                <w:sz w:val="14"/>
                <w:szCs w:val="14"/>
                <w:color w:val="0000FF"/>
              </w:rPr>
            </w:pPr>
            <w:hyperlink w:anchor="page63">
              <w:r>
                <w:rPr>
                  <w:rFonts w:ascii="Times New Roman" w:cs="Times New Roman" w:eastAsia="Times New Roman" w:hAnsi="Times New Roman"/>
                  <w:sz w:val="14"/>
                  <w:szCs w:val="14"/>
                  <w:color w:val="0000FF"/>
                </w:rPr>
                <w:t>Legal Proceedings</w:t>
              </w:r>
            </w:hyperlink>
          </w:p>
        </w:tc>
        <w:tc>
          <w:tcPr>
            <w:tcW w:w="1120" w:type="dxa"/>
            <w:vAlign w:val="bottom"/>
          </w:tcPr>
          <w:p>
            <w:pPr>
              <w:jc w:val="center"/>
              <w:ind w:left="49"/>
              <w:spacing w:after="0" w:line="151" w:lineRule="exact"/>
              <w:rPr>
                <w:rFonts w:ascii="Times New Roman" w:cs="Times New Roman" w:eastAsia="Times New Roman" w:hAnsi="Times New Roman"/>
                <w:sz w:val="14"/>
                <w:szCs w:val="14"/>
                <w:color w:val="auto"/>
              </w:rPr>
            </w:pPr>
            <w:hyperlink w:anchor="page63">
              <w:r>
                <w:rPr>
                  <w:rFonts w:ascii="Times New Roman" w:cs="Times New Roman" w:eastAsia="Times New Roman" w:hAnsi="Times New Roman"/>
                  <w:sz w:val="14"/>
                  <w:szCs w:val="14"/>
                  <w:color w:val="auto"/>
                </w:rPr>
                <w:t>63</w:t>
              </w:r>
            </w:hyperlink>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spacing w:after="0" w:line="151" w:lineRule="exact"/>
              <w:rPr>
                <w:rFonts w:ascii="Times New Roman" w:cs="Times New Roman" w:eastAsia="Times New Roman" w:hAnsi="Times New Roman"/>
                <w:sz w:val="14"/>
                <w:szCs w:val="14"/>
                <w:color w:val="0000FF"/>
              </w:rPr>
            </w:pPr>
            <w:hyperlink w:anchor="page63">
              <w:r>
                <w:rPr>
                  <w:rFonts w:ascii="Times New Roman" w:cs="Times New Roman" w:eastAsia="Times New Roman" w:hAnsi="Times New Roman"/>
                  <w:sz w:val="14"/>
                  <w:szCs w:val="14"/>
                  <w:color w:val="0000FF"/>
                </w:rPr>
                <w:t>Item 1A.</w:t>
              </w:r>
            </w:hyperlink>
          </w:p>
        </w:tc>
        <w:tc>
          <w:tcPr>
            <w:tcW w:w="480" w:type="dxa"/>
            <w:vAlign w:val="bottom"/>
            <w:shd w:val="clear" w:color="auto" w:fill="CCEEFF"/>
          </w:tcPr>
          <w:p>
            <w:pPr>
              <w:spacing w:after="0"/>
              <w:rPr>
                <w:sz w:val="13"/>
                <w:szCs w:val="13"/>
                <w:color w:val="auto"/>
              </w:rPr>
            </w:pPr>
          </w:p>
        </w:tc>
        <w:tc>
          <w:tcPr>
            <w:tcW w:w="9320" w:type="dxa"/>
            <w:vAlign w:val="bottom"/>
            <w:gridSpan w:val="21"/>
            <w:shd w:val="clear" w:color="auto" w:fill="CCEEFF"/>
          </w:tcPr>
          <w:p>
            <w:pPr>
              <w:spacing w:after="0" w:line="151" w:lineRule="exact"/>
              <w:rPr>
                <w:rFonts w:ascii="Times New Roman" w:cs="Times New Roman" w:eastAsia="Times New Roman" w:hAnsi="Times New Roman"/>
                <w:sz w:val="14"/>
                <w:szCs w:val="14"/>
                <w:color w:val="0000FF"/>
              </w:rPr>
            </w:pPr>
            <w:hyperlink w:anchor="page63">
              <w:r>
                <w:rPr>
                  <w:rFonts w:ascii="Times New Roman" w:cs="Times New Roman" w:eastAsia="Times New Roman" w:hAnsi="Times New Roman"/>
                  <w:sz w:val="14"/>
                  <w:szCs w:val="14"/>
                  <w:color w:val="0000FF"/>
                </w:rPr>
                <w:t>Risk Factors</w:t>
              </w:r>
            </w:hyperlink>
          </w:p>
        </w:tc>
        <w:tc>
          <w:tcPr>
            <w:tcW w:w="1120" w:type="dxa"/>
            <w:vAlign w:val="bottom"/>
            <w:shd w:val="clear" w:color="auto" w:fill="CCEEFF"/>
          </w:tcPr>
          <w:p>
            <w:pPr>
              <w:jc w:val="center"/>
              <w:ind w:left="49"/>
              <w:spacing w:after="0" w:line="151" w:lineRule="exact"/>
              <w:rPr>
                <w:rFonts w:ascii="Times New Roman" w:cs="Times New Roman" w:eastAsia="Times New Roman" w:hAnsi="Times New Roman"/>
                <w:sz w:val="14"/>
                <w:szCs w:val="14"/>
                <w:color w:val="auto"/>
              </w:rPr>
            </w:pPr>
            <w:hyperlink w:anchor="page63">
              <w:r>
                <w:rPr>
                  <w:rFonts w:ascii="Times New Roman" w:cs="Times New Roman" w:eastAsia="Times New Roman" w:hAnsi="Times New Roman"/>
                  <w:sz w:val="14"/>
                  <w:szCs w:val="14"/>
                  <w:color w:val="auto"/>
                </w:rPr>
                <w:t>63</w:t>
              </w:r>
            </w:hyperlink>
          </w:p>
        </w:tc>
        <w:tc>
          <w:tcPr>
            <w:tcW w:w="0" w:type="dxa"/>
            <w:vAlign w:val="bottom"/>
          </w:tcPr>
          <w:p>
            <w:pPr>
              <w:spacing w:after="0"/>
              <w:rPr>
                <w:sz w:val="1"/>
                <w:szCs w:val="1"/>
                <w:color w:val="auto"/>
              </w:rPr>
            </w:pPr>
          </w:p>
        </w:tc>
      </w:tr>
      <w:tr>
        <w:trPr>
          <w:trHeight w:val="23"/>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20" w:type="dxa"/>
            <w:vAlign w:val="bottom"/>
            <w:gridSpan w:val="2"/>
          </w:tcPr>
          <w:p>
            <w:pPr>
              <w:spacing w:after="0" w:line="151" w:lineRule="exact"/>
              <w:rPr>
                <w:rFonts w:ascii="Times New Roman" w:cs="Times New Roman" w:eastAsia="Times New Roman" w:hAnsi="Times New Roman"/>
                <w:sz w:val="14"/>
                <w:szCs w:val="14"/>
                <w:color w:val="0000FF"/>
              </w:rPr>
            </w:pPr>
            <w:hyperlink w:anchor="page92">
              <w:r>
                <w:rPr>
                  <w:rFonts w:ascii="Times New Roman" w:cs="Times New Roman" w:eastAsia="Times New Roman" w:hAnsi="Times New Roman"/>
                  <w:sz w:val="14"/>
                  <w:szCs w:val="14"/>
                  <w:color w:val="0000FF"/>
                </w:rPr>
                <w:t>Item 2.</w:t>
              </w:r>
            </w:hyperlink>
          </w:p>
        </w:tc>
        <w:tc>
          <w:tcPr>
            <w:tcW w:w="480" w:type="dxa"/>
            <w:vAlign w:val="bottom"/>
          </w:tcPr>
          <w:p>
            <w:pPr>
              <w:spacing w:after="0"/>
              <w:rPr>
                <w:sz w:val="13"/>
                <w:szCs w:val="13"/>
                <w:color w:val="auto"/>
              </w:rPr>
            </w:pPr>
          </w:p>
        </w:tc>
        <w:tc>
          <w:tcPr>
            <w:tcW w:w="9320" w:type="dxa"/>
            <w:vAlign w:val="bottom"/>
            <w:gridSpan w:val="21"/>
          </w:tcPr>
          <w:p>
            <w:pPr>
              <w:spacing w:after="0" w:line="151" w:lineRule="exact"/>
              <w:rPr>
                <w:rFonts w:ascii="Times New Roman" w:cs="Times New Roman" w:eastAsia="Times New Roman" w:hAnsi="Times New Roman"/>
                <w:sz w:val="14"/>
                <w:szCs w:val="14"/>
                <w:color w:val="0000FF"/>
              </w:rPr>
            </w:pPr>
            <w:hyperlink w:anchor="page92">
              <w:r>
                <w:rPr>
                  <w:rFonts w:ascii="Times New Roman" w:cs="Times New Roman" w:eastAsia="Times New Roman" w:hAnsi="Times New Roman"/>
                  <w:sz w:val="14"/>
                  <w:szCs w:val="14"/>
                  <w:color w:val="0000FF"/>
                </w:rPr>
                <w:t>Unregistered Shares of Equity Securities and Use of Proceeds</w:t>
              </w:r>
            </w:hyperlink>
          </w:p>
        </w:tc>
        <w:tc>
          <w:tcPr>
            <w:tcW w:w="1120" w:type="dxa"/>
            <w:vAlign w:val="bottom"/>
          </w:tcPr>
          <w:p>
            <w:pPr>
              <w:jc w:val="center"/>
              <w:ind w:left="49"/>
              <w:spacing w:after="0" w:line="151" w:lineRule="exact"/>
              <w:rPr>
                <w:rFonts w:ascii="Times New Roman" w:cs="Times New Roman" w:eastAsia="Times New Roman" w:hAnsi="Times New Roman"/>
                <w:sz w:val="14"/>
                <w:szCs w:val="14"/>
                <w:color w:val="auto"/>
              </w:rPr>
            </w:pPr>
            <w:hyperlink w:anchor="page92">
              <w:r>
                <w:rPr>
                  <w:rFonts w:ascii="Times New Roman" w:cs="Times New Roman" w:eastAsia="Times New Roman" w:hAnsi="Times New Roman"/>
                  <w:sz w:val="14"/>
                  <w:szCs w:val="14"/>
                  <w:color w:val="auto"/>
                </w:rPr>
                <w:t>92</w:t>
              </w:r>
            </w:hyperlink>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spacing w:after="0" w:line="151" w:lineRule="exact"/>
              <w:rPr>
                <w:rFonts w:ascii="Times New Roman" w:cs="Times New Roman" w:eastAsia="Times New Roman" w:hAnsi="Times New Roman"/>
                <w:sz w:val="14"/>
                <w:szCs w:val="14"/>
                <w:color w:val="0000FF"/>
              </w:rPr>
            </w:pPr>
            <w:hyperlink w:anchor="page92">
              <w:r>
                <w:rPr>
                  <w:rFonts w:ascii="Times New Roman" w:cs="Times New Roman" w:eastAsia="Times New Roman" w:hAnsi="Times New Roman"/>
                  <w:sz w:val="14"/>
                  <w:szCs w:val="14"/>
                  <w:color w:val="0000FF"/>
                </w:rPr>
                <w:t>Item 3.</w:t>
              </w:r>
            </w:hyperlink>
          </w:p>
        </w:tc>
        <w:tc>
          <w:tcPr>
            <w:tcW w:w="9320" w:type="dxa"/>
            <w:vAlign w:val="bottom"/>
            <w:gridSpan w:val="21"/>
            <w:shd w:val="clear" w:color="auto" w:fill="CCEEFF"/>
          </w:tcPr>
          <w:p>
            <w:pPr>
              <w:spacing w:after="0" w:line="151" w:lineRule="exact"/>
              <w:rPr>
                <w:rFonts w:ascii="Times New Roman" w:cs="Times New Roman" w:eastAsia="Times New Roman" w:hAnsi="Times New Roman"/>
                <w:sz w:val="14"/>
                <w:szCs w:val="14"/>
                <w:color w:val="0000FF"/>
              </w:rPr>
            </w:pPr>
            <w:hyperlink w:anchor="page92">
              <w:r>
                <w:rPr>
                  <w:rFonts w:ascii="Times New Roman" w:cs="Times New Roman" w:eastAsia="Times New Roman" w:hAnsi="Times New Roman"/>
                  <w:sz w:val="14"/>
                  <w:szCs w:val="14"/>
                  <w:color w:val="0000FF"/>
                </w:rPr>
                <w:t>Defaults Upon Senior Securities</w:t>
              </w:r>
            </w:hyperlink>
          </w:p>
        </w:tc>
        <w:tc>
          <w:tcPr>
            <w:tcW w:w="1120" w:type="dxa"/>
            <w:vAlign w:val="bottom"/>
            <w:shd w:val="clear" w:color="auto" w:fill="CCEEFF"/>
          </w:tcPr>
          <w:p>
            <w:pPr>
              <w:jc w:val="center"/>
              <w:ind w:left="49"/>
              <w:spacing w:after="0" w:line="151" w:lineRule="exact"/>
              <w:rPr>
                <w:rFonts w:ascii="Times New Roman" w:cs="Times New Roman" w:eastAsia="Times New Roman" w:hAnsi="Times New Roman"/>
                <w:sz w:val="14"/>
                <w:szCs w:val="14"/>
                <w:color w:val="auto"/>
              </w:rPr>
            </w:pPr>
            <w:hyperlink w:anchor="page92">
              <w:r>
                <w:rPr>
                  <w:rFonts w:ascii="Times New Roman" w:cs="Times New Roman" w:eastAsia="Times New Roman" w:hAnsi="Times New Roman"/>
                  <w:sz w:val="14"/>
                  <w:szCs w:val="14"/>
                  <w:color w:val="auto"/>
                </w:rPr>
                <w:t>93</w:t>
              </w:r>
            </w:hyperlink>
          </w:p>
        </w:tc>
        <w:tc>
          <w:tcPr>
            <w:tcW w:w="0" w:type="dxa"/>
            <w:vAlign w:val="bottom"/>
          </w:tcPr>
          <w:p>
            <w:pPr>
              <w:spacing w:after="0"/>
              <w:rPr>
                <w:sz w:val="1"/>
                <w:szCs w:val="1"/>
                <w:color w:val="auto"/>
              </w:rPr>
            </w:pPr>
          </w:p>
        </w:tc>
      </w:tr>
      <w:tr>
        <w:trPr>
          <w:trHeight w:val="23"/>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1000" w:type="dxa"/>
            <w:vAlign w:val="bottom"/>
            <w:gridSpan w:val="3"/>
          </w:tcPr>
          <w:p>
            <w:pPr>
              <w:spacing w:after="0" w:line="151" w:lineRule="exact"/>
              <w:rPr>
                <w:rFonts w:ascii="Times New Roman" w:cs="Times New Roman" w:eastAsia="Times New Roman" w:hAnsi="Times New Roman"/>
                <w:sz w:val="14"/>
                <w:szCs w:val="14"/>
                <w:color w:val="0000FF"/>
              </w:rPr>
            </w:pPr>
            <w:hyperlink w:anchor="page93">
              <w:r>
                <w:rPr>
                  <w:rFonts w:ascii="Times New Roman" w:cs="Times New Roman" w:eastAsia="Times New Roman" w:hAnsi="Times New Roman"/>
                  <w:sz w:val="14"/>
                  <w:szCs w:val="14"/>
                  <w:color w:val="0000FF"/>
                </w:rPr>
                <w:t>Item 4.</w:t>
              </w:r>
            </w:hyperlink>
          </w:p>
        </w:tc>
        <w:tc>
          <w:tcPr>
            <w:tcW w:w="9320" w:type="dxa"/>
            <w:vAlign w:val="bottom"/>
            <w:gridSpan w:val="21"/>
          </w:tcPr>
          <w:p>
            <w:pPr>
              <w:spacing w:after="0" w:line="151" w:lineRule="exact"/>
              <w:rPr>
                <w:rFonts w:ascii="Times New Roman" w:cs="Times New Roman" w:eastAsia="Times New Roman" w:hAnsi="Times New Roman"/>
                <w:sz w:val="14"/>
                <w:szCs w:val="14"/>
                <w:color w:val="0000FF"/>
              </w:rPr>
            </w:pPr>
            <w:hyperlink w:anchor="page93">
              <w:r>
                <w:rPr>
                  <w:rFonts w:ascii="Times New Roman" w:cs="Times New Roman" w:eastAsia="Times New Roman" w:hAnsi="Times New Roman"/>
                  <w:sz w:val="14"/>
                  <w:szCs w:val="14"/>
                  <w:color w:val="0000FF"/>
                </w:rPr>
                <w:t>Mine Safety Disclosures</w:t>
              </w:r>
            </w:hyperlink>
          </w:p>
        </w:tc>
        <w:tc>
          <w:tcPr>
            <w:tcW w:w="1120" w:type="dxa"/>
            <w:vAlign w:val="bottom"/>
          </w:tcPr>
          <w:p>
            <w:pPr>
              <w:jc w:val="center"/>
              <w:ind w:left="49"/>
              <w:spacing w:after="0" w:line="151" w:lineRule="exact"/>
              <w:rPr>
                <w:rFonts w:ascii="Times New Roman" w:cs="Times New Roman" w:eastAsia="Times New Roman" w:hAnsi="Times New Roman"/>
                <w:sz w:val="14"/>
                <w:szCs w:val="14"/>
                <w:color w:val="auto"/>
              </w:rPr>
            </w:pPr>
            <w:hyperlink w:anchor="page93">
              <w:r>
                <w:rPr>
                  <w:rFonts w:ascii="Times New Roman" w:cs="Times New Roman" w:eastAsia="Times New Roman" w:hAnsi="Times New Roman"/>
                  <w:sz w:val="14"/>
                  <w:szCs w:val="14"/>
                  <w:color w:val="auto"/>
                </w:rPr>
                <w:t>93</w:t>
              </w:r>
            </w:hyperlink>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spacing w:after="0" w:line="151" w:lineRule="exact"/>
              <w:rPr>
                <w:rFonts w:ascii="Times New Roman" w:cs="Times New Roman" w:eastAsia="Times New Roman" w:hAnsi="Times New Roman"/>
                <w:sz w:val="14"/>
                <w:szCs w:val="14"/>
                <w:color w:val="0000FF"/>
              </w:rPr>
            </w:pPr>
            <w:hyperlink w:anchor="page93">
              <w:r>
                <w:rPr>
                  <w:rFonts w:ascii="Times New Roman" w:cs="Times New Roman" w:eastAsia="Times New Roman" w:hAnsi="Times New Roman"/>
                  <w:sz w:val="14"/>
                  <w:szCs w:val="14"/>
                  <w:color w:val="0000FF"/>
                </w:rPr>
                <w:t>Item 5.</w:t>
              </w:r>
            </w:hyperlink>
          </w:p>
        </w:tc>
        <w:tc>
          <w:tcPr>
            <w:tcW w:w="9320" w:type="dxa"/>
            <w:vAlign w:val="bottom"/>
            <w:gridSpan w:val="21"/>
            <w:shd w:val="clear" w:color="auto" w:fill="CCEEFF"/>
          </w:tcPr>
          <w:p>
            <w:pPr>
              <w:spacing w:after="0" w:line="151" w:lineRule="exact"/>
              <w:rPr>
                <w:rFonts w:ascii="Times New Roman" w:cs="Times New Roman" w:eastAsia="Times New Roman" w:hAnsi="Times New Roman"/>
                <w:sz w:val="14"/>
                <w:szCs w:val="14"/>
                <w:color w:val="0000FF"/>
              </w:rPr>
            </w:pPr>
            <w:hyperlink w:anchor="page93">
              <w:r>
                <w:rPr>
                  <w:rFonts w:ascii="Times New Roman" w:cs="Times New Roman" w:eastAsia="Times New Roman" w:hAnsi="Times New Roman"/>
                  <w:sz w:val="14"/>
                  <w:szCs w:val="14"/>
                  <w:color w:val="0000FF"/>
                </w:rPr>
                <w:t>Other Information</w:t>
              </w:r>
            </w:hyperlink>
          </w:p>
        </w:tc>
        <w:tc>
          <w:tcPr>
            <w:tcW w:w="1120" w:type="dxa"/>
            <w:vAlign w:val="bottom"/>
            <w:shd w:val="clear" w:color="auto" w:fill="CCEEFF"/>
          </w:tcPr>
          <w:p>
            <w:pPr>
              <w:jc w:val="center"/>
              <w:ind w:left="49"/>
              <w:spacing w:after="0" w:line="151" w:lineRule="exact"/>
              <w:rPr>
                <w:rFonts w:ascii="Times New Roman" w:cs="Times New Roman" w:eastAsia="Times New Roman" w:hAnsi="Times New Roman"/>
                <w:sz w:val="14"/>
                <w:szCs w:val="14"/>
                <w:color w:val="auto"/>
              </w:rPr>
            </w:pPr>
            <w:hyperlink w:anchor="page93">
              <w:r>
                <w:rPr>
                  <w:rFonts w:ascii="Times New Roman" w:cs="Times New Roman" w:eastAsia="Times New Roman" w:hAnsi="Times New Roman"/>
                  <w:sz w:val="14"/>
                  <w:szCs w:val="14"/>
                  <w:color w:val="auto"/>
                </w:rPr>
                <w:t>93</w:t>
              </w:r>
            </w:hyperlink>
          </w:p>
        </w:tc>
        <w:tc>
          <w:tcPr>
            <w:tcW w:w="0" w:type="dxa"/>
            <w:vAlign w:val="bottom"/>
          </w:tcPr>
          <w:p>
            <w:pPr>
              <w:spacing w:after="0"/>
              <w:rPr>
                <w:sz w:val="1"/>
                <w:szCs w:val="1"/>
                <w:color w:val="auto"/>
              </w:rPr>
            </w:pPr>
          </w:p>
        </w:tc>
      </w:tr>
      <w:tr>
        <w:trPr>
          <w:trHeight w:val="23"/>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1000" w:type="dxa"/>
            <w:vAlign w:val="bottom"/>
            <w:gridSpan w:val="3"/>
          </w:tcPr>
          <w:p>
            <w:pPr>
              <w:spacing w:after="0" w:line="151" w:lineRule="exact"/>
              <w:rPr>
                <w:rFonts w:ascii="Times New Roman" w:cs="Times New Roman" w:eastAsia="Times New Roman" w:hAnsi="Times New Roman"/>
                <w:sz w:val="14"/>
                <w:szCs w:val="14"/>
                <w:color w:val="0000FF"/>
              </w:rPr>
            </w:pPr>
            <w:hyperlink w:anchor="page93">
              <w:r>
                <w:rPr>
                  <w:rFonts w:ascii="Times New Roman" w:cs="Times New Roman" w:eastAsia="Times New Roman" w:hAnsi="Times New Roman"/>
                  <w:sz w:val="14"/>
                  <w:szCs w:val="14"/>
                  <w:color w:val="0000FF"/>
                </w:rPr>
                <w:t>Item 6.</w:t>
              </w:r>
            </w:hyperlink>
          </w:p>
        </w:tc>
        <w:tc>
          <w:tcPr>
            <w:tcW w:w="9320" w:type="dxa"/>
            <w:vAlign w:val="bottom"/>
            <w:gridSpan w:val="21"/>
          </w:tcPr>
          <w:p>
            <w:pPr>
              <w:spacing w:after="0" w:line="151" w:lineRule="exact"/>
              <w:rPr>
                <w:rFonts w:ascii="Times New Roman" w:cs="Times New Roman" w:eastAsia="Times New Roman" w:hAnsi="Times New Roman"/>
                <w:sz w:val="14"/>
                <w:szCs w:val="14"/>
                <w:color w:val="0000FF"/>
              </w:rPr>
            </w:pPr>
            <w:hyperlink w:anchor="page93">
              <w:r>
                <w:rPr>
                  <w:rFonts w:ascii="Times New Roman" w:cs="Times New Roman" w:eastAsia="Times New Roman" w:hAnsi="Times New Roman"/>
                  <w:sz w:val="14"/>
                  <w:szCs w:val="14"/>
                  <w:color w:val="0000FF"/>
                </w:rPr>
                <w:t>Exhibits</w:t>
              </w:r>
            </w:hyperlink>
          </w:p>
        </w:tc>
        <w:tc>
          <w:tcPr>
            <w:tcW w:w="1120" w:type="dxa"/>
            <w:vAlign w:val="bottom"/>
          </w:tcPr>
          <w:p>
            <w:pPr>
              <w:jc w:val="center"/>
              <w:ind w:left="49"/>
              <w:spacing w:after="0" w:line="151" w:lineRule="exact"/>
              <w:rPr>
                <w:rFonts w:ascii="Times New Roman" w:cs="Times New Roman" w:eastAsia="Times New Roman" w:hAnsi="Times New Roman"/>
                <w:sz w:val="14"/>
                <w:szCs w:val="14"/>
                <w:color w:val="auto"/>
              </w:rPr>
            </w:pPr>
            <w:hyperlink w:anchor="page93">
              <w:r>
                <w:rPr>
                  <w:rFonts w:ascii="Times New Roman" w:cs="Times New Roman" w:eastAsia="Times New Roman" w:hAnsi="Times New Roman"/>
                  <w:sz w:val="14"/>
                  <w:szCs w:val="14"/>
                  <w:color w:val="auto"/>
                </w:rPr>
                <w:t>94</w:t>
              </w:r>
            </w:hyperlink>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320" w:type="dxa"/>
            <w:vAlign w:val="bottom"/>
            <w:gridSpan w:val="21"/>
            <w:shd w:val="clear" w:color="auto" w:fill="CCEEFF"/>
          </w:tcPr>
          <w:p>
            <w:pPr>
              <w:spacing w:after="0" w:line="151" w:lineRule="exact"/>
              <w:rPr>
                <w:rFonts w:ascii="Times New Roman" w:cs="Times New Roman" w:eastAsia="Times New Roman" w:hAnsi="Times New Roman"/>
                <w:sz w:val="14"/>
                <w:szCs w:val="14"/>
                <w:color w:val="0000FF"/>
              </w:rPr>
            </w:pPr>
            <w:hyperlink w:anchor="page94">
              <w:r>
                <w:rPr>
                  <w:rFonts w:ascii="Times New Roman" w:cs="Times New Roman" w:eastAsia="Times New Roman" w:hAnsi="Times New Roman"/>
                  <w:sz w:val="14"/>
                  <w:szCs w:val="14"/>
                  <w:color w:val="0000FF"/>
                </w:rPr>
                <w:t>Signatures</w:t>
              </w:r>
            </w:hyperlink>
          </w:p>
        </w:tc>
        <w:tc>
          <w:tcPr>
            <w:tcW w:w="1120" w:type="dxa"/>
            <w:vAlign w:val="bottom"/>
            <w:shd w:val="clear" w:color="auto" w:fill="CCEEFF"/>
          </w:tcPr>
          <w:p>
            <w:pPr>
              <w:jc w:val="center"/>
              <w:ind w:left="49"/>
              <w:spacing w:after="0" w:line="151" w:lineRule="exact"/>
              <w:rPr>
                <w:rFonts w:ascii="Times New Roman" w:cs="Times New Roman" w:eastAsia="Times New Roman" w:hAnsi="Times New Roman"/>
                <w:sz w:val="14"/>
                <w:szCs w:val="14"/>
                <w:color w:val="auto"/>
              </w:rPr>
            </w:pPr>
            <w:hyperlink w:anchor="page94">
              <w:r>
                <w:rPr>
                  <w:rFonts w:ascii="Times New Roman" w:cs="Times New Roman" w:eastAsia="Times New Roman" w:hAnsi="Times New Roman"/>
                  <w:sz w:val="14"/>
                  <w:szCs w:val="14"/>
                  <w:color w:val="auto"/>
                </w:rPr>
                <w:t>95</w:t>
              </w:r>
            </w:hyperlink>
          </w:p>
        </w:tc>
        <w:tc>
          <w:tcPr>
            <w:tcW w:w="0" w:type="dxa"/>
            <w:vAlign w:val="bottom"/>
          </w:tcPr>
          <w:p>
            <w:pPr>
              <w:spacing w:after="0"/>
              <w:rPr>
                <w:sz w:val="1"/>
                <w:szCs w:val="1"/>
                <w:color w:val="auto"/>
              </w:rPr>
            </w:pPr>
          </w:p>
        </w:tc>
      </w:tr>
      <w:tr>
        <w:trPr>
          <w:trHeight w:val="23"/>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64" w:lineRule="exact"/>
        <w:rPr>
          <w:sz w:val="20"/>
          <w:szCs w:val="20"/>
          <w:color w:val="auto"/>
        </w:rPr>
      </w:pPr>
    </w:p>
    <w:p>
      <w:pPr>
        <w:ind w:firstLine="517"/>
        <w:spacing w:after="0" w:line="238"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These forward-looking statements include, but are not limited to, statements concerning the following:</w:t>
      </w:r>
    </w:p>
    <w:p>
      <w:pPr>
        <w:spacing w:after="0" w:line="119" w:lineRule="exact"/>
        <w:rPr>
          <w:sz w:val="20"/>
          <w:szCs w:val="20"/>
          <w:color w:val="auto"/>
        </w:rPr>
      </w:pPr>
    </w:p>
    <w:p>
      <w:pPr>
        <w:ind w:left="1040" w:right="20" w:hanging="258"/>
        <w:spacing w:after="0" w:line="262" w:lineRule="auto"/>
        <w:tabs>
          <w:tab w:leader="none" w:pos="103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79"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acceptance of our cloud platform;</w:t>
      </w:r>
    </w:p>
    <w:p>
      <w:pPr>
        <w:spacing w:after="0" w:line="119"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increased competition in our markets and our ability to compete effectively;</w:t>
      </w:r>
    </w:p>
    <w:p>
      <w:pPr>
        <w:spacing w:after="0" w:line="119"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the security and availability of our cloud platform;</w:t>
      </w:r>
    </w:p>
    <w:p>
      <w:pPr>
        <w:spacing w:after="0" w:line="119"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expand our customer base, including by attracting new customers;</w:t>
      </w:r>
    </w:p>
    <w:p>
      <w:pPr>
        <w:spacing w:after="0" w:line="119"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new solutions, or enhancements to our existing solutions, and bring them to market in a timely manner;</w:t>
      </w:r>
    </w:p>
    <w:p>
      <w:pPr>
        <w:spacing w:after="0" w:line="119"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trends, growth rates and challenges in our business and in the markets in which we operate;</w:t>
      </w:r>
    </w:p>
    <w:p>
      <w:pPr>
        <w:spacing w:after="0" w:line="119"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plan and our ability to effectively manage our growth and associated investments;</w:t>
      </w:r>
    </w:p>
    <w:p>
      <w:pPr>
        <w:spacing w:after="0" w:line="119"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beliefs and objectives for future operations;</w:t>
      </w:r>
    </w:p>
    <w:p>
      <w:pPr>
        <w:spacing w:after="0" w:line="119"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relationships with third parties, including channel partners and technology alliance partners;</w:t>
      </w:r>
    </w:p>
    <w:p>
      <w:pPr>
        <w:spacing w:after="0" w:line="119"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protect and enhance our intellectual property rights;</w:t>
      </w:r>
    </w:p>
    <w:p>
      <w:pPr>
        <w:spacing w:after="0" w:line="119"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defend litigation brought against us;</w:t>
      </w:r>
    </w:p>
    <w:p>
      <w:pPr>
        <w:spacing w:after="0" w:line="119"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expand in our existing markets and into new markets;</w:t>
      </w:r>
    </w:p>
    <w:p>
      <w:pPr>
        <w:spacing w:after="0" w:line="119"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sufficiency of cash to meet cash needs for at least the next 12 months;</w:t>
      </w:r>
    </w:p>
    <w:p>
      <w:pPr>
        <w:spacing w:after="0" w:line="119"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internationally;</w:t>
      </w:r>
    </w:p>
    <w:p>
      <w:pPr>
        <w:spacing w:after="0" w:line="119"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laws and regulations that currently apply or become applicable to our business both in the United States and internationally;</w:t>
      </w:r>
    </w:p>
    <w:p>
      <w:pPr>
        <w:spacing w:after="0" w:line="119"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implement, maintain, and improve our internal control over financial reporting;</w:t>
      </w:r>
    </w:p>
    <w:p>
      <w:pPr>
        <w:spacing w:after="0" w:line="119"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attraction and retention of qualified employees and key personnel; and</w:t>
      </w:r>
    </w:p>
    <w:p>
      <w:pPr>
        <w:spacing w:after="0" w:line="119"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date of the expiration of the lock-up agreements entered into in connection with our initial public offering.</w:t>
      </w:r>
    </w:p>
    <w:p>
      <w:pPr>
        <w:spacing w:after="0" w:line="162" w:lineRule="exact"/>
        <w:rPr>
          <w:sz w:val="20"/>
          <w:szCs w:val="20"/>
          <w:color w:val="auto"/>
        </w:rPr>
      </w:pPr>
    </w:p>
    <w:p>
      <w:pPr>
        <w:ind w:right="60" w:firstLine="517"/>
        <w:spacing w:after="0" w:line="235" w:lineRule="auto"/>
        <w:rPr>
          <w:sz w:val="20"/>
          <w:szCs w:val="20"/>
          <w:color w:val="auto"/>
        </w:rPr>
      </w:pPr>
      <w:r>
        <w:rPr>
          <w:rFonts w:ascii="Times New Roman" w:cs="Times New Roman" w:eastAsia="Times New Roman" w:hAnsi="Times New Roman"/>
          <w:sz w:val="14"/>
          <w:szCs w:val="14"/>
          <w:color w:val="auto"/>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occurs,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517"/>
        <w:spacing w:after="0" w:line="235" w:lineRule="auto"/>
        <w:rPr>
          <w:sz w:val="20"/>
          <w:szCs w:val="20"/>
          <w:color w:val="auto"/>
        </w:rPr>
      </w:pPr>
      <w:r>
        <w:rPr>
          <w:rFonts w:ascii="Times New Roman" w:cs="Times New Roman" w:eastAsia="Times New Roman" w:hAnsi="Times New Roman"/>
          <w:sz w:val="14"/>
          <w:szCs w:val="14"/>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280"/>
          </w:cols>
          <w:pgMar w:left="220" w:top="125" w:right="39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CrowdStrike Holdings,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October 31,</w:t>
            </w:r>
          </w:p>
        </w:tc>
        <w:tc>
          <w:tcPr>
            <w:tcW w:w="220" w:type="dxa"/>
            <w:vAlign w:val="bottom"/>
          </w:tcPr>
          <w:p>
            <w:pPr>
              <w:spacing w:after="0"/>
              <w:rPr>
                <w:sz w:val="13"/>
                <w:szCs w:val="13"/>
                <w:color w:val="auto"/>
              </w:rPr>
            </w:pPr>
          </w:p>
        </w:tc>
        <w:tc>
          <w:tcPr>
            <w:tcW w:w="108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January 31,</w:t>
            </w:r>
          </w:p>
        </w:tc>
        <w:tc>
          <w:tcPr>
            <w:tcW w:w="0" w:type="dxa"/>
            <w:vAlign w:val="bottom"/>
          </w:tcPr>
          <w:p>
            <w:pPr>
              <w:spacing w:after="0"/>
              <w:rPr>
                <w:sz w:val="1"/>
                <w:szCs w:val="1"/>
                <w:color w:val="auto"/>
              </w:rPr>
            </w:pPr>
          </w:p>
        </w:tc>
      </w:tr>
      <w:tr>
        <w:trPr>
          <w:trHeight w:val="152"/>
        </w:trPr>
        <w:tc>
          <w:tcPr>
            <w:tcW w:w="874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2019</w:t>
            </w:r>
          </w:p>
        </w:tc>
        <w:tc>
          <w:tcPr>
            <w:tcW w:w="0" w:type="dxa"/>
            <w:vAlign w:val="bottom"/>
          </w:tcPr>
          <w:p>
            <w:pPr>
              <w:spacing w:after="0"/>
              <w:rPr>
                <w:sz w:val="1"/>
                <w:szCs w:val="1"/>
                <w:color w:val="auto"/>
              </w:rPr>
            </w:pPr>
          </w:p>
        </w:tc>
      </w:tr>
      <w:tr>
        <w:trPr>
          <w:trHeight w:val="14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743,605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88,408</w:t>
            </w:r>
          </w:p>
        </w:tc>
        <w:tc>
          <w:tcPr>
            <w:tcW w:w="0" w:type="dxa"/>
            <w:vAlign w:val="bottom"/>
          </w:tcPr>
          <w:p>
            <w:pPr>
              <w:spacing w:after="0"/>
              <w:rPr>
                <w:sz w:val="1"/>
                <w:szCs w:val="1"/>
                <w:color w:val="auto"/>
              </w:rPr>
            </w:pPr>
          </w:p>
        </w:tc>
      </w:tr>
      <w:tr>
        <w:trPr>
          <w:trHeight w:val="157"/>
        </w:trPr>
        <w:tc>
          <w:tcPr>
            <w:tcW w:w="8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Marketable securities</w:t>
            </w:r>
          </w:p>
        </w:tc>
        <w:tc>
          <w:tcPr>
            <w:tcW w:w="220" w:type="dxa"/>
            <w:vAlign w:val="bottom"/>
          </w:tcPr>
          <w:p>
            <w:pPr>
              <w:spacing w:after="0"/>
              <w:rPr>
                <w:sz w:val="13"/>
                <w:szCs w:val="13"/>
                <w:color w:val="auto"/>
              </w:rPr>
            </w:pP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90,083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103,247</w:t>
            </w:r>
          </w:p>
        </w:tc>
        <w:tc>
          <w:tcPr>
            <w:tcW w:w="0" w:type="dxa"/>
            <w:vAlign w:val="bottom"/>
          </w:tcPr>
          <w:p>
            <w:pPr>
              <w:spacing w:after="0"/>
              <w:rPr>
                <w:sz w:val="1"/>
                <w:szCs w:val="1"/>
                <w:color w:val="auto"/>
              </w:rPr>
            </w:pPr>
          </w:p>
        </w:tc>
      </w:tr>
      <w:tr>
        <w:trPr>
          <w:trHeight w:val="166"/>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Accounts receivable, net of allowance for doubtful accounts of $1.4 million and $1.0 million as of October 31, 2019 and January 31, 2019, respectively</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145,694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92,476</w:t>
            </w:r>
          </w:p>
        </w:tc>
        <w:tc>
          <w:tcPr>
            <w:tcW w:w="0" w:type="dxa"/>
            <w:vAlign w:val="bottom"/>
          </w:tcPr>
          <w:p>
            <w:pPr>
              <w:spacing w:after="0"/>
              <w:rPr>
                <w:sz w:val="1"/>
                <w:szCs w:val="1"/>
                <w:color w:val="auto"/>
              </w:rPr>
            </w:pPr>
          </w:p>
        </w:tc>
      </w:tr>
      <w:tr>
        <w:trPr>
          <w:trHeight w:val="157"/>
        </w:trPr>
        <w:tc>
          <w:tcPr>
            <w:tcW w:w="8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Deferred contract acquisition costs, current</w:t>
            </w:r>
          </w:p>
        </w:tc>
        <w:tc>
          <w:tcPr>
            <w:tcW w:w="220" w:type="dxa"/>
            <w:vAlign w:val="bottom"/>
          </w:tcPr>
          <w:p>
            <w:pPr>
              <w:spacing w:after="0"/>
              <w:rPr>
                <w:sz w:val="13"/>
                <w:szCs w:val="13"/>
                <w:color w:val="auto"/>
              </w:rPr>
            </w:pP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35,924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28,847</w:t>
            </w:r>
          </w:p>
        </w:tc>
        <w:tc>
          <w:tcPr>
            <w:tcW w:w="0" w:type="dxa"/>
            <w:vAlign w:val="bottom"/>
          </w:tcPr>
          <w:p>
            <w:pPr>
              <w:spacing w:after="0"/>
              <w:rPr>
                <w:sz w:val="1"/>
                <w:szCs w:val="1"/>
                <w:color w:val="auto"/>
              </w:rPr>
            </w:pPr>
          </w:p>
        </w:tc>
      </w:tr>
      <w:tr>
        <w:trPr>
          <w:trHeight w:val="166"/>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37,914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18,410</w:t>
            </w:r>
          </w:p>
        </w:tc>
        <w:tc>
          <w:tcPr>
            <w:tcW w:w="0" w:type="dxa"/>
            <w:vAlign w:val="bottom"/>
          </w:tcPr>
          <w:p>
            <w:pPr>
              <w:spacing w:after="0"/>
              <w:rPr>
                <w:sz w:val="1"/>
                <w:szCs w:val="1"/>
                <w:color w:val="auto"/>
              </w:rPr>
            </w:pPr>
          </w:p>
        </w:tc>
      </w:tr>
      <w:tr>
        <w:trPr>
          <w:trHeight w:val="148"/>
        </w:trPr>
        <w:tc>
          <w:tcPr>
            <w:tcW w:w="87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Total current assets</w:t>
            </w:r>
          </w:p>
        </w:tc>
        <w:tc>
          <w:tcPr>
            <w:tcW w:w="220" w:type="dxa"/>
            <w:vAlign w:val="bottom"/>
          </w:tcPr>
          <w:p>
            <w:pPr>
              <w:spacing w:after="0"/>
              <w:rPr>
                <w:sz w:val="12"/>
                <w:szCs w:val="12"/>
                <w:color w:val="auto"/>
              </w:rPr>
            </w:pP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1,053,220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331,388</w:t>
            </w:r>
          </w:p>
        </w:tc>
        <w:tc>
          <w:tcPr>
            <w:tcW w:w="0" w:type="dxa"/>
            <w:vAlign w:val="bottom"/>
          </w:tcPr>
          <w:p>
            <w:pPr>
              <w:spacing w:after="0"/>
              <w:rPr>
                <w:sz w:val="1"/>
                <w:szCs w:val="1"/>
                <w:color w:val="auto"/>
              </w:rPr>
            </w:pPr>
          </w:p>
        </w:tc>
      </w:tr>
      <w:tr>
        <w:trPr>
          <w:trHeight w:val="16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129,504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73,735</w:t>
            </w:r>
          </w:p>
        </w:tc>
        <w:tc>
          <w:tcPr>
            <w:tcW w:w="0" w:type="dxa"/>
            <w:vAlign w:val="bottom"/>
          </w:tcPr>
          <w:p>
            <w:pPr>
              <w:spacing w:after="0"/>
              <w:rPr>
                <w:sz w:val="1"/>
                <w:szCs w:val="1"/>
                <w:color w:val="auto"/>
              </w:rPr>
            </w:pPr>
          </w:p>
        </w:tc>
      </w:tr>
      <w:tr>
        <w:trPr>
          <w:trHeight w:val="157"/>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contract acquisition costs, noncurrent</w:t>
            </w:r>
          </w:p>
        </w:tc>
        <w:tc>
          <w:tcPr>
            <w:tcW w:w="220" w:type="dxa"/>
            <w:vAlign w:val="bottom"/>
          </w:tcPr>
          <w:p>
            <w:pPr>
              <w:spacing w:after="0"/>
              <w:rPr>
                <w:sz w:val="13"/>
                <w:szCs w:val="13"/>
                <w:color w:val="auto"/>
              </w:rPr>
            </w:pP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58,260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9,918</w:t>
            </w:r>
          </w:p>
        </w:tc>
        <w:tc>
          <w:tcPr>
            <w:tcW w:w="0" w:type="dxa"/>
            <w:vAlign w:val="bottom"/>
          </w:tcPr>
          <w:p>
            <w:pPr>
              <w:spacing w:after="0"/>
              <w:rPr>
                <w:sz w:val="1"/>
                <w:szCs w:val="1"/>
                <w:color w:val="auto"/>
              </w:rPr>
            </w:pPr>
          </w:p>
        </w:tc>
      </w:tr>
      <w:tr>
        <w:trPr>
          <w:trHeight w:val="16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7,794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7,947</w:t>
            </w:r>
          </w:p>
        </w:tc>
        <w:tc>
          <w:tcPr>
            <w:tcW w:w="0" w:type="dxa"/>
            <w:vAlign w:val="bottom"/>
          </w:tcPr>
          <w:p>
            <w:pPr>
              <w:spacing w:after="0"/>
              <w:rPr>
                <w:sz w:val="1"/>
                <w:szCs w:val="1"/>
                <w:color w:val="auto"/>
              </w:rPr>
            </w:pPr>
          </w:p>
        </w:tc>
      </w:tr>
      <w:tr>
        <w:trPr>
          <w:trHeight w:val="157"/>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Intangible assets, net</w:t>
            </w:r>
          </w:p>
        </w:tc>
        <w:tc>
          <w:tcPr>
            <w:tcW w:w="220" w:type="dxa"/>
            <w:vAlign w:val="bottom"/>
          </w:tcPr>
          <w:p>
            <w:pPr>
              <w:spacing w:after="0"/>
              <w:rPr>
                <w:sz w:val="13"/>
                <w:szCs w:val="13"/>
                <w:color w:val="auto"/>
              </w:rPr>
            </w:pP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637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1,048</w:t>
            </w:r>
          </w:p>
        </w:tc>
        <w:tc>
          <w:tcPr>
            <w:tcW w:w="0" w:type="dxa"/>
            <w:vAlign w:val="bottom"/>
          </w:tcPr>
          <w:p>
            <w:pPr>
              <w:spacing w:after="0"/>
              <w:rPr>
                <w:sz w:val="1"/>
                <w:szCs w:val="1"/>
                <w:color w:val="auto"/>
              </w:rPr>
            </w:pPr>
          </w:p>
        </w:tc>
      </w:tr>
      <w:tr>
        <w:trPr>
          <w:trHeight w:val="162"/>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6,639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9,183</w:t>
            </w:r>
          </w:p>
        </w:tc>
        <w:tc>
          <w:tcPr>
            <w:tcW w:w="0" w:type="dxa"/>
            <w:vAlign w:val="bottom"/>
          </w:tcPr>
          <w:p>
            <w:pPr>
              <w:spacing w:after="0"/>
              <w:rPr>
                <w:sz w:val="1"/>
                <w:szCs w:val="1"/>
                <w:color w:val="auto"/>
              </w:rPr>
            </w:pPr>
          </w:p>
        </w:tc>
      </w:tr>
      <w:tr>
        <w:trPr>
          <w:trHeight w:val="157"/>
        </w:trPr>
        <w:tc>
          <w:tcPr>
            <w:tcW w:w="87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Total assets</w:t>
            </w: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1,256,054</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433,219</w:t>
            </w:r>
          </w:p>
        </w:tc>
        <w:tc>
          <w:tcPr>
            <w:tcW w:w="0" w:type="dxa"/>
            <w:vAlign w:val="bottom"/>
          </w:tcPr>
          <w:p>
            <w:pPr>
              <w:spacing w:after="0"/>
              <w:rPr>
                <w:sz w:val="1"/>
                <w:szCs w:val="1"/>
                <w:color w:val="auto"/>
              </w:rPr>
            </w:pP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74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1"/>
                <w:szCs w:val="11"/>
                <w:b w:val="1"/>
                <w:bCs w:val="1"/>
                <w:color w:val="auto"/>
              </w:rPr>
              <w:t>Liabilities, Redeemable Convertible Preferred Stock, and Stockholders’ Equity (Deficit)</w:t>
            </w: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Accounts payable</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5,244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6,855</w:t>
            </w:r>
          </w:p>
        </w:tc>
        <w:tc>
          <w:tcPr>
            <w:tcW w:w="0" w:type="dxa"/>
            <w:vAlign w:val="bottom"/>
          </w:tcPr>
          <w:p>
            <w:pPr>
              <w:spacing w:after="0"/>
              <w:rPr>
                <w:sz w:val="1"/>
                <w:szCs w:val="1"/>
                <w:color w:val="auto"/>
              </w:rPr>
            </w:pPr>
          </w:p>
        </w:tc>
      </w:tr>
      <w:tr>
        <w:trPr>
          <w:trHeight w:val="157"/>
        </w:trPr>
        <w:tc>
          <w:tcPr>
            <w:tcW w:w="8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Accrued expenses</w:t>
            </w:r>
          </w:p>
        </w:tc>
        <w:tc>
          <w:tcPr>
            <w:tcW w:w="220" w:type="dxa"/>
            <w:vAlign w:val="bottom"/>
          </w:tcPr>
          <w:p>
            <w:pPr>
              <w:spacing w:after="0"/>
              <w:rPr>
                <w:sz w:val="13"/>
                <w:szCs w:val="13"/>
                <w:color w:val="auto"/>
              </w:rPr>
            </w:pP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29,460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32,541</w:t>
            </w:r>
          </w:p>
        </w:tc>
        <w:tc>
          <w:tcPr>
            <w:tcW w:w="0" w:type="dxa"/>
            <w:vAlign w:val="bottom"/>
          </w:tcPr>
          <w:p>
            <w:pPr>
              <w:spacing w:after="0"/>
              <w:rPr>
                <w:sz w:val="1"/>
                <w:szCs w:val="1"/>
                <w:color w:val="auto"/>
              </w:rPr>
            </w:pPr>
          </w:p>
        </w:tc>
      </w:tr>
      <w:tr>
        <w:trPr>
          <w:trHeight w:val="166"/>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Accrued payroll and benefits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36,905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19,284</w:t>
            </w:r>
          </w:p>
        </w:tc>
        <w:tc>
          <w:tcPr>
            <w:tcW w:w="0" w:type="dxa"/>
            <w:vAlign w:val="bottom"/>
          </w:tcPr>
          <w:p>
            <w:pPr>
              <w:spacing w:after="0"/>
              <w:rPr>
                <w:sz w:val="1"/>
                <w:szCs w:val="1"/>
                <w:color w:val="auto"/>
              </w:rPr>
            </w:pPr>
          </w:p>
        </w:tc>
      </w:tr>
      <w:tr>
        <w:trPr>
          <w:trHeight w:val="157"/>
        </w:trPr>
        <w:tc>
          <w:tcPr>
            <w:tcW w:w="8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Deferred revenue</w:t>
            </w:r>
          </w:p>
        </w:tc>
        <w:tc>
          <w:tcPr>
            <w:tcW w:w="220" w:type="dxa"/>
            <w:vAlign w:val="bottom"/>
          </w:tcPr>
          <w:p>
            <w:pPr>
              <w:spacing w:after="0"/>
              <w:rPr>
                <w:sz w:val="13"/>
                <w:szCs w:val="13"/>
                <w:color w:val="auto"/>
              </w:rPr>
            </w:pP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335,801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218,700</w:t>
            </w:r>
          </w:p>
        </w:tc>
        <w:tc>
          <w:tcPr>
            <w:tcW w:w="0" w:type="dxa"/>
            <w:vAlign w:val="bottom"/>
          </w:tcPr>
          <w:p>
            <w:pPr>
              <w:spacing w:after="0"/>
              <w:rPr>
                <w:sz w:val="1"/>
                <w:szCs w:val="1"/>
                <w:color w:val="auto"/>
              </w:rPr>
            </w:pPr>
          </w:p>
        </w:tc>
      </w:tr>
      <w:tr>
        <w:trPr>
          <w:trHeight w:val="166"/>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8,194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4,040</w:t>
            </w:r>
          </w:p>
        </w:tc>
        <w:tc>
          <w:tcPr>
            <w:tcW w:w="0" w:type="dxa"/>
            <w:vAlign w:val="bottom"/>
          </w:tcPr>
          <w:p>
            <w:pPr>
              <w:spacing w:after="0"/>
              <w:rPr>
                <w:sz w:val="1"/>
                <w:szCs w:val="1"/>
                <w:color w:val="auto"/>
              </w:rPr>
            </w:pPr>
          </w:p>
        </w:tc>
      </w:tr>
      <w:tr>
        <w:trPr>
          <w:trHeight w:val="148"/>
        </w:trPr>
        <w:tc>
          <w:tcPr>
            <w:tcW w:w="87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20" w:type="dxa"/>
            <w:vAlign w:val="bottom"/>
          </w:tcPr>
          <w:p>
            <w:pPr>
              <w:spacing w:after="0"/>
              <w:rPr>
                <w:sz w:val="12"/>
                <w:szCs w:val="12"/>
                <w:color w:val="auto"/>
              </w:rPr>
            </w:pP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415,604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281,420</w:t>
            </w:r>
          </w:p>
        </w:tc>
        <w:tc>
          <w:tcPr>
            <w:tcW w:w="0" w:type="dxa"/>
            <w:vAlign w:val="bottom"/>
          </w:tcPr>
          <w:p>
            <w:pPr>
              <w:spacing w:after="0"/>
              <w:rPr>
                <w:sz w:val="1"/>
                <w:szCs w:val="1"/>
                <w:color w:val="auto"/>
              </w:rPr>
            </w:pPr>
          </w:p>
        </w:tc>
      </w:tr>
      <w:tr>
        <w:trPr>
          <w:trHeight w:val="16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revenue, noncurrent</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111,838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71,367</w:t>
            </w:r>
          </w:p>
        </w:tc>
        <w:tc>
          <w:tcPr>
            <w:tcW w:w="0" w:type="dxa"/>
            <w:vAlign w:val="bottom"/>
          </w:tcPr>
          <w:p>
            <w:pPr>
              <w:spacing w:after="0"/>
              <w:rPr>
                <w:sz w:val="1"/>
                <w:szCs w:val="1"/>
                <w:color w:val="auto"/>
              </w:rPr>
            </w:pPr>
          </w:p>
        </w:tc>
      </w:tr>
      <w:tr>
        <w:trPr>
          <w:trHeight w:val="157"/>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liabilities, noncurrent</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11,570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10,313</w:t>
            </w:r>
          </w:p>
        </w:tc>
        <w:tc>
          <w:tcPr>
            <w:tcW w:w="0" w:type="dxa"/>
            <w:vAlign w:val="bottom"/>
          </w:tcPr>
          <w:p>
            <w:pPr>
              <w:spacing w:after="0"/>
              <w:rPr>
                <w:sz w:val="1"/>
                <w:szCs w:val="1"/>
                <w:color w:val="auto"/>
              </w:rPr>
            </w:pPr>
          </w:p>
        </w:tc>
      </w:tr>
      <w:tr>
        <w:trPr>
          <w:trHeight w:val="157"/>
        </w:trPr>
        <w:tc>
          <w:tcPr>
            <w:tcW w:w="8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liabilities</w:t>
            </w:r>
          </w:p>
        </w:tc>
        <w:tc>
          <w:tcPr>
            <w:tcW w:w="2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539,012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363,100</w:t>
            </w:r>
          </w:p>
        </w:tc>
        <w:tc>
          <w:tcPr>
            <w:tcW w:w="0" w:type="dxa"/>
            <w:vAlign w:val="bottom"/>
          </w:tcPr>
          <w:p>
            <w:pPr>
              <w:spacing w:after="0"/>
              <w:rPr>
                <w:sz w:val="1"/>
                <w:szCs w:val="1"/>
                <w:color w:val="auto"/>
              </w:rPr>
            </w:pPr>
          </w:p>
        </w:tc>
      </w:tr>
      <w:tr>
        <w:trPr>
          <w:trHeight w:val="142"/>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Commitments and contingencies </w:t>
            </w:r>
            <w:r>
              <w:rPr>
                <w:rFonts w:ascii="Times New Roman" w:cs="Times New Roman" w:eastAsia="Times New Roman" w:hAnsi="Times New Roman"/>
                <w:sz w:val="11"/>
                <w:szCs w:val="11"/>
                <w:i w:val="1"/>
                <w:iCs w:val="1"/>
                <w:color w:val="auto"/>
              </w:rPr>
              <w:t>(Note 11)</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Redeemable Convertible Preferred Stock</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7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Redeemable convertible preferred stock, $0.0005 par value; no shares and 137,419 shares authorized as of October 31, 2019 and January 31, 2019, respectively; no shares and 131,268</w:t>
            </w:r>
          </w:p>
        </w:tc>
        <w:tc>
          <w:tcPr>
            <w:tcW w:w="220" w:type="dxa"/>
            <w:vAlign w:val="bottom"/>
          </w:tcPr>
          <w:p>
            <w:pPr>
              <w:spacing w:after="0"/>
              <w:rPr>
                <w:sz w:val="9"/>
                <w:szCs w:val="9"/>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08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557,912</w:t>
            </w:r>
          </w:p>
        </w:tc>
        <w:tc>
          <w:tcPr>
            <w:tcW w:w="0" w:type="dxa"/>
            <w:vAlign w:val="bottom"/>
          </w:tcPr>
          <w:p>
            <w:pPr>
              <w:spacing w:after="0"/>
              <w:rPr>
                <w:sz w:val="1"/>
                <w:szCs w:val="1"/>
                <w:color w:val="auto"/>
              </w:rPr>
            </w:pPr>
          </w:p>
        </w:tc>
      </w:tr>
      <w:tr>
        <w:trPr>
          <w:trHeight w:val="150"/>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shares issued and outstanding as of October 31, 2019 and January 31, 2019, respectively; liquidation preference $0 and $545,000 as of October 31, 2019 and January 31, 2019, respectively</w:t>
            </w:r>
          </w:p>
        </w:tc>
        <w:tc>
          <w:tcPr>
            <w:tcW w:w="2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Stockholders’ Equity (Deficit)</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7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Preferred stock, $0.0005 par value; 100,000 shares and no shares authorized as of October 31, 2019 and January 31, 2019, respectively; no shares issued and outstanding as of</w:t>
            </w:r>
          </w:p>
        </w:tc>
        <w:tc>
          <w:tcPr>
            <w:tcW w:w="220" w:type="dxa"/>
            <w:vAlign w:val="bottom"/>
          </w:tcPr>
          <w:p>
            <w:pPr>
              <w:spacing w:after="0"/>
              <w:rPr>
                <w:sz w:val="9"/>
                <w:szCs w:val="9"/>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08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0"/>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October 31, 2019 and January 31, 2019, respectively</w:t>
            </w:r>
          </w:p>
        </w:tc>
        <w:tc>
          <w:tcPr>
            <w:tcW w:w="2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Common stock, $0.0005 par value, no shares authorized, issued, or outstanding as of October 31, 2019; 220,000 shares authorized and 47,421 issued and outstanding as of January 31, 2019</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08"/>
        </w:trPr>
        <w:tc>
          <w:tcPr>
            <w:tcW w:w="87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Class A common stock, $0.0005 par value; 2,000,000 shares and no shares authorized as of October 31, 2019 and January 31, 2019, respectively; 20,761 shares, and no shares issued and</w:t>
            </w: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7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outstanding as of October 31, 2019 and January 31, 2019, respectively; Class B common stock, $0.0005 par value; 300,000 shares and no shares authorized as of October 31, 2019 and</w:t>
            </w:r>
          </w:p>
        </w:tc>
        <w:tc>
          <w:tcPr>
            <w:tcW w:w="220" w:type="dxa"/>
            <w:vAlign w:val="bottom"/>
          </w:tcPr>
          <w:p>
            <w:pPr>
              <w:spacing w:after="0"/>
              <w:rPr>
                <w:sz w:val="9"/>
                <w:szCs w:val="9"/>
                <w:color w:val="auto"/>
              </w:rPr>
            </w:pPr>
          </w:p>
        </w:tc>
        <w:tc>
          <w:tcPr>
            <w:tcW w:w="110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0"/>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January 31, 2019, respectively; 184,718 shares, and no shares issued and outstanding as of October 31, 2019 and January 31, 2019, respectively</w:t>
            </w: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1,326,116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31,211</w:t>
            </w:r>
          </w:p>
        </w:tc>
        <w:tc>
          <w:tcPr>
            <w:tcW w:w="0" w:type="dxa"/>
            <w:vAlign w:val="bottom"/>
          </w:tcPr>
          <w:p>
            <w:pPr>
              <w:spacing w:after="0"/>
              <w:rPr>
                <w:sz w:val="1"/>
                <w:szCs w:val="1"/>
                <w:color w:val="auto"/>
              </w:rPr>
            </w:pPr>
          </w:p>
        </w:tc>
      </w:tr>
      <w:tr>
        <w:trPr>
          <w:trHeight w:val="157"/>
        </w:trPr>
        <w:tc>
          <w:tcPr>
            <w:tcW w:w="8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Accumulated deficit</w:t>
            </w:r>
          </w:p>
        </w:tc>
        <w:tc>
          <w:tcPr>
            <w:tcW w:w="2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(609,079)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(519,126)</w:t>
            </w:r>
          </w:p>
        </w:tc>
        <w:tc>
          <w:tcPr>
            <w:tcW w:w="0" w:type="dxa"/>
            <w:vAlign w:val="bottom"/>
          </w:tcPr>
          <w:p>
            <w:pPr>
              <w:spacing w:after="0"/>
              <w:rPr>
                <w:sz w:val="1"/>
                <w:szCs w:val="1"/>
                <w:color w:val="auto"/>
              </w:rPr>
            </w:pPr>
          </w:p>
        </w:tc>
      </w:tr>
      <w:tr>
        <w:trPr>
          <w:trHeight w:val="166"/>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Accumulated other comprehensive income (loss)</w:t>
            </w: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98</w:t>
            </w:r>
          </w:p>
        </w:tc>
        <w:tc>
          <w:tcPr>
            <w:tcW w:w="0" w:type="dxa"/>
            <w:vAlign w:val="bottom"/>
          </w:tcPr>
          <w:p>
            <w:pPr>
              <w:spacing w:after="0"/>
              <w:rPr>
                <w:sz w:val="1"/>
                <w:szCs w:val="1"/>
                <w:color w:val="auto"/>
              </w:rPr>
            </w:pPr>
          </w:p>
        </w:tc>
      </w:tr>
      <w:tr>
        <w:trPr>
          <w:trHeight w:val="148"/>
        </w:trPr>
        <w:tc>
          <w:tcPr>
            <w:tcW w:w="87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Total stockholders’ equity (deficit)</w:t>
            </w: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717,042</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(487,793)</w:t>
            </w:r>
          </w:p>
        </w:tc>
        <w:tc>
          <w:tcPr>
            <w:tcW w:w="0" w:type="dxa"/>
            <w:vAlign w:val="bottom"/>
          </w:tcPr>
          <w:p>
            <w:pPr>
              <w:spacing w:after="0"/>
              <w:rPr>
                <w:sz w:val="1"/>
                <w:szCs w:val="1"/>
                <w:color w:val="auto"/>
              </w:rPr>
            </w:pPr>
          </w:p>
        </w:tc>
      </w:tr>
      <w:tr>
        <w:trPr>
          <w:trHeight w:val="182"/>
        </w:trPr>
        <w:tc>
          <w:tcPr>
            <w:tcW w:w="8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liabilities, redeemable convertible preferred stock, and stockholders’ equity (deficit)</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1,256,054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433,219</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tcPr>
          <w:p>
            <w:pPr>
              <w:ind w:left="22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320" w:type="dxa"/>
            <w:vAlign w:val="bottom"/>
          </w:tcPr>
          <w:p>
            <w:pPr>
              <w:spacing w:after="0"/>
              <w:rPr>
                <w:sz w:val="13"/>
                <w:szCs w:val="13"/>
                <w:color w:val="auto"/>
              </w:rPr>
            </w:pPr>
          </w:p>
        </w:tc>
        <w:tc>
          <w:tcPr>
            <w:tcW w:w="2400" w:type="dxa"/>
            <w:vAlign w:val="bottom"/>
            <w:gridSpan w:val="4"/>
          </w:tcPr>
          <w:p>
            <w:pPr>
              <w:jc w:val="right"/>
              <w:ind w:right="489"/>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0" w:type="dxa"/>
            <w:vAlign w:val="bottom"/>
          </w:tcPr>
          <w:p>
            <w:pPr>
              <w:spacing w:after="0"/>
              <w:rPr>
                <w:sz w:val="1"/>
                <w:szCs w:val="1"/>
                <w:color w:val="auto"/>
              </w:rPr>
            </w:pPr>
          </w:p>
        </w:tc>
      </w:tr>
      <w:tr>
        <w:trPr>
          <w:trHeight w:val="152"/>
        </w:trPr>
        <w:tc>
          <w:tcPr>
            <w:tcW w:w="594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1"/>
                <w:szCs w:val="11"/>
                <w:b w:val="1"/>
                <w:bCs w:val="1"/>
                <w:color w:val="auto"/>
              </w:rPr>
              <w:t>2018</w:t>
            </w:r>
          </w:p>
        </w:tc>
        <w:tc>
          <w:tcPr>
            <w:tcW w:w="0" w:type="dxa"/>
            <w:vAlign w:val="bottom"/>
          </w:tcPr>
          <w:p>
            <w:pPr>
              <w:spacing w:after="0"/>
              <w:rPr>
                <w:sz w:val="1"/>
                <w:szCs w:val="1"/>
                <w:color w:val="auto"/>
              </w:rPr>
            </w:pPr>
          </w:p>
        </w:tc>
      </w:tr>
      <w:tr>
        <w:trPr>
          <w:trHeight w:val="18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Subscription</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114,221</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57,651</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297,787</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146,570</w:t>
            </w:r>
          </w:p>
        </w:tc>
        <w:tc>
          <w:tcPr>
            <w:tcW w:w="0" w:type="dxa"/>
            <w:vAlign w:val="bottom"/>
          </w:tcPr>
          <w:p>
            <w:pPr>
              <w:spacing w:after="0"/>
              <w:rPr>
                <w:sz w:val="1"/>
                <w:szCs w:val="1"/>
                <w:color w:val="auto"/>
              </w:rPr>
            </w:pPr>
          </w:p>
        </w:tc>
      </w:tr>
      <w:tr>
        <w:trPr>
          <w:trHeight w:val="23"/>
        </w:trPr>
        <w:tc>
          <w:tcPr>
            <w:tcW w:w="5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Professional services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10,898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8,728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31,517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22,799</w:t>
            </w:r>
          </w:p>
        </w:tc>
        <w:tc>
          <w:tcPr>
            <w:tcW w:w="0" w:type="dxa"/>
            <w:vAlign w:val="bottom"/>
          </w:tcPr>
          <w:p>
            <w:pPr>
              <w:spacing w:after="0"/>
              <w:rPr>
                <w:sz w:val="1"/>
                <w:szCs w:val="1"/>
                <w:color w:val="auto"/>
              </w:rPr>
            </w:pPr>
          </w:p>
        </w:tc>
      </w:tr>
      <w:tr>
        <w:trPr>
          <w:trHeight w:val="184"/>
        </w:trPr>
        <w:tc>
          <w:tcPr>
            <w:tcW w:w="5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125,119</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66,379</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329,304</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169,369</w:t>
            </w:r>
          </w:p>
        </w:tc>
        <w:tc>
          <w:tcPr>
            <w:tcW w:w="0" w:type="dxa"/>
            <w:vAlign w:val="bottom"/>
          </w:tcPr>
          <w:p>
            <w:pPr>
              <w:spacing w:after="0"/>
              <w:rPr>
                <w:sz w:val="1"/>
                <w:szCs w:val="1"/>
                <w:color w:val="auto"/>
              </w:rPr>
            </w:pPr>
          </w:p>
        </w:tc>
      </w:tr>
      <w:tr>
        <w:trPr>
          <w:trHeight w:val="23"/>
        </w:trPr>
        <w:tc>
          <w:tcPr>
            <w:tcW w:w="5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Subscription</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29,221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17,302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77,858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47,077</w:t>
            </w:r>
          </w:p>
        </w:tc>
        <w:tc>
          <w:tcPr>
            <w:tcW w:w="0" w:type="dxa"/>
            <w:vAlign w:val="bottom"/>
          </w:tcPr>
          <w:p>
            <w:pPr>
              <w:spacing w:after="0"/>
              <w:rPr>
                <w:sz w:val="1"/>
                <w:szCs w:val="1"/>
                <w:color w:val="auto"/>
              </w:rPr>
            </w:pPr>
          </w:p>
        </w:tc>
      </w:tr>
      <w:tr>
        <w:trPr>
          <w:trHeight w:val="193"/>
        </w:trPr>
        <w:tc>
          <w:tcPr>
            <w:tcW w:w="5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Professional services</w:t>
            </w:r>
          </w:p>
        </w:tc>
        <w:tc>
          <w:tcPr>
            <w:tcW w:w="30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8,134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4,972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20,353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13,166</w:t>
            </w:r>
          </w:p>
        </w:tc>
        <w:tc>
          <w:tcPr>
            <w:tcW w:w="0" w:type="dxa"/>
            <w:vAlign w:val="bottom"/>
          </w:tcPr>
          <w:p>
            <w:pPr>
              <w:spacing w:after="0"/>
              <w:rPr>
                <w:sz w:val="1"/>
                <w:szCs w:val="1"/>
                <w:color w:val="auto"/>
              </w:rPr>
            </w:pPr>
          </w:p>
        </w:tc>
      </w:tr>
      <w:tr>
        <w:trPr>
          <w:trHeight w:val="23"/>
        </w:trPr>
        <w:tc>
          <w:tcPr>
            <w:tcW w:w="5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5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cost of revenue</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37,355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22,274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98,211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60,243</w:t>
            </w: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87,764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44,105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231,093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109,126</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Sales and marketing</w:t>
            </w:r>
          </w:p>
        </w:tc>
        <w:tc>
          <w:tcPr>
            <w:tcW w:w="30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68,675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46,614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190,792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123,344</w:t>
            </w:r>
          </w:p>
        </w:tc>
        <w:tc>
          <w:tcPr>
            <w:tcW w:w="0" w:type="dxa"/>
            <w:vAlign w:val="bottom"/>
          </w:tcPr>
          <w:p>
            <w:pPr>
              <w:spacing w:after="0"/>
              <w:rPr>
                <w:sz w:val="1"/>
                <w:szCs w:val="1"/>
                <w:color w:val="auto"/>
              </w:rPr>
            </w:pPr>
          </w:p>
        </w:tc>
      </w:tr>
      <w:tr>
        <w:trPr>
          <w:trHeight w:val="23"/>
        </w:trPr>
        <w:tc>
          <w:tcPr>
            <w:tcW w:w="5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35,992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25,968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91,497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62,546</w:t>
            </w:r>
          </w:p>
        </w:tc>
        <w:tc>
          <w:tcPr>
            <w:tcW w:w="0" w:type="dxa"/>
            <w:vAlign w:val="bottom"/>
          </w:tcPr>
          <w:p>
            <w:pPr>
              <w:spacing w:after="0"/>
              <w:rPr>
                <w:sz w:val="1"/>
                <w:szCs w:val="1"/>
                <w:color w:val="auto"/>
              </w:rPr>
            </w:pPr>
          </w:p>
        </w:tc>
      </w:tr>
      <w:tr>
        <w:trPr>
          <w:trHeight w:val="193"/>
        </w:trPr>
        <w:tc>
          <w:tcPr>
            <w:tcW w:w="5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21,615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13,614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63,737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28,868</w:t>
            </w:r>
          </w:p>
        </w:tc>
        <w:tc>
          <w:tcPr>
            <w:tcW w:w="0" w:type="dxa"/>
            <w:vAlign w:val="bottom"/>
          </w:tcPr>
          <w:p>
            <w:pPr>
              <w:spacing w:after="0"/>
              <w:rPr>
                <w:sz w:val="1"/>
                <w:szCs w:val="1"/>
                <w:color w:val="auto"/>
              </w:rPr>
            </w:pPr>
          </w:p>
        </w:tc>
      </w:tr>
      <w:tr>
        <w:trPr>
          <w:trHeight w:val="23"/>
        </w:trPr>
        <w:tc>
          <w:tcPr>
            <w:tcW w:w="5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5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126,282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86,196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346,026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214,758</w:t>
            </w: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(38,518)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(42,091)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(114,933)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(105,632)</w:t>
            </w:r>
          </w:p>
        </w:tc>
        <w:tc>
          <w:tcPr>
            <w:tcW w:w="0" w:type="dxa"/>
            <w:vAlign w:val="bottom"/>
          </w:tcPr>
          <w:p>
            <w:pPr>
              <w:spacing w:after="0"/>
              <w:rPr>
                <w:sz w:val="1"/>
                <w:szCs w:val="1"/>
                <w:color w:val="auto"/>
              </w:rPr>
            </w:pPr>
          </w:p>
        </w:tc>
      </w:tr>
      <w:tr>
        <w:trPr>
          <w:trHeight w:val="193"/>
        </w:trPr>
        <w:tc>
          <w:tcPr>
            <w:tcW w:w="5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16"/>
                <w:szCs w:val="16"/>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23"/>
        </w:trPr>
        <w:tc>
          <w:tcPr>
            <w:tcW w:w="5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3,579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3,523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(1,739)</w:t>
            </w: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provision for income taxes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(35,071)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(41,788)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(111,707)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(107,799)</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(1,664)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(1,018)</w:t>
            </w: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(35,505)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(42,323)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(113,371)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(108,817)</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attributable to Class A and Class B common stockholders, basic and diluted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(0.93)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(0.89)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used in computing net loss per share attributable to Class A and Class B</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204,096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45,287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128,009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44,344</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stockholders, basic and diluted</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Loss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tcPr>
          <w:p>
            <w:pPr>
              <w:ind w:left="22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320" w:type="dxa"/>
            <w:vAlign w:val="bottom"/>
          </w:tcPr>
          <w:p>
            <w:pPr>
              <w:spacing w:after="0"/>
              <w:rPr>
                <w:sz w:val="13"/>
                <w:szCs w:val="13"/>
                <w:color w:val="auto"/>
              </w:rPr>
            </w:pPr>
          </w:p>
        </w:tc>
        <w:tc>
          <w:tcPr>
            <w:tcW w:w="2400" w:type="dxa"/>
            <w:vAlign w:val="bottom"/>
            <w:gridSpan w:val="4"/>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r>
      <w:tr>
        <w:trPr>
          <w:trHeight w:val="152"/>
        </w:trPr>
        <w:tc>
          <w:tcPr>
            <w:tcW w:w="594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89"/>
        </w:trPr>
        <w:tc>
          <w:tcPr>
            <w:tcW w:w="5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6"/>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(35,505)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(42,323)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(113,371)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(108,817)</w:t>
            </w:r>
          </w:p>
        </w:tc>
      </w:tr>
      <w:tr>
        <w:trPr>
          <w:trHeight w:val="193"/>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5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(1,105)</w:t>
            </w:r>
          </w:p>
        </w:tc>
      </w:tr>
      <w:tr>
        <w:trPr>
          <w:trHeight w:val="193"/>
        </w:trPr>
        <w:tc>
          <w:tcPr>
            <w:tcW w:w="5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Unrealized gain (loss) on available-for-sale securities, net of tax</w:t>
            </w:r>
          </w:p>
        </w:tc>
        <w:tc>
          <w:tcPr>
            <w:tcW w:w="300" w:type="dxa"/>
            <w:vAlign w:val="bottom"/>
          </w:tcPr>
          <w:p>
            <w:pPr>
              <w:spacing w:after="0"/>
              <w:rPr>
                <w:sz w:val="16"/>
                <w:szCs w:val="16"/>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(13)</w:t>
            </w:r>
          </w:p>
        </w:tc>
      </w:tr>
      <w:tr>
        <w:trPr>
          <w:trHeight w:val="23"/>
        </w:trPr>
        <w:tc>
          <w:tcPr>
            <w:tcW w:w="5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6"/>
        </w:trPr>
        <w:tc>
          <w:tcPr>
            <w:tcW w:w="5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(1,118)</w:t>
            </w:r>
          </w:p>
        </w:tc>
      </w:tr>
      <w:tr>
        <w:trPr>
          <w:trHeight w:val="206"/>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(35,073)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(42,749)</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(113,567)</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(109,935)</w:t>
            </w:r>
          </w:p>
        </w:tc>
      </w:tr>
      <w:tr>
        <w:trPr>
          <w:trHeight w:val="20"/>
        </w:trPr>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CrowdStrike Holdings,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Condensed Consolidated Statements of Redeemable Convertible Preferred Stock and Stockholders’ Equity (Deficit)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 October 31, 2019 and 2018</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40" w:type="dxa"/>
            <w:vAlign w:val="bottom"/>
          </w:tcPr>
          <w:p>
            <w:pPr>
              <w:spacing w:after="0"/>
              <w:rPr>
                <w:sz w:val="11"/>
                <w:szCs w:val="11"/>
                <w:color w:val="auto"/>
              </w:rPr>
            </w:pPr>
          </w:p>
        </w:tc>
        <w:tc>
          <w:tcPr>
            <w:tcW w:w="1920" w:type="dxa"/>
            <w:vAlign w:val="bottom"/>
            <w:tcBorders>
              <w:right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1920" w:type="dxa"/>
            <w:vAlign w:val="bottom"/>
            <w:tcBorders>
              <w:right w:val="single" w:sz="8" w:color="auto"/>
            </w:tcBorders>
            <w:gridSpan w:val="5"/>
            <w:vMerge w:val="restart"/>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840" w:type="dxa"/>
            <w:vAlign w:val="bottom"/>
          </w:tcPr>
          <w:p>
            <w:pPr>
              <w:spacing w:after="0"/>
              <w:rPr>
                <w:sz w:val="5"/>
                <w:szCs w:val="5"/>
                <w:color w:val="auto"/>
              </w:rPr>
            </w:pPr>
          </w:p>
        </w:tc>
        <w:tc>
          <w:tcPr>
            <w:tcW w:w="1920" w:type="dxa"/>
            <w:vAlign w:val="bottom"/>
            <w:tcBorders>
              <w:right w:val="single" w:sz="8" w:color="auto"/>
            </w:tcBorders>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60" w:type="dxa"/>
            <w:vAlign w:val="bottom"/>
          </w:tcPr>
          <w:p>
            <w:pPr>
              <w:spacing w:after="0"/>
              <w:rPr>
                <w:sz w:val="5"/>
                <w:szCs w:val="5"/>
                <w:color w:val="auto"/>
              </w:rPr>
            </w:pP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73"/>
        </w:trPr>
        <w:tc>
          <w:tcPr>
            <w:tcW w:w="2840" w:type="dxa"/>
            <w:vAlign w:val="bottom"/>
          </w:tcPr>
          <w:p>
            <w:pPr>
              <w:spacing w:after="0"/>
              <w:rPr>
                <w:sz w:val="6"/>
                <w:szCs w:val="6"/>
                <w:color w:val="auto"/>
              </w:rPr>
            </w:pPr>
          </w:p>
        </w:tc>
        <w:tc>
          <w:tcPr>
            <w:tcW w:w="18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20" w:type="dxa"/>
            <w:vAlign w:val="bottom"/>
            <w:tcBorders>
              <w:right w:val="single" w:sz="8" w:color="auto"/>
            </w:tcBorders>
            <w:vMerge w:val="restart"/>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gridSpan w:val="4"/>
            <w:vMerge w:val="restart"/>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840" w:type="dxa"/>
            <w:vAlign w:val="bottom"/>
          </w:tcPr>
          <w:p>
            <w:pPr>
              <w:spacing w:after="0"/>
              <w:rPr>
                <w:sz w:val="6"/>
                <w:szCs w:val="6"/>
                <w:color w:val="auto"/>
              </w:rPr>
            </w:pPr>
          </w:p>
        </w:tc>
        <w:tc>
          <w:tcPr>
            <w:tcW w:w="1800" w:type="dxa"/>
            <w:vAlign w:val="bottom"/>
            <w:tcBorders>
              <w:bottom w:val="single" w:sz="8" w:color="auto"/>
            </w:tcBorders>
            <w:gridSpan w:val="4"/>
            <w:vMerge w:val="continue"/>
          </w:tcPr>
          <w:p>
            <w:pPr>
              <w:spacing w:after="0"/>
              <w:rPr>
                <w:sz w:val="6"/>
                <w:szCs w:val="6"/>
                <w:color w:val="auto"/>
              </w:rPr>
            </w:pPr>
          </w:p>
        </w:tc>
        <w:tc>
          <w:tcPr>
            <w:tcW w:w="12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tcBorders>
              <w:bottom w:val="single" w:sz="8" w:color="auto"/>
            </w:tcBorders>
            <w:gridSpan w:val="4"/>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tcPr>
          <w:p>
            <w:pPr>
              <w:jc w:val="center"/>
              <w:ind w:right="240"/>
              <w:spacing w:after="0" w:line="78" w:lineRule="exact"/>
              <w:rPr>
                <w:sz w:val="20"/>
                <w:szCs w:val="20"/>
                <w:color w:val="auto"/>
              </w:rPr>
            </w:pPr>
            <w:r>
              <w:rPr>
                <w:rFonts w:ascii="Times New Roman" w:cs="Times New Roman" w:eastAsia="Times New Roman" w:hAnsi="Times New Roman"/>
                <w:sz w:val="8"/>
                <w:szCs w:val="8"/>
                <w:b w:val="1"/>
                <w:bCs w:val="1"/>
                <w:color w:val="auto"/>
              </w:rPr>
              <w:t>Paid-in</w:t>
            </w:r>
          </w:p>
        </w:tc>
        <w:tc>
          <w:tcPr>
            <w:tcW w:w="160" w:type="dxa"/>
            <w:vAlign w:val="bottom"/>
          </w:tcPr>
          <w:p>
            <w:pPr>
              <w:spacing w:after="0"/>
              <w:rPr>
                <w:sz w:val="6"/>
                <w:szCs w:val="6"/>
                <w:color w:val="auto"/>
              </w:rPr>
            </w:pPr>
          </w:p>
        </w:tc>
        <w:tc>
          <w:tcPr>
            <w:tcW w:w="1060" w:type="dxa"/>
            <w:vAlign w:val="bottom"/>
            <w:gridSpan w:val="2"/>
          </w:tcPr>
          <w:p>
            <w:pPr>
              <w:jc w:val="center"/>
              <w:ind w:right="260"/>
              <w:spacing w:after="0" w:line="78"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6"/>
                <w:szCs w:val="6"/>
                <w:color w:val="auto"/>
              </w:rPr>
            </w:pPr>
          </w:p>
        </w:tc>
        <w:tc>
          <w:tcPr>
            <w:tcW w:w="1240" w:type="dxa"/>
            <w:vAlign w:val="bottom"/>
            <w:gridSpan w:val="2"/>
          </w:tcPr>
          <w:p>
            <w:pPr>
              <w:jc w:val="center"/>
              <w:ind w:right="280"/>
              <w:spacing w:after="0" w:line="78"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1240" w:type="dxa"/>
            <w:vAlign w:val="bottom"/>
            <w:gridSpan w:val="3"/>
          </w:tcPr>
          <w:p>
            <w:pPr>
              <w:spacing w:after="0" w:line="78"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4"/>
                <w:szCs w:val="14"/>
                <w:color w:val="auto"/>
              </w:rPr>
            </w:pPr>
          </w:p>
        </w:tc>
        <w:tc>
          <w:tcPr>
            <w:tcW w:w="8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4"/>
                <w:szCs w:val="14"/>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Equity (Deficit)</w:t>
            </w:r>
          </w:p>
        </w:tc>
        <w:tc>
          <w:tcPr>
            <w:tcW w:w="0" w:type="dxa"/>
            <w:vAlign w:val="bottom"/>
          </w:tcPr>
          <w:p>
            <w:pPr>
              <w:spacing w:after="0"/>
              <w:rPr>
                <w:sz w:val="1"/>
                <w:szCs w:val="1"/>
                <w:color w:val="auto"/>
              </w:rPr>
            </w:pPr>
          </w:p>
        </w:tc>
      </w:tr>
      <w:tr>
        <w:trPr>
          <w:trHeight w:val="196"/>
        </w:trPr>
        <w:tc>
          <w:tcPr>
            <w:tcW w:w="28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July 31, 2019</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205,193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103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1,302,098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(573,574)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(530)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728,097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exercise of options</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286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824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824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Vesting of early exercised options</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rPr>
              <w:t>962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962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21,966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21,966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Capitalized stock-based compensation</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266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(35,505)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(35,505)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rPr>
              <w:t>432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432</w:t>
            </w:r>
          </w:p>
        </w:tc>
        <w:tc>
          <w:tcPr>
            <w:tcW w:w="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October 31, 2019</w:t>
            </w:r>
          </w:p>
        </w:tc>
        <w:tc>
          <w:tcPr>
            <w:tcW w:w="8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205,479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103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1,326,116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(609,079)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(98)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717,042</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2840" w:type="dxa"/>
            <w:vAlign w:val="bottom"/>
          </w:tcPr>
          <w:p>
            <w:pPr>
              <w:spacing w:after="0"/>
              <w:rPr>
                <w:sz w:val="24"/>
                <w:szCs w:val="24"/>
                <w:color w:val="auto"/>
              </w:rPr>
            </w:pPr>
          </w:p>
        </w:tc>
        <w:tc>
          <w:tcPr>
            <w:tcW w:w="200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1920" w:type="dxa"/>
            <w:vAlign w:val="bottom"/>
            <w:tcBorders>
              <w:right w:val="single" w:sz="8" w:color="auto"/>
            </w:tcBorders>
            <w:gridSpan w:val="5"/>
          </w:tcPr>
          <w:p>
            <w:pPr>
              <w:jc w:val="center"/>
              <w:ind w:right="120"/>
              <w:spacing w:after="0" w:line="121"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1920" w:type="dxa"/>
            <w:vAlign w:val="bottom"/>
            <w:tcBorders>
              <w:right w:val="single" w:sz="8" w:color="auto"/>
            </w:tcBorders>
            <w:gridSpan w:val="5"/>
            <w:vMerge w:val="restart"/>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840" w:type="dxa"/>
            <w:vAlign w:val="bottom"/>
          </w:tcPr>
          <w:p>
            <w:pPr>
              <w:spacing w:after="0"/>
              <w:rPr>
                <w:sz w:val="5"/>
                <w:szCs w:val="5"/>
                <w:color w:val="auto"/>
              </w:rPr>
            </w:pPr>
          </w:p>
        </w:tc>
        <w:tc>
          <w:tcPr>
            <w:tcW w:w="1920" w:type="dxa"/>
            <w:vAlign w:val="bottom"/>
            <w:tcBorders>
              <w:right w:val="single" w:sz="8" w:color="auto"/>
            </w:tcBorders>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60" w:type="dxa"/>
            <w:vAlign w:val="bottom"/>
          </w:tcPr>
          <w:p>
            <w:pPr>
              <w:spacing w:after="0"/>
              <w:rPr>
                <w:sz w:val="5"/>
                <w:szCs w:val="5"/>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73"/>
        </w:trPr>
        <w:tc>
          <w:tcPr>
            <w:tcW w:w="2840" w:type="dxa"/>
            <w:vAlign w:val="bottom"/>
          </w:tcPr>
          <w:p>
            <w:pPr>
              <w:spacing w:after="0"/>
              <w:rPr>
                <w:sz w:val="6"/>
                <w:szCs w:val="6"/>
                <w:color w:val="auto"/>
              </w:rPr>
            </w:pPr>
          </w:p>
        </w:tc>
        <w:tc>
          <w:tcPr>
            <w:tcW w:w="18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20" w:type="dxa"/>
            <w:vAlign w:val="bottom"/>
            <w:tcBorders>
              <w:right w:val="single" w:sz="8" w:color="auto"/>
            </w:tcBorders>
            <w:vMerge w:val="restart"/>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gridSpan w:val="4"/>
            <w:vMerge w:val="restart"/>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840" w:type="dxa"/>
            <w:vAlign w:val="bottom"/>
          </w:tcPr>
          <w:p>
            <w:pPr>
              <w:spacing w:after="0"/>
              <w:rPr>
                <w:sz w:val="7"/>
                <w:szCs w:val="7"/>
                <w:color w:val="auto"/>
              </w:rPr>
            </w:pPr>
          </w:p>
        </w:tc>
        <w:tc>
          <w:tcPr>
            <w:tcW w:w="1800" w:type="dxa"/>
            <w:vAlign w:val="bottom"/>
            <w:tcBorders>
              <w:bottom w:val="single" w:sz="8" w:color="auto"/>
            </w:tcBorders>
            <w:gridSpan w:val="4"/>
            <w:vMerge w:val="continue"/>
          </w:tcPr>
          <w:p>
            <w:pPr>
              <w:spacing w:after="0"/>
              <w:rPr>
                <w:sz w:val="7"/>
                <w:szCs w:val="7"/>
                <w:color w:val="auto"/>
              </w:rPr>
            </w:pPr>
          </w:p>
        </w:tc>
        <w:tc>
          <w:tcPr>
            <w:tcW w:w="1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600" w:type="dxa"/>
            <w:vAlign w:val="bottom"/>
            <w:tcBorders>
              <w:bottom w:val="single" w:sz="8" w:color="auto"/>
            </w:tcBorders>
            <w:gridSpan w:val="4"/>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2"/>
          </w:tcPr>
          <w:p>
            <w:pPr>
              <w:jc w:val="center"/>
              <w:ind w:right="240"/>
              <w:spacing w:after="0" w:line="82" w:lineRule="exact"/>
              <w:rPr>
                <w:sz w:val="20"/>
                <w:szCs w:val="20"/>
                <w:color w:val="auto"/>
              </w:rPr>
            </w:pPr>
            <w:r>
              <w:rPr>
                <w:rFonts w:ascii="Times New Roman" w:cs="Times New Roman" w:eastAsia="Times New Roman" w:hAnsi="Times New Roman"/>
                <w:sz w:val="9"/>
                <w:szCs w:val="9"/>
                <w:b w:val="1"/>
                <w:bCs w:val="1"/>
                <w:color w:val="auto"/>
              </w:rPr>
              <w:t>Paid-in</w:t>
            </w:r>
          </w:p>
        </w:tc>
        <w:tc>
          <w:tcPr>
            <w:tcW w:w="160" w:type="dxa"/>
            <w:vAlign w:val="bottom"/>
          </w:tcPr>
          <w:p>
            <w:pPr>
              <w:spacing w:after="0"/>
              <w:rPr>
                <w:sz w:val="7"/>
                <w:szCs w:val="7"/>
                <w:color w:val="auto"/>
              </w:rPr>
            </w:pPr>
          </w:p>
        </w:tc>
        <w:tc>
          <w:tcPr>
            <w:tcW w:w="1060" w:type="dxa"/>
            <w:vAlign w:val="bottom"/>
            <w:gridSpan w:val="2"/>
          </w:tcPr>
          <w:p>
            <w:pPr>
              <w:jc w:val="center"/>
              <w:ind w:right="260"/>
              <w:spacing w:after="0" w:line="82"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160" w:type="dxa"/>
            <w:vAlign w:val="bottom"/>
          </w:tcPr>
          <w:p>
            <w:pPr>
              <w:spacing w:after="0"/>
              <w:rPr>
                <w:sz w:val="7"/>
                <w:szCs w:val="7"/>
                <w:color w:val="auto"/>
              </w:rPr>
            </w:pPr>
          </w:p>
        </w:tc>
        <w:tc>
          <w:tcPr>
            <w:tcW w:w="1240" w:type="dxa"/>
            <w:vAlign w:val="bottom"/>
            <w:gridSpan w:val="2"/>
          </w:tcPr>
          <w:p>
            <w:pPr>
              <w:jc w:val="center"/>
              <w:ind w:right="240"/>
              <w:spacing w:after="0" w:line="82"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1240" w:type="dxa"/>
            <w:vAlign w:val="bottom"/>
            <w:gridSpan w:val="3"/>
          </w:tcPr>
          <w:p>
            <w:pPr>
              <w:ind w:left="20"/>
              <w:spacing w:after="0" w:line="82" w:lineRule="exact"/>
              <w:rPr>
                <w:sz w:val="20"/>
                <w:szCs w:val="20"/>
                <w:color w:val="auto"/>
              </w:rPr>
            </w:pPr>
            <w:r>
              <w:rPr>
                <w:rFonts w:ascii="Times New Roman" w:cs="Times New Roman" w:eastAsia="Times New Roman" w:hAnsi="Times New Roman"/>
                <w:sz w:val="9"/>
                <w:szCs w:val="9"/>
                <w:b w:val="1"/>
                <w:bCs w:val="1"/>
                <w:color w:val="auto"/>
              </w:rPr>
              <w:t>Stockholders’</w:t>
            </w:r>
          </w:p>
        </w:tc>
        <w:tc>
          <w:tcPr>
            <w:tcW w:w="0" w:type="dxa"/>
            <w:vAlign w:val="bottom"/>
          </w:tcPr>
          <w:p>
            <w:pPr>
              <w:spacing w:after="0"/>
              <w:rPr>
                <w:sz w:val="1"/>
                <w:szCs w:val="1"/>
                <w:color w:val="auto"/>
              </w:rPr>
            </w:pPr>
          </w:p>
        </w:tc>
      </w:tr>
      <w:tr>
        <w:trPr>
          <w:trHeight w:val="157"/>
        </w:trPr>
        <w:tc>
          <w:tcPr>
            <w:tcW w:w="2840" w:type="dxa"/>
            <w:vAlign w:val="bottom"/>
          </w:tcPr>
          <w:p>
            <w:pPr>
              <w:spacing w:after="0"/>
              <w:rPr>
                <w:sz w:val="13"/>
                <w:szCs w:val="13"/>
                <w:color w:val="auto"/>
              </w:rPr>
            </w:pP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3"/>
                <w:szCs w:val="13"/>
                <w:color w:val="auto"/>
              </w:rPr>
            </w:pPr>
          </w:p>
        </w:tc>
        <w:tc>
          <w:tcPr>
            <w:tcW w:w="8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3"/>
                <w:szCs w:val="13"/>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16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85"/>
        </w:trPr>
        <w:tc>
          <w:tcPr>
            <w:tcW w:w="28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July 31, 2018</w:t>
            </w:r>
          </w:p>
        </w:tc>
        <w:tc>
          <w:tcPr>
            <w:tcW w:w="8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130,843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550,912</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45,609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11,814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(445,543)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rPr>
              <w:t>278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(433,429)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Series E redeemable convertible preferred stock,</w:t>
            </w:r>
          </w:p>
        </w:tc>
        <w:tc>
          <w:tcPr>
            <w:tcW w:w="86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425</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7,000</w:t>
            </w: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0"/>
        </w:trPr>
        <w:tc>
          <w:tcPr>
            <w:tcW w:w="2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of issuance costs of $104</w:t>
            </w: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exercise of options</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1,220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rPr>
              <w:t>1,277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1,278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Vesting of early exercised options</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87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rPr>
              <w:t>13,460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13,460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(42,323)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(42,323)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rPr>
              <w:t>(426)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October 31, 2018</w:t>
            </w:r>
          </w:p>
        </w:tc>
        <w:tc>
          <w:tcPr>
            <w:tcW w:w="86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131,268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557,912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46,829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26,638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(487,866)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(148)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(461,353)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CrowdStrike Holdings,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Condensed Consolidated Statements of Redeemable Convertible Preferred Stock and Stockholders’ Equity (Deficit)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Nine Months Ended October 31, 2019 and 2018</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00" w:type="dxa"/>
            <w:vAlign w:val="bottom"/>
            <w:tcBorders>
              <w:right w:val="single" w:sz="8" w:color="auto"/>
            </w:tcBorders>
            <w:gridSpan w:val="7"/>
          </w:tcPr>
          <w:p>
            <w:pPr>
              <w:ind w:left="58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900" w:type="dxa"/>
            <w:vAlign w:val="bottom"/>
            <w:tcBorders>
              <w:right w:val="single" w:sz="8" w:color="auto"/>
            </w:tcBorders>
            <w:gridSpan w:val="7"/>
            <w:vMerge w:val="restart"/>
          </w:tcPr>
          <w:p>
            <w:pPr>
              <w:ind w:left="600"/>
              <w:spacing w:after="0" w:line="119"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800" w:type="dxa"/>
            <w:vAlign w:val="bottom"/>
          </w:tcPr>
          <w:p>
            <w:pPr>
              <w:spacing w:after="0"/>
              <w:rPr>
                <w:sz w:val="5"/>
                <w:szCs w:val="5"/>
                <w:color w:val="auto"/>
              </w:rPr>
            </w:pPr>
          </w:p>
        </w:tc>
        <w:tc>
          <w:tcPr>
            <w:tcW w:w="40" w:type="dxa"/>
            <w:vAlign w:val="bottom"/>
          </w:tcPr>
          <w:p>
            <w:pPr>
              <w:spacing w:after="0"/>
              <w:rPr>
                <w:sz w:val="5"/>
                <w:szCs w:val="5"/>
                <w:color w:val="auto"/>
              </w:rPr>
            </w:pPr>
          </w:p>
        </w:tc>
        <w:tc>
          <w:tcPr>
            <w:tcW w:w="1900" w:type="dxa"/>
            <w:vAlign w:val="bottom"/>
            <w:tcBorders>
              <w:right w:val="single" w:sz="8" w:color="auto"/>
            </w:tcBorders>
            <w:gridSpan w:val="7"/>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73"/>
        </w:trPr>
        <w:tc>
          <w:tcPr>
            <w:tcW w:w="2800" w:type="dxa"/>
            <w:vAlign w:val="bottom"/>
          </w:tcPr>
          <w:p>
            <w:pPr>
              <w:spacing w:after="0"/>
              <w:rPr>
                <w:sz w:val="6"/>
                <w:szCs w:val="6"/>
                <w:color w:val="auto"/>
              </w:rPr>
            </w:pPr>
          </w:p>
        </w:tc>
        <w:tc>
          <w:tcPr>
            <w:tcW w:w="40" w:type="dxa"/>
            <w:vAlign w:val="bottom"/>
          </w:tcPr>
          <w:p>
            <w:pPr>
              <w:spacing w:after="0"/>
              <w:rPr>
                <w:sz w:val="6"/>
                <w:szCs w:val="6"/>
                <w:color w:val="auto"/>
              </w:rPr>
            </w:pPr>
          </w:p>
        </w:tc>
        <w:tc>
          <w:tcPr>
            <w:tcW w:w="1760" w:type="dxa"/>
            <w:vAlign w:val="bottom"/>
            <w:gridSpan w:val="6"/>
            <w:vMerge w:val="restart"/>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40" w:type="dxa"/>
            <w:vAlign w:val="bottom"/>
            <w:tcBorders>
              <w:right w:val="single" w:sz="8" w:color="auto"/>
            </w:tcBorders>
            <w:vMerge w:val="restart"/>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80" w:type="dxa"/>
            <w:vAlign w:val="bottom"/>
            <w:gridSpan w:val="6"/>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800" w:type="dxa"/>
            <w:vAlign w:val="bottom"/>
          </w:tcPr>
          <w:p>
            <w:pPr>
              <w:spacing w:after="0"/>
              <w:rPr>
                <w:sz w:val="7"/>
                <w:szCs w:val="7"/>
                <w:color w:val="auto"/>
              </w:rPr>
            </w:pPr>
          </w:p>
        </w:tc>
        <w:tc>
          <w:tcPr>
            <w:tcW w:w="40" w:type="dxa"/>
            <w:vAlign w:val="bottom"/>
          </w:tcPr>
          <w:p>
            <w:pPr>
              <w:spacing w:after="0"/>
              <w:rPr>
                <w:sz w:val="7"/>
                <w:szCs w:val="7"/>
                <w:color w:val="auto"/>
              </w:rPr>
            </w:pPr>
          </w:p>
        </w:tc>
        <w:tc>
          <w:tcPr>
            <w:tcW w:w="1760" w:type="dxa"/>
            <w:vAlign w:val="bottom"/>
            <w:tcBorders>
              <w:bottom w:val="single" w:sz="8" w:color="auto"/>
            </w:tcBorders>
            <w:gridSpan w:val="6"/>
            <w:vMerge w:val="continue"/>
          </w:tcPr>
          <w:p>
            <w:pPr>
              <w:spacing w:after="0"/>
              <w:rPr>
                <w:sz w:val="7"/>
                <w:szCs w:val="7"/>
                <w:color w:val="auto"/>
              </w:rPr>
            </w:pPr>
          </w:p>
        </w:tc>
        <w:tc>
          <w:tcPr>
            <w:tcW w:w="14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gridSpan w:val="6"/>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tcPr>
          <w:p>
            <w:pPr>
              <w:jc w:val="center"/>
              <w:ind w:right="120"/>
              <w:spacing w:after="0" w:line="82" w:lineRule="exact"/>
              <w:rPr>
                <w:sz w:val="20"/>
                <w:szCs w:val="20"/>
                <w:color w:val="auto"/>
              </w:rPr>
            </w:pPr>
            <w:r>
              <w:rPr>
                <w:rFonts w:ascii="Times New Roman" w:cs="Times New Roman" w:eastAsia="Times New Roman" w:hAnsi="Times New Roman"/>
                <w:sz w:val="9"/>
                <w:szCs w:val="9"/>
                <w:b w:val="1"/>
                <w:bCs w:val="1"/>
                <w:color w:val="auto"/>
              </w:rPr>
              <w:t>Paid-in</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tcPr>
          <w:p>
            <w:pPr>
              <w:jc w:val="center"/>
              <w:ind w:right="140"/>
              <w:spacing w:after="0" w:line="82"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gridSpan w:val="2"/>
          </w:tcPr>
          <w:p>
            <w:pPr>
              <w:jc w:val="center"/>
              <w:ind w:right="180"/>
              <w:spacing w:after="0" w:line="82"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3"/>
          </w:tcPr>
          <w:p>
            <w:pPr>
              <w:ind w:left="20"/>
              <w:spacing w:after="0" w:line="82" w:lineRule="exact"/>
              <w:rPr>
                <w:sz w:val="20"/>
                <w:szCs w:val="20"/>
                <w:color w:val="auto"/>
              </w:rPr>
            </w:pPr>
            <w:r>
              <w:rPr>
                <w:rFonts w:ascii="Times New Roman" w:cs="Times New Roman" w:eastAsia="Times New Roman" w:hAnsi="Times New Roman"/>
                <w:sz w:val="9"/>
                <w:szCs w:val="9"/>
                <w:b w:val="1"/>
                <w:bCs w:val="1"/>
                <w:color w:val="auto"/>
              </w:rPr>
              <w:t>Stockholders’</w:t>
            </w:r>
          </w:p>
        </w:tc>
        <w:tc>
          <w:tcPr>
            <w:tcW w:w="0" w:type="dxa"/>
            <w:vAlign w:val="bottom"/>
          </w:tcPr>
          <w:p>
            <w:pPr>
              <w:spacing w:after="0"/>
              <w:rPr>
                <w:sz w:val="1"/>
                <w:szCs w:val="1"/>
                <w:color w:val="auto"/>
              </w:rPr>
            </w:pPr>
          </w:p>
        </w:tc>
      </w:tr>
      <w:tr>
        <w:trPr>
          <w:trHeight w:val="157"/>
        </w:trPr>
        <w:tc>
          <w:tcPr>
            <w:tcW w:w="2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Equity (Deficit)</w:t>
            </w:r>
          </w:p>
        </w:tc>
        <w:tc>
          <w:tcPr>
            <w:tcW w:w="0" w:type="dxa"/>
            <w:vAlign w:val="bottom"/>
          </w:tcPr>
          <w:p>
            <w:pPr>
              <w:spacing w:after="0"/>
              <w:rPr>
                <w:sz w:val="1"/>
                <w:szCs w:val="1"/>
                <w:color w:val="auto"/>
              </w:rPr>
            </w:pPr>
          </w:p>
        </w:tc>
      </w:tr>
      <w:tr>
        <w:trPr>
          <w:trHeight w:val="196"/>
        </w:trPr>
        <w:tc>
          <w:tcPr>
            <w:tcW w:w="2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January 31, 2019</w:t>
            </w:r>
          </w:p>
        </w:tc>
        <w:tc>
          <w:tcPr>
            <w:tcW w:w="8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131,268</w:t>
            </w:r>
          </w:p>
        </w:tc>
        <w:tc>
          <w:tcPr>
            <w:tcW w:w="6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557,912</w:t>
            </w: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47,421</w:t>
            </w:r>
          </w:p>
        </w:tc>
        <w:tc>
          <w:tcPr>
            <w:tcW w:w="1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24</w:t>
            </w:r>
          </w:p>
        </w:tc>
        <w:tc>
          <w:tcPr>
            <w:tcW w:w="6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31,211</w:t>
            </w:r>
          </w:p>
        </w:tc>
        <w:tc>
          <w:tcPr>
            <w:tcW w:w="40" w:type="dxa"/>
            <w:vAlign w:val="bottom"/>
            <w:shd w:val="clear" w:color="auto" w:fill="CCEEFF"/>
          </w:tcPr>
          <w:p>
            <w:pPr>
              <w:spacing w:after="0"/>
              <w:rPr>
                <w:sz w:val="14"/>
                <w:szCs w:val="14"/>
                <w:color w:val="auto"/>
              </w:rPr>
            </w:pPr>
          </w:p>
        </w:tc>
        <w:tc>
          <w:tcPr>
            <w:tcW w:w="240" w:type="dxa"/>
            <w:vAlign w:val="bottom"/>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(519,126)</w:t>
            </w:r>
          </w:p>
        </w:tc>
        <w:tc>
          <w:tcPr>
            <w:tcW w:w="4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98</w:t>
            </w:r>
          </w:p>
        </w:tc>
        <w:tc>
          <w:tcPr>
            <w:tcW w:w="40" w:type="dxa"/>
            <w:vAlign w:val="bottom"/>
            <w:shd w:val="clear" w:color="auto" w:fill="CCEEFF"/>
          </w:tcPr>
          <w:p>
            <w:pPr>
              <w:spacing w:after="0"/>
              <w:rPr>
                <w:sz w:val="14"/>
                <w:szCs w:val="14"/>
                <w:color w:val="auto"/>
              </w:rPr>
            </w:pPr>
          </w:p>
        </w:tc>
        <w:tc>
          <w:tcPr>
            <w:tcW w:w="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(487,793)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Cumulative effect of accounting change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23,418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23,418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initial public offering, net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tcBorders>
              <w:right w:val="single" w:sz="8" w:color="auto"/>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659,207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659,218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of underwriting discounts and issuance costs</w:t>
            </w:r>
          </w:p>
        </w:tc>
        <w:tc>
          <w:tcPr>
            <w:tcW w:w="8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tcBorders>
              <w:right w:val="single" w:sz="8" w:color="auto"/>
            </w:tcBorders>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84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1"/>
                <w:szCs w:val="11"/>
                <w:color w:val="auto"/>
              </w:rPr>
              <w:t>Conversion of redeemable convertible preferred stock to</w:t>
            </w: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(131,268)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rPr>
              <w:t>(557,912)</w:t>
            </w: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131,268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66</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rPr>
              <w:t>557,846</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557,912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common stock upon initial public offering</w:t>
            </w: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Reclassification of redeemable convertible preferred stock</w:t>
            </w: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840" w:type="dxa"/>
            <w:vAlign w:val="bottom"/>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1"/>
                <w:szCs w:val="11"/>
                <w:color w:val="auto"/>
              </w:rPr>
              <w:t>warrant liability to additional paid-in capital upon initial</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tcBorders>
              <w:right w:val="single" w:sz="8" w:color="auto"/>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10,559</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10,559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public offering</w:t>
            </w:r>
          </w:p>
        </w:tc>
        <w:tc>
          <w:tcPr>
            <w:tcW w:w="8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tcBorders>
              <w:right w:val="single" w:sz="8" w:color="auto"/>
            </w:tcBorders>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Net exercise of common stock warrants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6"/>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exercise of options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9,389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9,391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Issuance of common stock related to early exercised options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1,037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6"/>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Vesting of early exercised options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1,816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1,816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55,577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55,577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Capitalized stock-based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511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511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(113,371)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(113,371)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8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(196)</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(196)</w:t>
            </w:r>
          </w:p>
        </w:tc>
        <w:tc>
          <w:tcPr>
            <w:tcW w:w="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October 31, 2019</w:t>
            </w:r>
          </w:p>
        </w:tc>
        <w:tc>
          <w:tcPr>
            <w:tcW w:w="8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gridSpan w:val="2"/>
          </w:tcPr>
          <w:p>
            <w:pPr>
              <w:spacing w:after="0"/>
              <w:rPr>
                <w:sz w:val="17"/>
                <w:szCs w:val="17"/>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205,479</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103</w:t>
            </w:r>
          </w:p>
        </w:tc>
        <w:tc>
          <w:tcPr>
            <w:tcW w:w="6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1,326,116</w:t>
            </w:r>
          </w:p>
        </w:tc>
        <w:tc>
          <w:tcPr>
            <w:tcW w:w="4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(609,079)</w:t>
            </w:r>
          </w:p>
        </w:tc>
        <w:tc>
          <w:tcPr>
            <w:tcW w:w="4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(98)</w:t>
            </w:r>
          </w:p>
        </w:tc>
        <w:tc>
          <w:tcPr>
            <w:tcW w:w="4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717,042</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00" w:type="dxa"/>
            <w:vAlign w:val="bottom"/>
            <w:tcBorders>
              <w:right w:val="single" w:sz="8" w:color="auto"/>
            </w:tcBorders>
            <w:gridSpan w:val="7"/>
          </w:tcPr>
          <w:p>
            <w:pPr>
              <w:ind w:left="560"/>
              <w:spacing w:after="0" w:line="121"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900" w:type="dxa"/>
            <w:vAlign w:val="bottom"/>
            <w:tcBorders>
              <w:right w:val="single" w:sz="8" w:color="auto"/>
            </w:tcBorders>
            <w:gridSpan w:val="7"/>
            <w:vMerge w:val="restart"/>
          </w:tcPr>
          <w:p>
            <w:pPr>
              <w:ind w:left="580"/>
              <w:spacing w:after="0" w:line="119"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800" w:type="dxa"/>
            <w:vAlign w:val="bottom"/>
          </w:tcPr>
          <w:p>
            <w:pPr>
              <w:spacing w:after="0"/>
              <w:rPr>
                <w:sz w:val="5"/>
                <w:szCs w:val="5"/>
                <w:color w:val="auto"/>
              </w:rPr>
            </w:pPr>
          </w:p>
        </w:tc>
        <w:tc>
          <w:tcPr>
            <w:tcW w:w="40" w:type="dxa"/>
            <w:vAlign w:val="bottom"/>
          </w:tcPr>
          <w:p>
            <w:pPr>
              <w:spacing w:after="0"/>
              <w:rPr>
                <w:sz w:val="5"/>
                <w:szCs w:val="5"/>
                <w:color w:val="auto"/>
              </w:rPr>
            </w:pPr>
          </w:p>
        </w:tc>
        <w:tc>
          <w:tcPr>
            <w:tcW w:w="1900" w:type="dxa"/>
            <w:vAlign w:val="bottom"/>
            <w:tcBorders>
              <w:right w:val="single" w:sz="8" w:color="auto"/>
            </w:tcBorders>
            <w:gridSpan w:val="7"/>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73"/>
        </w:trPr>
        <w:tc>
          <w:tcPr>
            <w:tcW w:w="2800" w:type="dxa"/>
            <w:vAlign w:val="bottom"/>
          </w:tcPr>
          <w:p>
            <w:pPr>
              <w:spacing w:after="0"/>
              <w:rPr>
                <w:sz w:val="6"/>
                <w:szCs w:val="6"/>
                <w:color w:val="auto"/>
              </w:rPr>
            </w:pPr>
          </w:p>
        </w:tc>
        <w:tc>
          <w:tcPr>
            <w:tcW w:w="40" w:type="dxa"/>
            <w:vAlign w:val="bottom"/>
          </w:tcPr>
          <w:p>
            <w:pPr>
              <w:spacing w:after="0"/>
              <w:rPr>
                <w:sz w:val="6"/>
                <w:szCs w:val="6"/>
                <w:color w:val="auto"/>
              </w:rPr>
            </w:pPr>
          </w:p>
        </w:tc>
        <w:tc>
          <w:tcPr>
            <w:tcW w:w="1760" w:type="dxa"/>
            <w:vAlign w:val="bottom"/>
            <w:gridSpan w:val="6"/>
            <w:vMerge w:val="restart"/>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40" w:type="dxa"/>
            <w:vAlign w:val="bottom"/>
            <w:tcBorders>
              <w:right w:val="single" w:sz="8" w:color="auto"/>
            </w:tcBorders>
            <w:vMerge w:val="restart"/>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20" w:type="dxa"/>
            <w:vAlign w:val="bottom"/>
            <w:gridSpan w:val="5"/>
            <w:vMerge w:val="restart"/>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0" w:type="dxa"/>
            <w:vAlign w:val="bottom"/>
            <w:vMerge w:val="restart"/>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80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gridSpan w:val="6"/>
            <w:vMerge w:val="continue"/>
          </w:tcPr>
          <w:p>
            <w:pPr>
              <w:spacing w:after="0"/>
              <w:rPr>
                <w:sz w:val="7"/>
                <w:szCs w:val="7"/>
                <w:color w:val="auto"/>
              </w:rPr>
            </w:pPr>
          </w:p>
        </w:tc>
        <w:tc>
          <w:tcPr>
            <w:tcW w:w="14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tcBorders>
              <w:bottom w:val="single" w:sz="8" w:color="auto"/>
            </w:tcBorders>
            <w:gridSpan w:val="5"/>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tcPr>
          <w:p>
            <w:pPr>
              <w:jc w:val="center"/>
              <w:ind w:right="200"/>
              <w:spacing w:after="0" w:line="82" w:lineRule="exact"/>
              <w:rPr>
                <w:sz w:val="20"/>
                <w:szCs w:val="20"/>
                <w:color w:val="auto"/>
              </w:rPr>
            </w:pPr>
            <w:r>
              <w:rPr>
                <w:rFonts w:ascii="Times New Roman" w:cs="Times New Roman" w:eastAsia="Times New Roman" w:hAnsi="Times New Roman"/>
                <w:sz w:val="9"/>
                <w:szCs w:val="9"/>
                <w:b w:val="1"/>
                <w:bCs w:val="1"/>
                <w:color w:val="auto"/>
              </w:rPr>
              <w:t>Paid-in</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tcPr>
          <w:p>
            <w:pPr>
              <w:jc w:val="center"/>
              <w:ind w:right="200"/>
              <w:spacing w:after="0" w:line="82"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gridSpan w:val="2"/>
          </w:tcPr>
          <w:p>
            <w:pPr>
              <w:jc w:val="center"/>
              <w:ind w:right="220"/>
              <w:spacing w:after="0" w:line="82"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80" w:type="dxa"/>
            <w:vAlign w:val="bottom"/>
          </w:tcPr>
          <w:p>
            <w:pPr>
              <w:spacing w:after="0"/>
              <w:rPr>
                <w:sz w:val="7"/>
                <w:szCs w:val="7"/>
                <w:color w:val="auto"/>
              </w:rPr>
            </w:pPr>
          </w:p>
        </w:tc>
        <w:tc>
          <w:tcPr>
            <w:tcW w:w="1200" w:type="dxa"/>
            <w:vAlign w:val="bottom"/>
            <w:gridSpan w:val="4"/>
          </w:tcPr>
          <w:p>
            <w:pPr>
              <w:spacing w:after="0" w:line="82" w:lineRule="exact"/>
              <w:rPr>
                <w:sz w:val="20"/>
                <w:szCs w:val="20"/>
                <w:color w:val="auto"/>
              </w:rPr>
            </w:pPr>
            <w:r>
              <w:rPr>
                <w:rFonts w:ascii="Times New Roman" w:cs="Times New Roman" w:eastAsia="Times New Roman" w:hAnsi="Times New Roman"/>
                <w:sz w:val="9"/>
                <w:szCs w:val="9"/>
                <w:b w:val="1"/>
                <w:bCs w:val="1"/>
                <w:color w:val="auto"/>
              </w:rPr>
              <w:t>Stockholders</w:t>
            </w: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57"/>
        </w:trPr>
        <w:tc>
          <w:tcPr>
            <w:tcW w:w="2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85"/>
        </w:trPr>
        <w:tc>
          <w:tcPr>
            <w:tcW w:w="28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January 31, 2018</w:t>
            </w:r>
          </w:p>
        </w:tc>
        <w:tc>
          <w:tcPr>
            <w:tcW w:w="8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118,693</w:t>
            </w:r>
          </w:p>
        </w:tc>
        <w:tc>
          <w:tcPr>
            <w:tcW w:w="6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351,016</w:t>
            </w: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44,231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22</w:t>
            </w:r>
          </w:p>
        </w:tc>
        <w:tc>
          <w:tcPr>
            <w:tcW w:w="6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8,482</w:t>
            </w:r>
          </w:p>
        </w:tc>
        <w:tc>
          <w:tcPr>
            <w:tcW w:w="40" w:type="dxa"/>
            <w:vAlign w:val="bottom"/>
            <w:shd w:val="clear" w:color="auto" w:fill="CCEEFF"/>
          </w:tcPr>
          <w:p>
            <w:pPr>
              <w:spacing w:after="0"/>
              <w:rPr>
                <w:sz w:val="14"/>
                <w:szCs w:val="14"/>
                <w:color w:val="auto"/>
              </w:rPr>
            </w:pPr>
          </w:p>
        </w:tc>
        <w:tc>
          <w:tcPr>
            <w:tcW w:w="24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(378,948)</w:t>
            </w:r>
          </w:p>
        </w:tc>
        <w:tc>
          <w:tcPr>
            <w:tcW w:w="4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970</w:t>
            </w:r>
          </w:p>
        </w:tc>
        <w:tc>
          <w:tcPr>
            <w:tcW w:w="40" w:type="dxa"/>
            <w:vAlign w:val="bottom"/>
            <w:shd w:val="clear" w:color="auto" w:fill="CCEEFF"/>
          </w:tcPr>
          <w:p>
            <w:pPr>
              <w:spacing w:after="0"/>
              <w:rPr>
                <w:sz w:val="14"/>
                <w:szCs w:val="14"/>
                <w:color w:val="auto"/>
              </w:rPr>
            </w:pPr>
          </w:p>
        </w:tc>
        <w:tc>
          <w:tcPr>
            <w:tcW w:w="2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(369,474)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Cumulative effect of accounting change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101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2"/>
        </w:trPr>
        <w:tc>
          <w:tcPr>
            <w:tcW w:w="2840" w:type="dxa"/>
            <w:vAlign w:val="bottom"/>
            <w:gridSpan w:val="2"/>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color w:val="auto"/>
              </w:rPr>
              <w:t>Issuance of Series E redeemable convertible preferred</w:t>
            </w:r>
          </w:p>
        </w:tc>
        <w:tc>
          <w:tcPr>
            <w:tcW w:w="80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12,575</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206,896</w:t>
            </w:r>
          </w:p>
        </w:tc>
        <w:tc>
          <w:tcPr>
            <w:tcW w:w="14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 net of issuance costs of $104</w:t>
            </w: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exercise of options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rPr>
              <w:t>2,418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2,791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2,792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related to early exercise options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Issuance of common stock</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6"/>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restricted stock awards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Vesting of early exercised options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191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191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17,403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17,403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Repurchase of stock options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(2,330)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(2,330)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(108,817)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(108,817)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right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(1,118)</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(1,118)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October 31, 2018</w:t>
            </w:r>
          </w:p>
        </w:tc>
        <w:tc>
          <w:tcPr>
            <w:tcW w:w="8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131,268</w:t>
            </w:r>
          </w:p>
        </w:tc>
        <w:tc>
          <w:tcPr>
            <w:tcW w:w="6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557,912</w:t>
            </w:r>
          </w:p>
        </w:tc>
        <w:tc>
          <w:tcPr>
            <w:tcW w:w="1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46,829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23</w:t>
            </w:r>
          </w:p>
        </w:tc>
        <w:tc>
          <w:tcPr>
            <w:tcW w:w="6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26,638</w:t>
            </w:r>
          </w:p>
        </w:tc>
        <w:tc>
          <w:tcPr>
            <w:tcW w:w="4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(487,866)</w:t>
            </w:r>
          </w:p>
        </w:tc>
        <w:tc>
          <w:tcPr>
            <w:tcW w:w="40" w:type="dxa"/>
            <w:vAlign w:val="bottom"/>
            <w:shd w:val="clear" w:color="auto" w:fill="CCEEFF"/>
          </w:tcPr>
          <w:p>
            <w:pPr>
              <w:spacing w:after="0"/>
              <w:rPr>
                <w:sz w:val="15"/>
                <w:szCs w:val="15"/>
                <w:color w:val="auto"/>
              </w:rPr>
            </w:pPr>
          </w:p>
        </w:tc>
        <w:tc>
          <w:tcPr>
            <w:tcW w:w="260" w:type="dxa"/>
            <w:vAlign w:val="bottom"/>
            <w:gridSpan w:val="3"/>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(148)</w:t>
            </w:r>
          </w:p>
        </w:tc>
        <w:tc>
          <w:tcPr>
            <w:tcW w:w="40" w:type="dxa"/>
            <w:vAlign w:val="bottom"/>
            <w:shd w:val="clear" w:color="auto" w:fill="CCEEFF"/>
          </w:tcPr>
          <w:p>
            <w:pPr>
              <w:spacing w:after="0"/>
              <w:rPr>
                <w:sz w:val="15"/>
                <w:szCs w:val="15"/>
                <w:color w:val="auto"/>
              </w:rPr>
            </w:pPr>
          </w:p>
        </w:tc>
        <w:tc>
          <w:tcPr>
            <w:tcW w:w="2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(461,353)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CrowdStrike Holdings, Inc.</w:t>
      </w:r>
    </w:p>
    <w:p>
      <w:pPr>
        <w:jc w:val="center"/>
        <w:spacing w:after="0" w:line="202" w:lineRule="auto"/>
        <w:rPr>
          <w:sz w:val="20"/>
          <w:szCs w:val="20"/>
          <w:color w:val="auto"/>
        </w:rPr>
      </w:pPr>
      <w:r>
        <w:rPr>
          <w:rFonts w:ascii="Times New Roman" w:cs="Times New Roman" w:eastAsia="Times New Roman" w:hAnsi="Times New Roman"/>
          <w:sz w:val="10"/>
          <w:szCs w:val="10"/>
          <w:b w:val="1"/>
          <w:bCs w:val="1"/>
          <w:color w:val="auto"/>
        </w:rPr>
        <w:t>Condensed Consolidated Statements of Cash Flows</w:t>
      </w:r>
    </w:p>
    <w:p>
      <w:pPr>
        <w:jc w:val="center"/>
        <w:spacing w:after="0" w:line="202" w:lineRule="auto"/>
        <w:rPr>
          <w:sz w:val="20"/>
          <w:szCs w:val="20"/>
          <w:color w:val="auto"/>
        </w:rPr>
      </w:pPr>
      <w:r>
        <w:rPr>
          <w:rFonts w:ascii="Times New Roman" w:cs="Times New Roman" w:eastAsia="Times New Roman" w:hAnsi="Times New Roman"/>
          <w:sz w:val="10"/>
          <w:szCs w:val="10"/>
          <w:i w:val="1"/>
          <w:iCs w:val="1"/>
          <w:color w:val="auto"/>
        </w:rPr>
        <w:t>(in thousands)</w:t>
      </w:r>
    </w:p>
    <w:p>
      <w:pPr>
        <w:jc w:val="cente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7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4"/>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Nine Months Ended October 31,</w:t>
            </w:r>
          </w:p>
        </w:tc>
      </w:tr>
      <w:tr>
        <w:trPr>
          <w:trHeight w:val="142"/>
        </w:trPr>
        <w:tc>
          <w:tcPr>
            <w:tcW w:w="87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0"/>
                <w:szCs w:val="10"/>
                <w:b w:val="1"/>
                <w:bCs w:val="1"/>
                <w:color w:val="auto"/>
              </w:rPr>
              <w:t>2018</w:t>
            </w:r>
          </w:p>
        </w:tc>
      </w:tr>
      <w:tr>
        <w:trPr>
          <w:trHeight w:val="148"/>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57"/>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32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(113,371)</w:t>
            </w:r>
          </w:p>
        </w:tc>
        <w:tc>
          <w:tcPr>
            <w:tcW w:w="100" w:type="dxa"/>
            <w:vAlign w:val="bottom"/>
          </w:tcPr>
          <w:p>
            <w:pPr>
              <w:spacing w:after="0"/>
              <w:rPr>
                <w:sz w:val="13"/>
                <w:szCs w:val="13"/>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(108,817)</w:t>
            </w:r>
          </w:p>
        </w:tc>
      </w:tr>
      <w:tr>
        <w:trPr>
          <w:trHeight w:val="16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loss to net cash provided by (used in) operating activities: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57"/>
        </w:trPr>
        <w:tc>
          <w:tcPr>
            <w:tcW w:w="8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32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16,023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10,199</w:t>
            </w:r>
          </w:p>
        </w:tc>
      </w:tr>
      <w:tr>
        <w:trPr>
          <w:trHeight w:val="166"/>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Loss on disposal of fixed assets</w:t>
            </w:r>
          </w:p>
        </w:tc>
        <w:tc>
          <w:tcPr>
            <w:tcW w:w="3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223</w:t>
            </w:r>
          </w:p>
        </w:tc>
      </w:tr>
      <w:tr>
        <w:trPr>
          <w:trHeight w:val="157"/>
        </w:trPr>
        <w:tc>
          <w:tcPr>
            <w:tcW w:w="8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Amortization of intangible assets</w:t>
            </w:r>
          </w:p>
        </w:tc>
        <w:tc>
          <w:tcPr>
            <w:tcW w:w="32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385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435</w:t>
            </w:r>
          </w:p>
        </w:tc>
      </w:tr>
      <w:tr>
        <w:trPr>
          <w:trHeight w:val="166"/>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Amortization of deferred contract acquisition costs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24,125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19,312</w:t>
            </w:r>
          </w:p>
        </w:tc>
      </w:tr>
      <w:tr>
        <w:trPr>
          <w:trHeight w:val="157"/>
        </w:trPr>
        <w:tc>
          <w:tcPr>
            <w:tcW w:w="8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Change in fair value of redeemable convertible preferred stock warrant liability</w:t>
            </w:r>
          </w:p>
        </w:tc>
        <w:tc>
          <w:tcPr>
            <w:tcW w:w="32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6,022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2,935</w:t>
            </w:r>
          </w:p>
        </w:tc>
      </w:tr>
      <w:tr>
        <w:trPr>
          <w:trHeight w:val="166"/>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Allowance for doubtful accounts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413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485</w:t>
            </w:r>
          </w:p>
        </w:tc>
      </w:tr>
      <w:tr>
        <w:trPr>
          <w:trHeight w:val="157"/>
        </w:trPr>
        <w:tc>
          <w:tcPr>
            <w:tcW w:w="8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32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55,577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17,403</w:t>
            </w:r>
          </w:p>
        </w:tc>
      </w:tr>
      <w:tr>
        <w:trPr>
          <w:trHeight w:val="166"/>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Accretion of marketable securities purchased at a discount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(1,313)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(625)</w:t>
            </w:r>
          </w:p>
        </w:tc>
      </w:tr>
      <w:tr>
        <w:trPr>
          <w:trHeight w:val="157"/>
        </w:trPr>
        <w:tc>
          <w:tcPr>
            <w:tcW w:w="8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Non-cash interest expense</w:t>
            </w:r>
          </w:p>
        </w:tc>
        <w:tc>
          <w:tcPr>
            <w:tcW w:w="32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293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187</w:t>
            </w:r>
          </w:p>
        </w:tc>
      </w:tr>
      <w:tr>
        <w:trPr>
          <w:trHeight w:val="166"/>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57"/>
        </w:trPr>
        <w:tc>
          <w:tcPr>
            <w:tcW w:w="87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Accounts receivable</w:t>
            </w:r>
          </w:p>
        </w:tc>
        <w:tc>
          <w:tcPr>
            <w:tcW w:w="320" w:type="dxa"/>
            <w:vAlign w:val="bottom"/>
          </w:tcPr>
          <w:p>
            <w:pPr>
              <w:spacing w:after="0"/>
              <w:rPr>
                <w:sz w:val="13"/>
                <w:szCs w:val="13"/>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(53,631)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(17,936)</w:t>
            </w:r>
          </w:p>
        </w:tc>
      </w:tr>
      <w:tr>
        <w:trPr>
          <w:trHeight w:val="166"/>
        </w:trPr>
        <w:tc>
          <w:tcPr>
            <w:tcW w:w="8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Deferred contract acquisition costs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(55,238)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(27,531)</w:t>
            </w:r>
          </w:p>
        </w:tc>
      </w:tr>
      <w:tr>
        <w:trPr>
          <w:trHeight w:val="157"/>
        </w:trPr>
        <w:tc>
          <w:tcPr>
            <w:tcW w:w="87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320" w:type="dxa"/>
            <w:vAlign w:val="bottom"/>
          </w:tcPr>
          <w:p>
            <w:pPr>
              <w:spacing w:after="0"/>
              <w:rPr>
                <w:sz w:val="13"/>
                <w:szCs w:val="13"/>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(19,883)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(2,307)</w:t>
            </w:r>
          </w:p>
        </w:tc>
      </w:tr>
      <w:tr>
        <w:trPr>
          <w:trHeight w:val="166"/>
        </w:trPr>
        <w:tc>
          <w:tcPr>
            <w:tcW w:w="8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Accounts payable</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(3,773)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(6,280)</w:t>
            </w:r>
          </w:p>
        </w:tc>
      </w:tr>
      <w:tr>
        <w:trPr>
          <w:trHeight w:val="157"/>
        </w:trPr>
        <w:tc>
          <w:tcPr>
            <w:tcW w:w="87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32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3,405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(2,331)</w:t>
            </w:r>
          </w:p>
        </w:tc>
      </w:tr>
      <w:tr>
        <w:trPr>
          <w:trHeight w:val="166"/>
        </w:trPr>
        <w:tc>
          <w:tcPr>
            <w:tcW w:w="8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Accrued payroll and benefits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17,621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3,498</w:t>
            </w:r>
          </w:p>
        </w:tc>
      </w:tr>
      <w:tr>
        <w:trPr>
          <w:trHeight w:val="157"/>
        </w:trPr>
        <w:tc>
          <w:tcPr>
            <w:tcW w:w="87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Deferred revenue</w:t>
            </w:r>
          </w:p>
        </w:tc>
        <w:tc>
          <w:tcPr>
            <w:tcW w:w="32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157,239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72,219</w:t>
            </w:r>
          </w:p>
        </w:tc>
      </w:tr>
      <w:tr>
        <w:trPr>
          <w:trHeight w:val="166"/>
        </w:trPr>
        <w:tc>
          <w:tcPr>
            <w:tcW w:w="8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Other liabilities, noncurrent</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155</w:t>
            </w:r>
          </w:p>
        </w:tc>
      </w:tr>
      <w:tr>
        <w:trPr>
          <w:trHeight w:val="148"/>
        </w:trPr>
        <w:tc>
          <w:tcPr>
            <w:tcW w:w="87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Net cash provided by (used in) operating activities</w:t>
            </w:r>
          </w:p>
        </w:tc>
        <w:tc>
          <w:tcPr>
            <w:tcW w:w="320" w:type="dxa"/>
            <w:vAlign w:val="bottom"/>
          </w:tcPr>
          <w:p>
            <w:pPr>
              <w:spacing w:after="0"/>
              <w:rPr>
                <w:sz w:val="12"/>
                <w:szCs w:val="12"/>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33,836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(38,776)</w:t>
            </w:r>
          </w:p>
        </w:tc>
      </w:tr>
      <w:tr>
        <w:trPr>
          <w:trHeight w:val="16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Investing activities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57"/>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Purchases of property and equipment</w:t>
            </w:r>
          </w:p>
        </w:tc>
        <w:tc>
          <w:tcPr>
            <w:tcW w:w="320" w:type="dxa"/>
            <w:vAlign w:val="bottom"/>
          </w:tcPr>
          <w:p>
            <w:pPr>
              <w:spacing w:after="0"/>
              <w:rPr>
                <w:sz w:val="13"/>
                <w:szCs w:val="13"/>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(66,848)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(21,664)</w:t>
            </w:r>
          </w:p>
        </w:tc>
      </w:tr>
      <w:tr>
        <w:trPr>
          <w:trHeight w:val="16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Capitalized internal-use software</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(5,208)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(5,042)</w:t>
            </w:r>
          </w:p>
        </w:tc>
      </w:tr>
      <w:tr>
        <w:trPr>
          <w:trHeight w:val="157"/>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Purchases of marketable securities</w:t>
            </w:r>
          </w:p>
        </w:tc>
        <w:tc>
          <w:tcPr>
            <w:tcW w:w="320" w:type="dxa"/>
            <w:vAlign w:val="bottom"/>
          </w:tcPr>
          <w:p>
            <w:pPr>
              <w:spacing w:after="0"/>
              <w:rPr>
                <w:sz w:val="13"/>
                <w:szCs w:val="13"/>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(187,697)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(135,253)</w:t>
            </w:r>
          </w:p>
        </w:tc>
      </w:tr>
      <w:tr>
        <w:trPr>
          <w:trHeight w:val="16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 from sales of marketable securities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4,473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57"/>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Maturities of marketable securities</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197,764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30,600</w:t>
            </w:r>
          </w:p>
        </w:tc>
      </w:tr>
      <w:tr>
        <w:trPr>
          <w:trHeight w:val="157"/>
        </w:trPr>
        <w:tc>
          <w:tcPr>
            <w:tcW w:w="8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(57,516)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(131,359)</w:t>
            </w:r>
          </w:p>
        </w:tc>
      </w:tr>
      <w:tr>
        <w:trPr>
          <w:trHeight w:val="157"/>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Financing activities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 from the issuance of common stock upon initial public offering, net of underwriting discounts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665,092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57"/>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the issuance of redeemable convertible preferred stock, net of issuance costs</w:t>
            </w:r>
          </w:p>
        </w:tc>
        <w:tc>
          <w:tcPr>
            <w:tcW w:w="32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206,896</w:t>
            </w:r>
          </w:p>
        </w:tc>
      </w:tr>
      <w:tr>
        <w:trPr>
          <w:trHeight w:val="16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Repayment of loan payable</w:t>
            </w:r>
          </w:p>
        </w:tc>
        <w:tc>
          <w:tcPr>
            <w:tcW w:w="3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(6,158)</w:t>
            </w:r>
          </w:p>
        </w:tc>
      </w:tr>
      <w:tr>
        <w:trPr>
          <w:trHeight w:val="157"/>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revolving line of credit</w:t>
            </w:r>
          </w:p>
        </w:tc>
        <w:tc>
          <w:tcPr>
            <w:tcW w:w="32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10,000</w:t>
            </w:r>
          </w:p>
        </w:tc>
      </w:tr>
      <w:tr>
        <w:trPr>
          <w:trHeight w:val="16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Repayment of revolving line of credit</w:t>
            </w:r>
          </w:p>
        </w:tc>
        <w:tc>
          <w:tcPr>
            <w:tcW w:w="3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(20,000)</w:t>
            </w:r>
          </w:p>
        </w:tc>
      </w:tr>
      <w:tr>
        <w:trPr>
          <w:trHeight w:val="157"/>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Repayment of notes receivable from related parties</w:t>
            </w:r>
          </w:p>
        </w:tc>
        <w:tc>
          <w:tcPr>
            <w:tcW w:w="32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198</w:t>
            </w:r>
          </w:p>
        </w:tc>
      </w:tr>
      <w:tr>
        <w:trPr>
          <w:trHeight w:val="16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Payments of contingent consideration</w:t>
            </w:r>
          </w:p>
        </w:tc>
        <w:tc>
          <w:tcPr>
            <w:tcW w:w="3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(184)</w:t>
            </w:r>
          </w:p>
        </w:tc>
      </w:tr>
      <w:tr>
        <w:trPr>
          <w:trHeight w:val="157"/>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Payments of indemnity holdback</w:t>
            </w:r>
          </w:p>
        </w:tc>
        <w:tc>
          <w:tcPr>
            <w:tcW w:w="32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(500)</w:t>
            </w:r>
          </w:p>
        </w:tc>
      </w:tr>
      <w:tr>
        <w:trPr>
          <w:trHeight w:val="16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Repurchase of stock options</w:t>
            </w:r>
          </w:p>
        </w:tc>
        <w:tc>
          <w:tcPr>
            <w:tcW w:w="3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(2,330)</w:t>
            </w:r>
          </w:p>
        </w:tc>
      </w:tr>
      <w:tr>
        <w:trPr>
          <w:trHeight w:val="157"/>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Payments of deferred offering costs</w:t>
            </w:r>
          </w:p>
        </w:tc>
        <w:tc>
          <w:tcPr>
            <w:tcW w:w="320" w:type="dxa"/>
            <w:vAlign w:val="bottom"/>
          </w:tcPr>
          <w:p>
            <w:pPr>
              <w:spacing w:after="0"/>
              <w:rPr>
                <w:sz w:val="13"/>
                <w:szCs w:val="13"/>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(5,872)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6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 from issuance of common stock upon exercise of stock options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9,350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2,792</w:t>
            </w:r>
          </w:p>
        </w:tc>
      </w:tr>
      <w:tr>
        <w:trPr>
          <w:trHeight w:val="157"/>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Proceeds from the issuance of common stock upon exercise of early exercisable stock options</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10,264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57"/>
        </w:trPr>
        <w:tc>
          <w:tcPr>
            <w:tcW w:w="8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Net cash provided by financing activities</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678,834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190,714</w:t>
            </w:r>
          </w:p>
        </w:tc>
      </w:tr>
      <w:tr>
        <w:trPr>
          <w:trHeight w:val="129"/>
        </w:trPr>
        <w:tc>
          <w:tcPr>
            <w:tcW w:w="8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2"/>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Effect of foreign exchange rates on cash and cash equivalents</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(296)</w:t>
            </w:r>
          </w:p>
        </w:tc>
      </w:tr>
      <w:tr>
        <w:trPr>
          <w:trHeight w:val="148"/>
        </w:trPr>
        <w:tc>
          <w:tcPr>
            <w:tcW w:w="87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1"/>
                <w:szCs w:val="11"/>
                <w:color w:val="auto"/>
              </w:rPr>
              <w:t>Net increase in cash and cash equivalents</w:t>
            </w: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655,197</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20,283</w:t>
            </w:r>
          </w:p>
        </w:tc>
      </w:tr>
      <w:tr>
        <w:trPr>
          <w:trHeight w:val="157"/>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 beginning of period</w:t>
            </w: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88,408</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63,179</w:t>
            </w:r>
          </w:p>
        </w:tc>
      </w:tr>
      <w:tr>
        <w:trPr>
          <w:trHeight w:val="148"/>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 end of period</w:t>
            </w:r>
          </w:p>
        </w:tc>
        <w:tc>
          <w:tcPr>
            <w:tcW w:w="3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743,605</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83,462</w:t>
            </w: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28"/>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cash flow information:</w:t>
            </w: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57"/>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paid</w:t>
            </w:r>
          </w:p>
        </w:tc>
        <w:tc>
          <w:tcPr>
            <w:tcW w:w="32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449</w:t>
            </w:r>
          </w:p>
        </w:tc>
      </w:tr>
      <w:tr>
        <w:trPr>
          <w:trHeight w:val="16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taxes paid</w:t>
            </w:r>
          </w:p>
        </w:tc>
        <w:tc>
          <w:tcPr>
            <w:tcW w:w="3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1,054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576</w:t>
            </w:r>
          </w:p>
        </w:tc>
      </w:tr>
      <w:tr>
        <w:trPr>
          <w:trHeight w:val="157"/>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non-cash investing and financing activities: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Indemnity holdback consideration associated with business combinations</w:t>
            </w:r>
          </w:p>
        </w:tc>
        <w:tc>
          <w:tcPr>
            <w:tcW w:w="3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1,299</w:t>
            </w:r>
          </w:p>
        </w:tc>
      </w:tr>
      <w:tr>
        <w:trPr>
          <w:trHeight w:val="157"/>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Contingent consideration associated with business combinations</w:t>
            </w:r>
          </w:p>
        </w:tc>
        <w:tc>
          <w:tcPr>
            <w:tcW w:w="32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420</w:t>
            </w:r>
          </w:p>
        </w:tc>
      </w:tr>
      <w:tr>
        <w:trPr>
          <w:trHeight w:val="16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Conversion of redeemable convertible preferred stock to common stock</w:t>
            </w:r>
          </w:p>
        </w:tc>
        <w:tc>
          <w:tcPr>
            <w:tcW w:w="3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557,912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57"/>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Conversion of redeemable convertible preferred stock warrant liabilities reclassified to additional paid-in capital</w:t>
            </w:r>
          </w:p>
        </w:tc>
        <w:tc>
          <w:tcPr>
            <w:tcW w:w="32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10,559</w:t>
            </w:r>
          </w:p>
        </w:tc>
        <w:tc>
          <w:tcPr>
            <w:tcW w:w="100" w:type="dxa"/>
            <w:vAlign w:val="bottom"/>
          </w:tcPr>
          <w:p>
            <w:pPr>
              <w:spacing w:after="0"/>
              <w:rPr>
                <w:sz w:val="13"/>
                <w:szCs w:val="13"/>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6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(decrease) increase in deferred offering costs, accrued but not paid</w:t>
            </w:r>
          </w:p>
        </w:tc>
        <w:tc>
          <w:tcPr>
            <w:tcW w:w="3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(2,858)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552</w:t>
            </w:r>
          </w:p>
        </w:tc>
      </w:tr>
      <w:tr>
        <w:trPr>
          <w:trHeight w:val="153"/>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(decrease) increase in property and equipment included in accounts payable and accrued expenses</w:t>
            </w:r>
          </w:p>
        </w:tc>
        <w:tc>
          <w:tcPr>
            <w:tcW w:w="32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(715)</w:t>
            </w:r>
          </w:p>
        </w:tc>
        <w:tc>
          <w:tcPr>
            <w:tcW w:w="100" w:type="dxa"/>
            <w:vAlign w:val="bottom"/>
          </w:tcPr>
          <w:p>
            <w:pPr>
              <w:spacing w:after="0"/>
              <w:rPr>
                <w:sz w:val="13"/>
                <w:szCs w:val="13"/>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625</w:t>
            </w:r>
          </w:p>
        </w:tc>
      </w:tr>
    </w:tbl>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condensed consolidated financial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1. Description of Business and Basis of Presentation</w:t>
      </w:r>
    </w:p>
    <w:p>
      <w:pPr>
        <w:spacing w:after="0" w:line="188" w:lineRule="exact"/>
        <w:rPr>
          <w:sz w:val="20"/>
          <w:szCs w:val="20"/>
          <w:color w:val="auto"/>
        </w:rPr>
      </w:pPr>
    </w:p>
    <w:p>
      <w:pPr>
        <w:ind w:right="360" w:firstLine="517"/>
        <w:spacing w:after="0" w:line="269" w:lineRule="auto"/>
        <w:rPr>
          <w:sz w:val="20"/>
          <w:szCs w:val="20"/>
          <w:color w:val="auto"/>
        </w:rPr>
      </w:pPr>
      <w:r>
        <w:rPr>
          <w:rFonts w:ascii="Times New Roman" w:cs="Times New Roman" w:eastAsia="Times New Roman" w:hAnsi="Times New Roman"/>
          <w:sz w:val="14"/>
          <w:szCs w:val="14"/>
          <w:color w:val="auto"/>
        </w:rPr>
        <w:t>CrowdStrike Holdings, Inc. (the “Company”) was formed on November 7, 2011. The Company provides a leading cloud-delivered solution for next-generation endpoint protection that offers 10 cloud modules on its Falcon platform via a SaaS subscription-based model that spans multiple large security markets, including endpoint security, security and IT operations (including vulnerability management), and threat intelligence. The Company is headquartered in Sunnyvale, California. The Company conducts its business in the United States, as well as locations internationally, including in Australia, Germany, India, Romania, and the United Kingdom.</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June 14, 2019, the Company closed its initial public offering (“IPO”), in which it sold 20,700,000 shares of Class A common stock. The shares were sold at a public offering price</w:t>
      </w:r>
    </w:p>
    <w:p>
      <w:pPr>
        <w:spacing w:after="0" w:line="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of $34.00 per share for net proceeds of $659.2 million, after deducting underwriters’ discounts and commissions and offering expenses of $44.8 million. Immediately prior to the closing of the IPO, all outstanding shares of redeemable convertible preferred stock automatically converted into 131,267,586 shares of Class B common stock on a one-to-one basis. Additionally, in connection with the IPO all of the Company’s outstanding common stock was reclassified into shares of Class B common stock on a one-for-one basis. Redeemable convertible preferred stock warrants also converted into 336,386 warrants to purchase Class B common stock on a one-to-one basis.</w:t>
      </w:r>
    </w:p>
    <w:p>
      <w:pPr>
        <w:spacing w:after="0" w:line="142" w:lineRule="exact"/>
        <w:rPr>
          <w:sz w:val="20"/>
          <w:szCs w:val="20"/>
          <w:color w:val="auto"/>
        </w:rPr>
      </w:pPr>
    </w:p>
    <w:p>
      <w:pPr>
        <w:ind w:left="520" w:right="8660" w:hanging="514"/>
        <w:spacing w:after="0" w:line="517" w:lineRule="auto"/>
        <w:tabs>
          <w:tab w:leader="none" w:pos="146" w:val="left"/>
        </w:tabs>
        <w:numPr>
          <w:ilvl w:val="0"/>
          <w:numId w:val="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Summary of Significant Accounting Policies Basis of Presentation</w:t>
      </w:r>
    </w:p>
    <w:p>
      <w:pPr>
        <w:ind w:firstLine="517"/>
        <w:spacing w:after="0" w:line="263" w:lineRule="auto"/>
        <w:rPr>
          <w:sz w:val="20"/>
          <w:szCs w:val="20"/>
          <w:color w:val="auto"/>
        </w:rPr>
      </w:pPr>
      <w:r>
        <w:rPr>
          <w:rFonts w:ascii="Times New Roman" w:cs="Times New Roman" w:eastAsia="Times New Roman" w:hAnsi="Times New Roman"/>
          <w:sz w:val="14"/>
          <w:szCs w:val="14"/>
          <w:color w:val="auto"/>
        </w:rPr>
        <w:t>The accompanying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2019,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adjustments (consisting only of normal recurring adjustments) that are necessary for the fair statement of the Company’s condensed consolidated financial information. The results of operations for the three and nine months ended October 31, 2019 are not necessarily indicative of the results to be expected for the year ending January 31, 2020 or for any other interim period or for any other future year.</w:t>
      </w:r>
    </w:p>
    <w:p>
      <w:pPr>
        <w:spacing w:after="0" w:line="145" w:lineRule="exact"/>
        <w:rPr>
          <w:sz w:val="20"/>
          <w:szCs w:val="20"/>
          <w:color w:val="auto"/>
        </w:rPr>
      </w:pPr>
    </w:p>
    <w:p>
      <w:pPr>
        <w:ind w:right="40" w:firstLine="517"/>
        <w:spacing w:after="0" w:line="269" w:lineRule="auto"/>
        <w:rPr>
          <w:sz w:val="20"/>
          <w:szCs w:val="20"/>
          <w:color w:val="auto"/>
        </w:rPr>
      </w:pPr>
      <w:r>
        <w:rPr>
          <w:rFonts w:ascii="Times New Roman" w:cs="Times New Roman" w:eastAsia="Times New Roman" w:hAnsi="Times New Roman"/>
          <w:sz w:val="14"/>
          <w:szCs w:val="14"/>
          <w:color w:val="auto"/>
        </w:rPr>
        <w:t>Certain information and footnote disclosures normally included in the financial statements prepared in accordance with U.S. GAAP have been condensed or omitted pursuant to the applicable required disclosures and regulations of the SEC. Therefore, the accompanying interim unaudited condensed consolidated financial statements and related financial information should be read in conjunction with the audited consolidated financial statements and the related notes thereto as of and for the year ended January 31, 2019 included in the Company’s prospectus dated June 11, 2019 filed with the SEC pursuant to Rule 424(b) under the Securities Act of 1933, as amended.</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188" w:lineRule="exact"/>
        <w:rPr>
          <w:sz w:val="20"/>
          <w:szCs w:val="20"/>
          <w:color w:val="auto"/>
        </w:rPr>
      </w:pPr>
    </w:p>
    <w:p>
      <w:pPr>
        <w:ind w:right="140" w:firstLine="517"/>
        <w:spacing w:after="0" w:line="294" w:lineRule="auto"/>
        <w:rPr>
          <w:sz w:val="20"/>
          <w:szCs w:val="20"/>
          <w:color w:val="auto"/>
        </w:rPr>
      </w:pPr>
      <w:r>
        <w:rPr>
          <w:rFonts w:ascii="Times New Roman" w:cs="Times New Roman" w:eastAsia="Times New Roman" w:hAnsi="Times New Roman"/>
          <w:sz w:val="14"/>
          <w:szCs w:val="14"/>
          <w:color w:val="auto"/>
        </w:rPr>
        <w:t>The condensed consolidated financial statements include the accounts of the Company and its wholly owned subsidiaries. All intercompany balances and transactions have been eliminated in consolidation.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JOBS Act Accounting Election</w:t>
      </w:r>
    </w:p>
    <w:p>
      <w:pPr>
        <w:spacing w:after="0" w:line="188" w:lineRule="exact"/>
        <w:rPr>
          <w:sz w:val="20"/>
          <w:szCs w:val="20"/>
          <w:color w:val="auto"/>
        </w:rPr>
      </w:pPr>
    </w:p>
    <w:p>
      <w:pPr>
        <w:ind w:right="100" w:firstLine="517"/>
        <w:spacing w:after="0" w:line="266" w:lineRule="auto"/>
        <w:rPr>
          <w:sz w:val="20"/>
          <w:szCs w:val="20"/>
          <w:color w:val="auto"/>
        </w:rPr>
      </w:pPr>
      <w:r>
        <w:rPr>
          <w:rFonts w:ascii="Times New Roman" w:cs="Times New Roman" w:eastAsia="Times New Roman" w:hAnsi="Times New Roman"/>
          <w:sz w:val="14"/>
          <w:szCs w:val="14"/>
          <w:color w:val="auto"/>
        </w:rPr>
        <w:t>The Company is an “emerging growth company” (“EGC”) as defined in the Jumpstart Our Business Startups Act of 2012 (“JOBS Act”). An EGC may take advantage of specified reduced reporting requirements that are otherwise applicable generally to public companies, including, but not limited to, delayed adoption of new or revised accounting pronouncements applicable to public companies until such pronouncements are made applicable to private companies, not being required to comply with the auditor attestation requirements of Section 404 of the Sarbanes-Oxley Act of 2002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00" w:firstLine="517"/>
        <w:spacing w:after="0" w:line="266" w:lineRule="auto"/>
        <w:rPr>
          <w:sz w:val="20"/>
          <w:szCs w:val="20"/>
          <w:color w:val="auto"/>
        </w:rPr>
      </w:pPr>
      <w:r>
        <w:rPr>
          <w:rFonts w:ascii="Times New Roman" w:cs="Times New Roman" w:eastAsia="Times New Roman" w:hAnsi="Times New Roman"/>
          <w:sz w:val="14"/>
          <w:szCs w:val="14"/>
          <w:color w:val="auto"/>
        </w:rPr>
        <w:t>The Company may take advantage of these exemptions until it is no longer an EGC. The Company would cease to be an EGC upon the earliest to occur of: (i) the first fiscal year following the fifth anniversary of its initial public offering; (ii) the first fiscal year after annual gross revenue is $1.07 billion or more; (iii) the date on which the Company has, during the previous three-year period, issued more than $1.0 billion in non-convertible debt securities; or (iv) the date on which the Company qualifies as a “large accelerated filer,” as defined in Rule 12b-2 under the Exchange Act, which would occur at the end of any fiscal year in which the market value of the Company’s common stock held by non-affiliates exceeded $700.0 million as of the end of the second quarter of that fiscal year, and as of the end of such fiscal year the Company has been a reporting company for at least 12 months.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88" w:lineRule="exact"/>
        <w:rPr>
          <w:sz w:val="20"/>
          <w:szCs w:val="20"/>
          <w:color w:val="auto"/>
        </w:rPr>
      </w:pPr>
    </w:p>
    <w:p>
      <w:pPr>
        <w:ind w:right="500" w:firstLine="517"/>
        <w:spacing w:after="0" w:line="269"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 could be material to the Company’s condensed consolidated financial statements.</w:t>
      </w:r>
    </w:p>
    <w:p>
      <w:pPr>
        <w:spacing w:after="0" w:line="140" w:lineRule="exact"/>
        <w:rPr>
          <w:sz w:val="20"/>
          <w:szCs w:val="20"/>
          <w:color w:val="auto"/>
        </w:rPr>
      </w:pPr>
    </w:p>
    <w:p>
      <w:pPr>
        <w:ind w:right="80" w:firstLine="517"/>
        <w:spacing w:after="0" w:line="275" w:lineRule="auto"/>
        <w:rPr>
          <w:sz w:val="20"/>
          <w:szCs w:val="20"/>
          <w:color w:val="auto"/>
        </w:rPr>
      </w:pPr>
      <w:r>
        <w:rPr>
          <w:rFonts w:ascii="Times New Roman" w:cs="Times New Roman" w:eastAsia="Times New Roman" w:hAnsi="Times New Roman"/>
          <w:sz w:val="14"/>
          <w:szCs w:val="14"/>
          <w:color w:val="auto"/>
        </w:rPr>
        <w:t>Estimates and assumptions used by management affect revenue recognition, the allowance for doubtful accounts, the carrying value of long-lived assets, the useful lives of long-lived assets, the fair value of financial instruments, the period of benefit for deferred contract acquisition costs, the recognition and disclosure of contingent liabilities, income taxes, stock-based compensation, and the fair value of the Company’s common stock and redeemable convertible preferred stock warrants.</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 and Geographic Information</w:t>
      </w:r>
    </w:p>
    <w:p>
      <w:pPr>
        <w:spacing w:after="0" w:line="188" w:lineRule="exact"/>
        <w:rPr>
          <w:sz w:val="20"/>
          <w:szCs w:val="20"/>
          <w:color w:val="auto"/>
        </w:rPr>
      </w:pPr>
    </w:p>
    <w:p>
      <w:pPr>
        <w:jc w:val="both"/>
        <w:ind w:right="120" w:firstLine="517"/>
        <w:spacing w:after="0" w:line="275" w:lineRule="auto"/>
        <w:rPr>
          <w:sz w:val="20"/>
          <w:szCs w:val="20"/>
          <w:color w:val="auto"/>
        </w:rPr>
      </w:pPr>
      <w:r>
        <w:rPr>
          <w:rFonts w:ascii="Times New Roman" w:cs="Times New Roman" w:eastAsia="Times New Roman" w:hAnsi="Times New Roman"/>
          <w:sz w:val="14"/>
          <w:szCs w:val="14"/>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 Due to the nature of the Company’s services and the terms and conditions of the Company’s contracts with its channel partners, the Company’s business could be affected unfavorably if it is not able to continue its relationships with them.</w:t>
      </w:r>
    </w:p>
    <w:p>
      <w:pPr>
        <w:spacing w:after="0" w:line="136"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of cash, cash equivalents and accounts receivable. The Company’s cash is placed with high-credit-quality financial institutions and issuers, and at times exceed federally insured limits. The Company limits its concentration of risk in cash equivalents and marketable securities by diversifying its investments among a variety of industries and issuers. The Company has not experienced any credit loss relating to its cash equivalents and marketable securities. The Company performs periodic credit evaluations of its customers and generally does not require collateral.</w:t>
      </w:r>
    </w:p>
    <w:p>
      <w:pPr>
        <w:spacing w:after="0" w:line="140" w:lineRule="exact"/>
        <w:rPr>
          <w:sz w:val="20"/>
          <w:szCs w:val="20"/>
          <w:color w:val="auto"/>
        </w:rPr>
      </w:pPr>
    </w:p>
    <w:p>
      <w:pPr>
        <w:ind w:right="40" w:firstLine="517"/>
        <w:spacing w:after="0" w:line="275" w:lineRule="auto"/>
        <w:rPr>
          <w:sz w:val="20"/>
          <w:szCs w:val="20"/>
          <w:color w:val="auto"/>
        </w:rPr>
      </w:pPr>
      <w:r>
        <w:rPr>
          <w:rFonts w:ascii="Times New Roman" w:cs="Times New Roman" w:eastAsia="Times New Roman" w:hAnsi="Times New Roman"/>
          <w:sz w:val="14"/>
          <w:szCs w:val="14"/>
          <w:color w:val="auto"/>
        </w:rPr>
        <w:t>No channel partner or direct customer accounted for 10% or more of the Company’s consolidated accounts receivable as of October 31, 2019. There were no channel partners who accounted for 10% or more of the Company’s consolidated accounts receivable as of January 31, 2019. Outstanding accounts receivable from two of the Company’s direct customers accounted for 10% and 19% of its consolidated accounts receivable as of January 31, 2019.</w:t>
      </w:r>
    </w:p>
    <w:p>
      <w:pPr>
        <w:spacing w:after="0" w:line="136" w:lineRule="exact"/>
        <w:rPr>
          <w:sz w:val="20"/>
          <w:szCs w:val="20"/>
          <w:color w:val="auto"/>
        </w:rPr>
      </w:pPr>
    </w:p>
    <w:p>
      <w:pPr>
        <w:ind w:right="200" w:firstLine="517"/>
        <w:spacing w:after="0" w:line="294" w:lineRule="auto"/>
        <w:rPr>
          <w:sz w:val="20"/>
          <w:szCs w:val="20"/>
          <w:color w:val="auto"/>
        </w:rPr>
      </w:pPr>
      <w:r>
        <w:rPr>
          <w:rFonts w:ascii="Times New Roman" w:cs="Times New Roman" w:eastAsia="Times New Roman" w:hAnsi="Times New Roman"/>
          <w:sz w:val="14"/>
          <w:szCs w:val="14"/>
          <w:color w:val="auto"/>
        </w:rPr>
        <w:t>Revenue from sales to one of the Company’s channel partners accounted for 10% and 15% of its consolidated revenue for the three months ended October 31, 2019 and October 31, 2018, respectively, and 11% and 17% of its consolidated revenue for the nine months ended October 31, 2019 and October 31, 2018, respectively.</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were no direct customers who represented 10% or more of the Company’s total revenue during the three and nine months ended October 31, 2019 and October 31, 2018.</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Cash Equivalents and Marketable Securities</w:t>
      </w:r>
    </w:p>
    <w:p>
      <w:pPr>
        <w:spacing w:after="0" w:line="188" w:lineRule="exact"/>
        <w:rPr>
          <w:sz w:val="20"/>
          <w:szCs w:val="20"/>
          <w:color w:val="auto"/>
        </w:rPr>
      </w:pPr>
    </w:p>
    <w:p>
      <w:pPr>
        <w:ind w:right="40" w:firstLine="517"/>
        <w:spacing w:after="0" w:line="263" w:lineRule="auto"/>
        <w:rPr>
          <w:sz w:val="20"/>
          <w:szCs w:val="20"/>
          <w:color w:val="auto"/>
        </w:rPr>
      </w:pPr>
      <w:r>
        <w:rPr>
          <w:rFonts w:ascii="Times New Roman" w:cs="Times New Roman" w:eastAsia="Times New Roman" w:hAnsi="Times New Roman"/>
          <w:sz w:val="14"/>
          <w:szCs w:val="14"/>
          <w:color w:val="auto"/>
        </w:rPr>
        <w:t>The Company considers all highly liquid investments with original maturities of three months or less at date of purchase to be cash equivalents. Cash equivalents as of October 31, 2019 and January 31, 2019 consisted of corporate debt securities and money market funds stated at fair value. The Company classifies investments in marketable securities as available-for-sale securities at the time of purchase. The Company classifies its available-for-sale securities as current or long-term based on the nature of the investments and their availability for use in current operations. Available-for-sale securities are carried at fair value with unrealized gains and losses, if any, included in accumulated other comprehensive income (loss). Unrealized losses are recorded in other income (expense), net, for declines in fair value below the cost of an individual investment that is deemed to be other-than-temporary. The Company did not identify any marketable securities as other-than-temporarily impaired as of October 31, 2019 and January 31, 2019. The Company determines realized gains or losses on the sale of marketable securities on a specific identification method and records such gains or losses in Other income (expense), net. Marketable securities as of October 31, 2019 and January 31, 2019 consisted of corporate debt securities and U.S. treasury securities.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Strategic Investments</w:t>
      </w:r>
    </w:p>
    <w:p>
      <w:pPr>
        <w:spacing w:after="0" w:line="188" w:lineRule="exact"/>
        <w:rPr>
          <w:sz w:val="20"/>
          <w:szCs w:val="20"/>
          <w:color w:val="auto"/>
        </w:rPr>
      </w:pPr>
    </w:p>
    <w:p>
      <w:pPr>
        <w:ind w:right="20" w:firstLine="517"/>
        <w:spacing w:after="0" w:line="260" w:lineRule="auto"/>
        <w:rPr>
          <w:sz w:val="20"/>
          <w:szCs w:val="20"/>
          <w:color w:val="auto"/>
        </w:rPr>
      </w:pPr>
      <w:r>
        <w:rPr>
          <w:rFonts w:ascii="Times New Roman" w:cs="Times New Roman" w:eastAsia="Times New Roman" w:hAnsi="Times New Roman"/>
          <w:sz w:val="14"/>
          <w:szCs w:val="14"/>
          <w:color w:val="auto"/>
        </w:rPr>
        <w:t>In July 2019, the Company agreed to commit up to $10.0 million to a newly formed entity, CrowdStrike Falcon Fund LLC (“Falcon Fund”) in exchange for 50% of the sharing percentage of any distribution by Falcon Fund. Entities associated with Accel, a holder of more than 5% of the Company’s capital stock, also agreed to commit up to $10.0 million to Falcon Fund, and collectively own the remaining 50% of the sharing percentage of Falcon Fund. Falcon Fund is in the business of purchasing, selling, investing and trading in minority equity and convertible debt securities of privately-held companies that develop applications that have potential for substantial contribution to CrowdStrike and its platform. The Company is the manager of the Falcon Fund and controls the investment decisions and day-to-day operations and accordingly will consolidate the Falcon Fund. Falcon Fund has a duration of ten years and may be extended for three additional years. At dissolution, Falcon Fund will be liquidated and the remaining assets will be distributed to the investors based on their respective sharing percentage. As of October 31, 2019, neither the Company nor Accel had made a contribution to Falcon Fund and Falcon Fund had no net assets or operating activities. The Company has elected the measurement alternative for the non-marketable equity investments of the Falcon Fund. Under the measurement alternative, the equity investments are measured at cost, less any impairment, plus or minus changes resulting from observable price changes in orderly transactions for the identical or a similar investment of the same issuer. The non-marketable equity investments of the Falcon Fund will be valued using significant unobservable inputs or data in inactive markets which require judgment due to the absence of market prices and inherent lack of liquidity. As a result, there could be volatility in the Company’s consolidated statements of operations in future periods due to the valuation and timing of identical or similar investments of the same issuer.</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88" w:lineRule="exact"/>
        <w:rPr>
          <w:sz w:val="20"/>
          <w:szCs w:val="20"/>
          <w:color w:val="auto"/>
        </w:rPr>
      </w:pPr>
    </w:p>
    <w:p>
      <w:pPr>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The Company’s financial instruments consist of cash equivalents, marketable securities, accounts receivable, accounts payable, accrued expenses, and redeemable convertible preferred stock warrant liability. The carrying values of cash equivalents, accounts receivable, accounts payable, and accrued expenses approximate fair value due to their short-term nature. Refer to Note 3, </w:t>
      </w:r>
      <w:r>
        <w:rPr>
          <w:rFonts w:ascii="Times New Roman" w:cs="Times New Roman" w:eastAsia="Times New Roman" w:hAnsi="Times New Roman"/>
          <w:sz w:val="14"/>
          <w:szCs w:val="14"/>
          <w:i w:val="1"/>
          <w:iCs w:val="1"/>
          <w:color w:val="auto"/>
        </w:rPr>
        <w:t>Fair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Value Measurements and Marketable Securities </w:t>
      </w:r>
      <w:r>
        <w:rPr>
          <w:rFonts w:ascii="Times New Roman" w:cs="Times New Roman" w:eastAsia="Times New Roman" w:hAnsi="Times New Roman"/>
          <w:sz w:val="14"/>
          <w:szCs w:val="14"/>
          <w:color w:val="auto"/>
        </w:rPr>
        <w:t>regarding the fair value of the Company’s marketable securities.</w:t>
      </w:r>
    </w:p>
    <w:p>
      <w:pPr>
        <w:spacing w:after="0" w:line="156" w:lineRule="exact"/>
        <w:rPr>
          <w:sz w:val="20"/>
          <w:szCs w:val="20"/>
          <w:color w:val="auto"/>
        </w:rPr>
      </w:pPr>
    </w:p>
    <w:p>
      <w:pPr>
        <w:ind w:right="20" w:firstLine="517"/>
        <w:spacing w:after="0" w:line="249" w:lineRule="auto"/>
        <w:rPr>
          <w:sz w:val="20"/>
          <w:szCs w:val="20"/>
          <w:color w:val="auto"/>
        </w:rPr>
      </w:pPr>
      <w:r>
        <w:rPr>
          <w:rFonts w:ascii="Times New Roman" w:cs="Times New Roman" w:eastAsia="Times New Roman" w:hAnsi="Times New Roman"/>
          <w:sz w:val="14"/>
          <w:szCs w:val="14"/>
          <w:color w:val="auto"/>
        </w:rPr>
        <w:t xml:space="preserve">The Company reports the redeemable convertible preferred stock warrant liability at fair value (see Note 3,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The warrants issued by the Company for redeemable convertible preferred stock in January 2015, December 2016, and March 2017 (see Note 7, </w:t>
      </w:r>
      <w:r>
        <w:rPr>
          <w:rFonts w:ascii="Times New Roman" w:cs="Times New Roman" w:eastAsia="Times New Roman" w:hAnsi="Times New Roman"/>
          <w:sz w:val="14"/>
          <w:szCs w:val="14"/>
          <w:i w:val="1"/>
          <w:iCs w:val="1"/>
          <w:color w:val="auto"/>
        </w:rPr>
        <w:t>Redeemable Convertible Preferred Stock</w:t>
      </w:r>
      <w:r>
        <w:rPr>
          <w:rFonts w:ascii="Times New Roman" w:cs="Times New Roman" w:eastAsia="Times New Roman" w:hAnsi="Times New Roman"/>
          <w:sz w:val="14"/>
          <w:szCs w:val="14"/>
          <w:color w:val="auto"/>
        </w:rPr>
        <w:t>) have been recorded as a liability based on “Level 3” inputs, which consist of unobservable inputs and reflect management’s estimates of assumptions that market participants would use in pricing the liability. The fair value of the warrants was determined using the Black-Scholes option-pricing model, which is affected by changes in inputs to that model including the Company’s stock price, expected stock price volatility, risk-free rate, and contractual term. Immediately prior to the closing of the IPO on June 14, 2019, the redeemable convertible preferred stock warrants converted into 336,386 warrants to purchase Class B common stock on a one-to-one basis. The redeemable convertible preferred stock warrant liability was reclassified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and Allowance for Doubtful Accounts</w:t>
      </w:r>
    </w:p>
    <w:p>
      <w:pPr>
        <w:spacing w:after="0" w:line="188" w:lineRule="exact"/>
        <w:rPr>
          <w:sz w:val="20"/>
          <w:szCs w:val="20"/>
          <w:color w:val="auto"/>
        </w:rPr>
      </w:pPr>
    </w:p>
    <w:p>
      <w:pPr>
        <w:ind w:right="120" w:firstLine="517"/>
        <w:spacing w:after="0" w:line="263" w:lineRule="auto"/>
        <w:rPr>
          <w:sz w:val="20"/>
          <w:szCs w:val="20"/>
          <w:color w:val="auto"/>
        </w:rPr>
      </w:pPr>
      <w:r>
        <w:rPr>
          <w:rFonts w:ascii="Times New Roman" w:cs="Times New Roman" w:eastAsia="Times New Roman" w:hAnsi="Times New Roman"/>
          <w:sz w:val="14"/>
          <w:szCs w:val="14"/>
          <w:color w:val="auto"/>
        </w:rPr>
        <w:t>Accounts receivable are recorded at the invoiced amount and are non-interest bearing. Accounts receivable are stated at their net realizable value, net of an allowance for doubtful accounts. The Company has a well-established collections history from its customers. Credit is extended to customers based on an evaluation of their financial condition and other factors. The Company generally does not require collateral from its customers; however, the Company may require payment prior to commencing service in certain instances to limit credit risk. The Company records an allowance for doubtful accounts based on management’s assessment of the collectability of accounts. Management regularly reviews the adequacy of the allowance for doubtful accounts by considering the age of each outstanding invoice, each customer’s expected ability to pay, and the collection history with each customer, when applicable, to determine whether the allowance is appropriate. Amounts deemed uncollectible are written off against the allowance for doubtful accounts. As of October 31, 2019 and January 31, 2019, the allowance for doubtful accounts was $1.4 million and $1.0 million, respectively.</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w:t>
      </w:r>
    </w:p>
    <w:p>
      <w:pPr>
        <w:spacing w:after="0" w:line="188" w:lineRule="exact"/>
        <w:rPr>
          <w:sz w:val="20"/>
          <w:szCs w:val="20"/>
          <w:color w:val="auto"/>
        </w:rPr>
      </w:pPr>
    </w:p>
    <w:p>
      <w:pPr>
        <w:ind w:right="20" w:firstLine="517"/>
        <w:spacing w:after="0" w:line="269" w:lineRule="auto"/>
        <w:rPr>
          <w:sz w:val="20"/>
          <w:szCs w:val="20"/>
          <w:color w:val="auto"/>
        </w:rPr>
      </w:pPr>
      <w:r>
        <w:rPr>
          <w:rFonts w:ascii="Times New Roman" w:cs="Times New Roman" w:eastAsia="Times New Roman" w:hAnsi="Times New Roman"/>
          <w:sz w:val="14"/>
          <w:szCs w:val="14"/>
          <w:color w:val="auto"/>
        </w:rPr>
        <w:t>Deferred offering costs of $2.9 million have been recorded as other assets on the condensed consolidated balance sheet as of January 31, 2019, and consist of expenses incurred in connection with the Company’s IPO, including legal, accounting, printing, and other IPO-related costs. Subsequent to January 31, 2019, the Company capitalized an additional $3.0 million of offering costs. Upon the close of the IPO on June 14, 2019, all of these deferred offering costs were reclassified to stockholders’ equity and recorded against the proceeds from the offering. As of October 31, 2019, the Company had paid all $5.9 million of these deferred offering costs.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188" w:lineRule="exact"/>
        <w:rPr>
          <w:sz w:val="20"/>
          <w:szCs w:val="20"/>
          <w:color w:val="auto"/>
        </w:rPr>
      </w:pPr>
    </w:p>
    <w:p>
      <w:pPr>
        <w:ind w:right="120" w:firstLine="517"/>
        <w:spacing w:after="0" w:line="284" w:lineRule="auto"/>
        <w:rPr>
          <w:sz w:val="20"/>
          <w:szCs w:val="20"/>
          <w:color w:val="auto"/>
        </w:rPr>
      </w:pPr>
      <w:r>
        <w:rPr>
          <w:rFonts w:ascii="Times New Roman" w:cs="Times New Roman" w:eastAsia="Times New Roman" w:hAnsi="Times New Roman"/>
          <w:sz w:val="14"/>
          <w:szCs w:val="14"/>
          <w:color w:val="auto"/>
        </w:rPr>
        <w:t>Property and equipment, net, is stated at historical cost less accumulated depreciation and amortization. Depreciation and amortization are calculated using the straight-line method over the estimated useful lives of the assets as follows:</w:t>
      </w:r>
    </w:p>
    <w:tbl>
      <w:tblPr>
        <w:tblLayout w:type="fixed"/>
        <w:tblInd w:w="0" w:type="dxa"/>
        <w:tblCellMar>
          <w:top w:w="0" w:type="dxa"/>
          <w:left w:w="0" w:type="dxa"/>
          <w:bottom w:w="0" w:type="dxa"/>
          <w:right w:w="0" w:type="dxa"/>
        </w:tblCellMar>
      </w:tblP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Data center and other computer equipment</w:t>
            </w:r>
          </w:p>
        </w:tc>
        <w:tc>
          <w:tcPr>
            <w:tcW w:w="6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3 - 5 years</w:t>
            </w:r>
          </w:p>
        </w:tc>
      </w:tr>
      <w:tr>
        <w:trPr>
          <w:trHeight w:val="193"/>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equipment</w:t>
            </w:r>
          </w:p>
        </w:tc>
        <w:tc>
          <w:tcPr>
            <w:tcW w:w="6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 years</w:t>
            </w:r>
          </w:p>
        </w:tc>
      </w:tr>
      <w:tr>
        <w:trPr>
          <w:trHeight w:val="23"/>
        </w:trPr>
        <w:tc>
          <w:tcPr>
            <w:tcW w:w="5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Purchased software</w:t>
            </w:r>
          </w:p>
        </w:tc>
        <w:tc>
          <w:tcPr>
            <w:tcW w:w="6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3 - 5 years</w:t>
            </w:r>
          </w:p>
        </w:tc>
      </w:tr>
      <w:tr>
        <w:trPr>
          <w:trHeight w:val="193"/>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internal-use software</w:t>
            </w:r>
          </w:p>
        </w:tc>
        <w:tc>
          <w:tcPr>
            <w:tcW w:w="6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 years</w:t>
            </w:r>
          </w:p>
        </w:tc>
      </w:tr>
      <w:tr>
        <w:trPr>
          <w:trHeight w:val="23"/>
        </w:trPr>
        <w:tc>
          <w:tcPr>
            <w:tcW w:w="5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19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6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Estimated useful life or term of the lease, whichever is shorter</w:t>
            </w:r>
          </w:p>
        </w:tc>
      </w:tr>
      <w:tr>
        <w:trPr>
          <w:trHeight w:val="23"/>
        </w:trPr>
        <w:tc>
          <w:tcPr>
            <w:tcW w:w="5140" w:type="dxa"/>
            <w:vAlign w:val="bottom"/>
            <w:shd w:val="clear" w:color="auto" w:fill="CCEEFF"/>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r>
    </w:tbl>
    <w:p>
      <w:pPr>
        <w:spacing w:after="0" w:line="158" w:lineRule="exact"/>
        <w:rPr>
          <w:sz w:val="20"/>
          <w:szCs w:val="20"/>
          <w:color w:val="auto"/>
        </w:rPr>
      </w:pPr>
    </w:p>
    <w:p>
      <w:pPr>
        <w:jc w:val="both"/>
        <w:ind w:right="60" w:firstLine="517"/>
        <w:spacing w:after="0" w:line="275" w:lineRule="auto"/>
        <w:rPr>
          <w:sz w:val="20"/>
          <w:szCs w:val="20"/>
          <w:color w:val="auto"/>
        </w:rPr>
      </w:pPr>
      <w:r>
        <w:rPr>
          <w:rFonts w:ascii="Times New Roman" w:cs="Times New Roman" w:eastAsia="Times New Roman" w:hAnsi="Times New Roman"/>
          <w:sz w:val="14"/>
          <w:szCs w:val="14"/>
          <w:color w:val="auto"/>
        </w:rPr>
        <w:t>Expenditures for routine maintenance and repairs are charged to operating expense as incurred. Major renewals and improvements are capitalized and depreciated over their estimated useful lives. Upon retirement or other disposition of property and equipment, the cost and accumulated depreciation are removed from the accounts, and any gain or loss is recorded in operating expenses in the condensed consolidated statements of operations.</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Capitalized Internal-Use Software</w:t>
      </w:r>
    </w:p>
    <w:p>
      <w:pPr>
        <w:spacing w:after="0" w:line="188" w:lineRule="exact"/>
        <w:rPr>
          <w:sz w:val="20"/>
          <w:szCs w:val="20"/>
          <w:color w:val="auto"/>
        </w:rPr>
      </w:pPr>
    </w:p>
    <w:p>
      <w:pPr>
        <w:ind w:right="20" w:firstLine="517"/>
        <w:spacing w:after="0" w:line="260" w:lineRule="auto"/>
        <w:rPr>
          <w:sz w:val="20"/>
          <w:szCs w:val="20"/>
          <w:color w:val="auto"/>
        </w:rPr>
      </w:pPr>
      <w:r>
        <w:rPr>
          <w:rFonts w:ascii="Times New Roman" w:cs="Times New Roman" w:eastAsia="Times New Roman" w:hAnsi="Times New Roman"/>
          <w:sz w:val="14"/>
          <w:szCs w:val="14"/>
          <w:color w:val="auto"/>
        </w:rPr>
        <w:t>The Company capitalizes certain development costs incurred in connection with its internal-use software. These capitalized costs are primarily related to the Company’s cloud-delivered solution for next-generation endpoint protection. Costs incurred in the preliminary stages of development are expensed as incurred. Once an application has reached the development stage, internal and external costs, if direct, are capitalized until the software is substantially complete and ready for its intended use. Capitalization ceases upon completion of all substantial testing. The Company also capitalizes costs related to specific upgrades and enhancements when it is probable the expenditures will result in additional functionality. Capitalized costs are recorded as property and equipment, net. Maintenance and training costs are expensed as incurred. Internal-use software is amortized to cost of revenue on a straight-line basis over its estimated useful life of three years. Management evaluates the useful lives of these assets on an annual basis and tests for impairment whenever events or changes in circumstances occur that could impact the recoverability of these assets. There were no impairments of internal-use software during the three months ended October 31, 2019 and October 31, 2018. The Company capitalized $2.2 million and $1.8 million in internal-use software during the three months ended October 31, 2019 and October 31, 2018, respectively, and $5.7 million and $5.0 million during the nine months ended October 31, 2019 and October 31, 2018, respectively. Amortization expense associated with internal-use software totaled $1.6 million and $1.2 million during the three months ended October 31, 2019 and October 31, 2018, respectively, and $4.6 million and $3.5 million during the nine months ended October 31, 2019 and October 31, 2018, respectively. The net book value of capitalized internal-use software was $12.6 million and $11.5 million as of October 31, 2019 and January 31, 2019,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 Net</w:t>
      </w:r>
    </w:p>
    <w:p>
      <w:pPr>
        <w:spacing w:after="0" w:line="188" w:lineRule="exact"/>
        <w:rPr>
          <w:sz w:val="20"/>
          <w:szCs w:val="20"/>
          <w:color w:val="auto"/>
        </w:rPr>
      </w:pPr>
    </w:p>
    <w:p>
      <w:pPr>
        <w:ind w:right="140" w:firstLine="517"/>
        <w:spacing w:after="0" w:line="269" w:lineRule="auto"/>
        <w:rPr>
          <w:sz w:val="20"/>
          <w:szCs w:val="20"/>
          <w:color w:val="auto"/>
        </w:rPr>
      </w:pPr>
      <w:r>
        <w:rPr>
          <w:rFonts w:ascii="Times New Roman" w:cs="Times New Roman" w:eastAsia="Times New Roman" w:hAnsi="Times New Roman"/>
          <w:sz w:val="14"/>
          <w:szCs w:val="14"/>
          <w:color w:val="auto"/>
        </w:rPr>
        <w:t>Intangible assets, net, consisting of developed technology, customer relationships, and non-compete agreements, are stated at cost less accumulated amortization. All intangible assets have been determined to have definite lives and are amortized on a straight-line basis over their estimated economic lives of three to five years. Amortization expense related to developed technology is included in cost of revenue, amortization expense related to customer relationships is included in sales and marketing expenses, and amortization expense related to non-compete agreements is included in research and development expenses.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Deferred Contract Acquisition Costs</w:t>
      </w:r>
    </w:p>
    <w:p>
      <w:pPr>
        <w:spacing w:after="0" w:line="188" w:lineRule="exact"/>
        <w:rPr>
          <w:sz w:val="20"/>
          <w:szCs w:val="20"/>
          <w:color w:val="auto"/>
        </w:rPr>
      </w:pPr>
    </w:p>
    <w:p>
      <w:pPr>
        <w:ind w:firstLine="517"/>
        <w:spacing w:after="0" w:line="261" w:lineRule="auto"/>
        <w:rPr>
          <w:sz w:val="20"/>
          <w:szCs w:val="20"/>
          <w:color w:val="auto"/>
        </w:rPr>
      </w:pPr>
      <w:r>
        <w:rPr>
          <w:rFonts w:ascii="Times New Roman" w:cs="Times New Roman" w:eastAsia="Times New Roman" w:hAnsi="Times New Roman"/>
          <w:sz w:val="14"/>
          <w:szCs w:val="14"/>
          <w:color w:val="auto"/>
        </w:rPr>
        <w:t>The Company capitalizes contract acquisition costs that are incremental to the acquisition of customer contracts. Contract acquisition costs are accrued and capitalized upon execution of the sales contract by the customer. 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channel partners, paid upon the initial acquisition of a contract or subsequent upsell are amortized over an estimated period of benefit of four years while commissions paid for renewal contracts are amortized over the contractual term of the renewals. Sales commissions associated with professional service contract are amortized ratably over an estimated period of benefit of six months. The Company capitalized contract acquisition costs of $27.4 million, which is under ASC606, and $13.2 million, which is under ASC 605, during the three months ended October 31, 2019 and October 31, 2018, respectively, and $55.2 million, which is under ASC 606, and $27.5 million, which is under ASC 605, during the nine months ended October 31, 2019 and October 31, 2018, respectively. Contract acquisition cost amortization expense was $9.0 million, which is under ASC 606, and $7.3 million, which was under ASC 605, during the three months ended October 31, 2019 and October 31, 2018, respectively, and $24.1 million, which is under ASC 606, and $19.3 million, which was under ASC 605, during the nine months ended October 31, 2019 and October 31, 2018, respectively.</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88" w:lineRule="exact"/>
        <w:rPr>
          <w:sz w:val="20"/>
          <w:szCs w:val="20"/>
          <w:color w:val="auto"/>
        </w:rPr>
      </w:pPr>
    </w:p>
    <w:p>
      <w:pPr>
        <w:ind w:right="20" w:firstLine="517"/>
        <w:spacing w:after="0" w:line="263" w:lineRule="auto"/>
        <w:rPr>
          <w:sz w:val="20"/>
          <w:szCs w:val="20"/>
          <w:color w:val="auto"/>
        </w:rPr>
      </w:pPr>
      <w:r>
        <w:rPr>
          <w:rFonts w:ascii="Times New Roman" w:cs="Times New Roman" w:eastAsia="Times New Roman" w:hAnsi="Times New Roman"/>
          <w:sz w:val="14"/>
          <w:szCs w:val="14"/>
          <w:color w:val="auto"/>
        </w:rPr>
        <w:t>The Company reviews for impairment of long-lived assets whenever events or changes in circumstances indicate that the carrying amount of the asset (or asset group) may not be recoverable. Events and changes in circumstances considered by the Company in determining whether the carrying value of long-lived assets may not be recoverable, include, but are not limited to: significant changes in performance relative to expected operating results, significant changes in the use of the assets, significant negative industry or economic trends, and changes in the Company’s business strategy. Impairment testing is performed at an asset level that represents the lowest level for which identifiable cash flows are largely independent of the cash flows of other assets and liabilities (an “asset group”). An impairment loss would be recognized when estimated future cash flows expected to result from the use of the asset (or asset group) and its eventual disposition is less than its carrying amount. No impairment indicators were identified by the Company and no impairment losses were recorded by the Company during the three and nine months ended October 31, 2019 and October 31, 2018.</w:t>
      </w:r>
    </w:p>
    <w:p>
      <w:pPr>
        <w:spacing w:after="0" w:line="3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Deferred Revenue</w:t>
      </w:r>
    </w:p>
    <w:p>
      <w:pPr>
        <w:spacing w:after="0" w:line="188" w:lineRule="exact"/>
        <w:rPr>
          <w:sz w:val="20"/>
          <w:szCs w:val="20"/>
          <w:color w:val="auto"/>
        </w:rPr>
      </w:pPr>
    </w:p>
    <w:p>
      <w:pPr>
        <w:ind w:right="20" w:firstLine="517"/>
        <w:spacing w:after="0" w:line="269" w:lineRule="auto"/>
        <w:rPr>
          <w:sz w:val="20"/>
          <w:szCs w:val="20"/>
          <w:color w:val="auto"/>
        </w:rPr>
      </w:pPr>
      <w:r>
        <w:rPr>
          <w:rFonts w:ascii="Times New Roman" w:cs="Times New Roman" w:eastAsia="Times New Roman" w:hAnsi="Times New Roman"/>
          <w:sz w:val="14"/>
          <w:szCs w:val="14"/>
          <w:color w:val="auto"/>
        </w:rPr>
        <w:t>The deferred revenue balance consists of subscription and professional services which have been invoiced upfront and are recognized as revenue only when the revenue recognition criteria are met. The Company typically invoices its customers at the beginning of the term, or in some instances, such as in multi-year arrangements, in installments. Professional services are either invoiced upfront, invoiced in installments, or invoiced as the services are performed. Accordingly, the Company’s deferred revenue balance does not include revenues for future years of multi-year non-cancellable contracts that have not yet been billed.</w:t>
      </w:r>
    </w:p>
    <w:p>
      <w:pPr>
        <w:spacing w:after="0" w:line="140" w:lineRule="exact"/>
        <w:rPr>
          <w:sz w:val="20"/>
          <w:szCs w:val="20"/>
          <w:color w:val="auto"/>
        </w:rPr>
      </w:pPr>
    </w:p>
    <w:p>
      <w:pPr>
        <w:ind w:right="60" w:firstLine="517"/>
        <w:spacing w:after="0" w:line="269" w:lineRule="auto"/>
        <w:rPr>
          <w:sz w:val="20"/>
          <w:szCs w:val="20"/>
          <w:color w:val="auto"/>
        </w:rPr>
      </w:pPr>
      <w:r>
        <w:rPr>
          <w:rFonts w:ascii="Times New Roman" w:cs="Times New Roman" w:eastAsia="Times New Roman" w:hAnsi="Times New Roman"/>
          <w:sz w:val="14"/>
          <w:szCs w:val="14"/>
          <w:color w:val="auto"/>
        </w:rPr>
        <w:t>The Company recognizes subscription revenue ratably over the contract term beginning on the commencement date of each contract, the date that services are made available to customers. Once services are available to customers, the Company records amounts due in accounts receivable and in deferred revenue. To the extent the Company bills customers in advance of the contract commencement date, the accounts receivable and corresponding deferred revenue amounts are netted to zero on the condensed consolidated balance sheets, unless such amounts have been paid as of the balance sheet date.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Redeemable Convertible Preferred Stock Warrants</w:t>
      </w:r>
    </w:p>
    <w:p>
      <w:pPr>
        <w:spacing w:after="0" w:line="188" w:lineRule="exact"/>
        <w:rPr>
          <w:sz w:val="20"/>
          <w:szCs w:val="20"/>
          <w:color w:val="auto"/>
        </w:rPr>
      </w:pPr>
    </w:p>
    <w:p>
      <w:pPr>
        <w:ind w:right="80" w:firstLine="517"/>
        <w:spacing w:after="0" w:line="268" w:lineRule="auto"/>
        <w:rPr>
          <w:sz w:val="20"/>
          <w:szCs w:val="20"/>
          <w:color w:val="auto"/>
        </w:rPr>
      </w:pPr>
      <w:r>
        <w:rPr>
          <w:rFonts w:ascii="Times New Roman" w:cs="Times New Roman" w:eastAsia="Times New Roman" w:hAnsi="Times New Roman"/>
          <w:sz w:val="14"/>
          <w:szCs w:val="14"/>
          <w:color w:val="auto"/>
        </w:rPr>
        <w:t xml:space="preserve">Warrants related to the Company’s redeemable convertible preferred stock are classified as liabilities on the Company’s consolidated balance sheet. The warrants are subject to reassessment at each balance sheet date, and any change in fair value is recognized as a component of Other income (expense), net, in the condensed consolidated statements of operations. The Company will continue to adjust the liability for changes in fair value until the earlier of the expiration or exercise of the warrants, or upon their automatic conversion into warrants to purchase common stock in connection with a qualified initial public offering (as defined in Note 7, </w:t>
      </w:r>
      <w:r>
        <w:rPr>
          <w:rFonts w:ascii="Times New Roman" w:cs="Times New Roman" w:eastAsia="Times New Roman" w:hAnsi="Times New Roman"/>
          <w:sz w:val="14"/>
          <w:szCs w:val="14"/>
          <w:i w:val="1"/>
          <w:iCs w:val="1"/>
          <w:color w:val="auto"/>
        </w:rPr>
        <w:t>Redeemable Convertible Preferred Stock</w:t>
      </w:r>
      <w:r>
        <w:rPr>
          <w:rFonts w:ascii="Times New Roman" w:cs="Times New Roman" w:eastAsia="Times New Roman" w:hAnsi="Times New Roman"/>
          <w:sz w:val="14"/>
          <w:szCs w:val="14"/>
          <w:color w:val="auto"/>
        </w:rPr>
        <w:t>) such that they qualify for equity classification and no further remeasurement is required.</w:t>
      </w:r>
    </w:p>
    <w:p>
      <w:pPr>
        <w:spacing w:after="0" w:line="315" w:lineRule="exact"/>
        <w:rPr>
          <w:sz w:val="20"/>
          <w:szCs w:val="20"/>
          <w:color w:val="auto"/>
        </w:rPr>
      </w:pPr>
    </w:p>
    <w:p>
      <w:pPr>
        <w:ind w:firstLine="517"/>
        <w:spacing w:after="0" w:line="269" w:lineRule="auto"/>
        <w:rPr>
          <w:sz w:val="20"/>
          <w:szCs w:val="20"/>
          <w:color w:val="auto"/>
        </w:rPr>
      </w:pPr>
      <w:r>
        <w:rPr>
          <w:rFonts w:ascii="Times New Roman" w:cs="Times New Roman" w:eastAsia="Times New Roman" w:hAnsi="Times New Roman"/>
          <w:sz w:val="14"/>
          <w:szCs w:val="14"/>
          <w:color w:val="auto"/>
        </w:rPr>
        <w:t>Immediately prior to the closing of the IPO on June 14, 2019, the redeemable convertible preferred stock warrants converted into 336,386 warrants to purchase Class B common stock on a one-to-one basis. The redeemable convertible preferred stock warrant liability was reclassified to additional paid-in capital. Within the same month, the Company received notice from the holders of 336,386 warrants as to their intentions to exercise the warrants for shares of common stock of the Company. Such shares were settled via net settlement method, which was elected by the holders to reduce the number of shares issued upon exercise to reflect net settlement of the exercise price, resulting in the issuance of 322,278 shares of the Company’s common stock.</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 – ASC 606</w:t>
      </w:r>
    </w:p>
    <w:p>
      <w:pPr>
        <w:spacing w:after="0" w:line="188" w:lineRule="exact"/>
        <w:rPr>
          <w:sz w:val="20"/>
          <w:szCs w:val="20"/>
          <w:color w:val="auto"/>
        </w:rPr>
      </w:pPr>
    </w:p>
    <w:p>
      <w:pPr>
        <w:ind w:right="60" w:firstLine="517"/>
        <w:spacing w:after="0" w:line="275" w:lineRule="auto"/>
        <w:rPr>
          <w:sz w:val="20"/>
          <w:szCs w:val="20"/>
          <w:color w:val="auto"/>
        </w:rPr>
      </w:pPr>
      <w:r>
        <w:rPr>
          <w:rFonts w:ascii="Times New Roman" w:cs="Times New Roman" w:eastAsia="Times New Roman" w:hAnsi="Times New Roman"/>
          <w:sz w:val="14"/>
          <w:szCs w:val="14"/>
          <w:color w:val="auto"/>
        </w:rPr>
        <w:t>The Company adopted ASC 606 on February 1, 2019, using the modified retrospective transition method. Under this method, results for reporting periods beginning on February 1, 2019 are presented under Topic 606, while prior period amounts are not adjusted and continue to be reported in accordance with prior accounting under Topic 605. The Company has shown the effect of applying ASC 606 for the three months ended October 31, 2019 and the nine months ended October 31, 2019 in the disclosures below.</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cumulative effect of changes from the adoption of Topic 606 on the Company’s Condensed Consolidated Balance Sheets as of February 1, 2019:</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vMerge w:val="restart"/>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320" w:type="dxa"/>
            <w:vAlign w:val="bottom"/>
          </w:tcPr>
          <w:p>
            <w:pPr>
              <w:spacing w:after="0"/>
              <w:rPr>
                <w:sz w:val="11"/>
                <w:szCs w:val="11"/>
                <w:color w:val="auto"/>
              </w:rPr>
            </w:pPr>
          </w:p>
        </w:tc>
        <w:tc>
          <w:tcPr>
            <w:tcW w:w="1700" w:type="dxa"/>
            <w:vAlign w:val="bottom"/>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Cumulative Effect</w:t>
            </w:r>
          </w:p>
        </w:tc>
        <w:tc>
          <w:tcPr>
            <w:tcW w:w="280" w:type="dxa"/>
            <w:vAlign w:val="bottom"/>
          </w:tcPr>
          <w:p>
            <w:pPr>
              <w:spacing w:after="0"/>
              <w:rPr>
                <w:sz w:val="11"/>
                <w:szCs w:val="11"/>
                <w:color w:val="auto"/>
              </w:rPr>
            </w:pPr>
          </w:p>
        </w:tc>
        <w:tc>
          <w:tcPr>
            <w:tcW w:w="1220" w:type="dxa"/>
            <w:vAlign w:val="bottom"/>
            <w:vMerge w:val="restart"/>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700" w:type="dxa"/>
            <w:vAlign w:val="bottom"/>
          </w:tcPr>
          <w:p>
            <w:pPr>
              <w:jc w:val="center"/>
              <w:ind w:right="195"/>
              <w:spacing w:after="0" w:line="119" w:lineRule="exact"/>
              <w:rPr>
                <w:sz w:val="20"/>
                <w:szCs w:val="20"/>
                <w:color w:val="auto"/>
              </w:rPr>
            </w:pPr>
            <w:r>
              <w:rPr>
                <w:rFonts w:ascii="Times New Roman" w:cs="Times New Roman" w:eastAsia="Times New Roman" w:hAnsi="Times New Roman"/>
                <w:sz w:val="11"/>
                <w:szCs w:val="11"/>
                <w:b w:val="1"/>
                <w:bCs w:val="1"/>
                <w:color w:val="auto"/>
              </w:rPr>
              <w:t>Adjustments Due to the</w:t>
            </w:r>
          </w:p>
        </w:tc>
        <w:tc>
          <w:tcPr>
            <w:tcW w:w="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5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January 31, 2019</w:t>
            </w:r>
          </w:p>
        </w:tc>
        <w:tc>
          <w:tcPr>
            <w:tcW w:w="3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rPr>
              <w:t>Adoption of Topic 606</w:t>
            </w: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February 1, 2019</w:t>
            </w:r>
          </w:p>
        </w:tc>
        <w:tc>
          <w:tcPr>
            <w:tcW w:w="0" w:type="dxa"/>
            <w:vAlign w:val="bottom"/>
          </w:tcPr>
          <w:p>
            <w:pPr>
              <w:spacing w:after="0"/>
              <w:rPr>
                <w:sz w:val="1"/>
                <w:szCs w:val="1"/>
                <w:color w:val="auto"/>
              </w:rPr>
            </w:pPr>
          </w:p>
        </w:tc>
      </w:tr>
      <w:tr>
        <w:trPr>
          <w:trHeight w:val="152"/>
        </w:trPr>
        <w:tc>
          <w:tcPr>
            <w:tcW w:w="6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w:t>
            </w: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contract acquisition costs, current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28,847</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(6,031)</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22,816</w:t>
            </w:r>
          </w:p>
        </w:tc>
        <w:tc>
          <w:tcPr>
            <w:tcW w:w="0" w:type="dxa"/>
            <w:vAlign w:val="bottom"/>
          </w:tcPr>
          <w:p>
            <w:pPr>
              <w:spacing w:after="0"/>
              <w:rPr>
                <w:sz w:val="1"/>
                <w:szCs w:val="1"/>
                <w:color w:val="auto"/>
              </w:rPr>
            </w:pPr>
          </w:p>
        </w:tc>
      </w:tr>
      <w:tr>
        <w:trPr>
          <w:trHeight w:val="23"/>
        </w:trPr>
        <w:tc>
          <w:tcPr>
            <w:tcW w:w="6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contract acquisition costs, noncurrent</w:t>
            </w: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9,918</w:t>
            </w:r>
          </w:p>
        </w:tc>
        <w:tc>
          <w:tcPr>
            <w:tcW w:w="3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30,337</w:t>
            </w: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40,255</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180" w:type="dxa"/>
            <w:vAlign w:val="bottom"/>
          </w:tcPr>
          <w:p>
            <w:pPr>
              <w:spacing w:after="0"/>
              <w:rPr>
                <w:sz w:val="16"/>
                <w:szCs w:val="16"/>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32,541</w:t>
            </w:r>
          </w:p>
        </w:tc>
        <w:tc>
          <w:tcPr>
            <w:tcW w:w="320" w:type="dxa"/>
            <w:vAlign w:val="bottom"/>
          </w:tcPr>
          <w:p>
            <w:pPr>
              <w:spacing w:after="0"/>
              <w:rPr>
                <w:sz w:val="16"/>
                <w:szCs w:val="16"/>
                <w:color w:val="auto"/>
              </w:rPr>
            </w:pPr>
          </w:p>
        </w:tc>
        <w:tc>
          <w:tcPr>
            <w:tcW w:w="170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555</w:t>
            </w:r>
          </w:p>
        </w:tc>
        <w:tc>
          <w:tcPr>
            <w:tcW w:w="280" w:type="dxa"/>
            <w:vAlign w:val="bottom"/>
          </w:tcPr>
          <w:p>
            <w:pPr>
              <w:spacing w:after="0"/>
              <w:rPr>
                <w:sz w:val="16"/>
                <w:szCs w:val="16"/>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33,096</w:t>
            </w:r>
          </w:p>
        </w:tc>
        <w:tc>
          <w:tcPr>
            <w:tcW w:w="0" w:type="dxa"/>
            <w:vAlign w:val="bottom"/>
          </w:tcPr>
          <w:p>
            <w:pPr>
              <w:spacing w:after="0"/>
              <w:rPr>
                <w:sz w:val="1"/>
                <w:szCs w:val="1"/>
                <w:color w:val="auto"/>
              </w:rPr>
            </w:pPr>
          </w:p>
        </w:tc>
      </w:tr>
      <w:tr>
        <w:trPr>
          <w:trHeight w:val="23"/>
        </w:trPr>
        <w:tc>
          <w:tcPr>
            <w:tcW w:w="6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 current</w:t>
            </w: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218,700</w:t>
            </w:r>
          </w:p>
        </w:tc>
        <w:tc>
          <w:tcPr>
            <w:tcW w:w="3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333</w:t>
            </w: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219,033</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Deficit:</w:t>
            </w: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Pr>
          <w:p>
            <w:pPr>
              <w:spacing w:after="0"/>
              <w:rPr>
                <w:sz w:val="16"/>
                <w:szCs w:val="16"/>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(519,126)</w:t>
            </w:r>
          </w:p>
        </w:tc>
        <w:tc>
          <w:tcPr>
            <w:tcW w:w="320" w:type="dxa"/>
            <w:vAlign w:val="bottom"/>
          </w:tcPr>
          <w:p>
            <w:pPr>
              <w:spacing w:after="0"/>
              <w:rPr>
                <w:sz w:val="16"/>
                <w:szCs w:val="16"/>
                <w:color w:val="auto"/>
              </w:rPr>
            </w:pPr>
          </w:p>
        </w:tc>
        <w:tc>
          <w:tcPr>
            <w:tcW w:w="170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23,418</w:t>
            </w:r>
          </w:p>
        </w:tc>
        <w:tc>
          <w:tcPr>
            <w:tcW w:w="280" w:type="dxa"/>
            <w:vAlign w:val="bottom"/>
          </w:tcPr>
          <w:p>
            <w:pPr>
              <w:spacing w:after="0"/>
              <w:rPr>
                <w:sz w:val="16"/>
                <w:szCs w:val="16"/>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(495,708)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60" w:firstLine="517"/>
        <w:spacing w:after="0" w:line="285" w:lineRule="auto"/>
        <w:rPr>
          <w:sz w:val="20"/>
          <w:szCs w:val="20"/>
          <w:color w:val="auto"/>
        </w:rPr>
      </w:pPr>
      <w:r>
        <w:rPr>
          <w:rFonts w:ascii="Times New Roman" w:cs="Times New Roman" w:eastAsia="Times New Roman" w:hAnsi="Times New Roman"/>
          <w:sz w:val="14"/>
          <w:szCs w:val="14"/>
          <w:color w:val="auto"/>
        </w:rPr>
        <w:t>The following tables summarize the effect of the adoption of Topic 606 on the Company’s select line items included in the condensed consolidated financial statements as of and for the three months ended October 31, 2019 and the nine months ended October 31, 2019, as if the previous accounting was in effect: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October 31, 2019</w:t>
            </w: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36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194"/>
              <w:spacing w:after="0" w:line="116" w:lineRule="exact"/>
              <w:rPr>
                <w:sz w:val="20"/>
                <w:szCs w:val="20"/>
                <w:color w:val="auto"/>
              </w:rPr>
            </w:pPr>
            <w:r>
              <w:rPr>
                <w:rFonts w:ascii="Times New Roman" w:cs="Times New Roman" w:eastAsia="Times New Roman" w:hAnsi="Times New Roman"/>
                <w:sz w:val="11"/>
                <w:szCs w:val="11"/>
                <w:b w:val="1"/>
                <w:bCs w:val="1"/>
                <w:color w:val="auto"/>
              </w:rPr>
              <w:t>As Reported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Impact of</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300"/>
              <w:spacing w:after="0" w:line="116" w:lineRule="exact"/>
              <w:rPr>
                <w:sz w:val="20"/>
                <w:szCs w:val="20"/>
                <w:color w:val="auto"/>
              </w:rPr>
            </w:pPr>
            <w:r>
              <w:rPr>
                <w:rFonts w:ascii="Times New Roman" w:cs="Times New Roman" w:eastAsia="Times New Roman" w:hAnsi="Times New Roman"/>
                <w:sz w:val="11"/>
                <w:szCs w:val="11"/>
                <w:b w:val="1"/>
                <w:bCs w:val="1"/>
                <w:color w:val="auto"/>
              </w:rPr>
              <w:t>Without Adoption</w:t>
            </w:r>
          </w:p>
        </w:tc>
        <w:tc>
          <w:tcPr>
            <w:tcW w:w="0" w:type="dxa"/>
            <w:vAlign w:val="bottom"/>
          </w:tcPr>
          <w:p>
            <w:pPr>
              <w:spacing w:after="0"/>
              <w:rPr>
                <w:sz w:val="1"/>
                <w:szCs w:val="1"/>
                <w:color w:val="auto"/>
              </w:rPr>
            </w:pPr>
          </w:p>
        </w:tc>
      </w:tr>
      <w:tr>
        <w:trPr>
          <w:trHeight w:val="155"/>
        </w:trPr>
        <w:tc>
          <w:tcPr>
            <w:tcW w:w="43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(ASC 606)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Adoption</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(ASC 605)</w:t>
            </w: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w:t>
            </w:r>
          </w:p>
        </w:tc>
        <w:tc>
          <w:tcPr>
            <w:tcW w:w="2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contract acquisition costs, current</w:t>
            </w:r>
          </w:p>
        </w:tc>
        <w:tc>
          <w:tcPr>
            <w:tcW w:w="31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35,924</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2,826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38,750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contract acquisition costs, noncurrent</w:t>
            </w:r>
          </w:p>
        </w:tc>
        <w:tc>
          <w:tcPr>
            <w:tcW w:w="2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58,260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(42,493)</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15,767</w:t>
            </w:r>
          </w:p>
        </w:tc>
        <w:tc>
          <w:tcPr>
            <w:tcW w:w="1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(343)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29,117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 current</w:t>
            </w:r>
          </w:p>
        </w:tc>
        <w:tc>
          <w:tcPr>
            <w:tcW w:w="2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335,801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(139)</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335,662</w:t>
            </w:r>
          </w:p>
        </w:tc>
        <w:tc>
          <w:tcPr>
            <w:tcW w:w="1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(609,079)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(39,185)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(648,264)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2"/>
        </w:trPr>
        <w:tc>
          <w:tcPr>
            <w:tcW w:w="4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9"/>
          </w:tcPr>
          <w:p>
            <w:pPr>
              <w:jc w:val="center"/>
              <w:ind w:left="754"/>
              <w:spacing w:after="0"/>
              <w:rPr>
                <w:sz w:val="20"/>
                <w:szCs w:val="20"/>
                <w:color w:val="auto"/>
              </w:rPr>
            </w:pPr>
            <w:r>
              <w:rPr>
                <w:rFonts w:ascii="Times New Roman" w:cs="Times New Roman" w:eastAsia="Times New Roman" w:hAnsi="Times New Roman"/>
                <w:sz w:val="11"/>
                <w:szCs w:val="11"/>
                <w:b w:val="1"/>
                <w:bCs w:val="1"/>
                <w:color w:val="auto"/>
              </w:rPr>
              <w:t>Three Months Ended October 31, 2019</w:t>
            </w:r>
          </w:p>
        </w:tc>
        <w:tc>
          <w:tcPr>
            <w:tcW w:w="1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36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294"/>
              <w:spacing w:after="0" w:line="116" w:lineRule="exact"/>
              <w:rPr>
                <w:sz w:val="20"/>
                <w:szCs w:val="20"/>
                <w:color w:val="auto"/>
              </w:rPr>
            </w:pPr>
            <w:r>
              <w:rPr>
                <w:rFonts w:ascii="Times New Roman" w:cs="Times New Roman" w:eastAsia="Times New Roman" w:hAnsi="Times New Roman"/>
                <w:sz w:val="11"/>
                <w:szCs w:val="11"/>
                <w:b w:val="1"/>
                <w:bCs w:val="1"/>
                <w:color w:val="auto"/>
              </w:rPr>
              <w:t>As Reported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tcPr>
          <w:p>
            <w:pPr>
              <w:jc w:val="center"/>
              <w:ind w:right="320"/>
              <w:spacing w:after="0" w:line="116" w:lineRule="exact"/>
              <w:rPr>
                <w:sz w:val="20"/>
                <w:szCs w:val="20"/>
                <w:color w:val="auto"/>
              </w:rPr>
            </w:pPr>
            <w:r>
              <w:rPr>
                <w:rFonts w:ascii="Times New Roman" w:cs="Times New Roman" w:eastAsia="Times New Roman" w:hAnsi="Times New Roman"/>
                <w:sz w:val="11"/>
                <w:szCs w:val="11"/>
                <w:b w:val="1"/>
                <w:bCs w:val="1"/>
                <w:color w:val="auto"/>
              </w:rPr>
              <w:t>Impact of</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320"/>
              <w:spacing w:after="0" w:line="116" w:lineRule="exact"/>
              <w:rPr>
                <w:sz w:val="20"/>
                <w:szCs w:val="20"/>
                <w:color w:val="auto"/>
              </w:rPr>
            </w:pPr>
            <w:r>
              <w:rPr>
                <w:rFonts w:ascii="Times New Roman" w:cs="Times New Roman" w:eastAsia="Times New Roman" w:hAnsi="Times New Roman"/>
                <w:sz w:val="11"/>
                <w:szCs w:val="11"/>
                <w:b w:val="1"/>
                <w:bCs w:val="1"/>
                <w:color w:val="auto"/>
              </w:rPr>
              <w:t>Without Adoption</w:t>
            </w:r>
          </w:p>
        </w:tc>
        <w:tc>
          <w:tcPr>
            <w:tcW w:w="0" w:type="dxa"/>
            <w:vAlign w:val="bottom"/>
          </w:tcPr>
          <w:p>
            <w:pPr>
              <w:spacing w:after="0"/>
              <w:rPr>
                <w:sz w:val="1"/>
                <w:szCs w:val="1"/>
                <w:color w:val="auto"/>
              </w:rPr>
            </w:pPr>
          </w:p>
        </w:tc>
      </w:tr>
      <w:tr>
        <w:trPr>
          <w:trHeight w:val="155"/>
        </w:trPr>
        <w:tc>
          <w:tcPr>
            <w:tcW w:w="43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1"/>
                <w:szCs w:val="11"/>
                <w:b w:val="1"/>
                <w:bCs w:val="1"/>
                <w:color w:val="auto"/>
              </w:rPr>
              <w:t>(ASC 606)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Adoption</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(ASC 605)</w:t>
            </w: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Operations</w:t>
            </w:r>
          </w:p>
        </w:tc>
        <w:tc>
          <w:tcPr>
            <w:tcW w:w="2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125,119</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125,091</w:t>
            </w:r>
          </w:p>
        </w:tc>
        <w:tc>
          <w:tcPr>
            <w:tcW w:w="1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Sales and marketing</w:t>
            </w:r>
          </w:p>
        </w:tc>
        <w:tc>
          <w:tcPr>
            <w:tcW w:w="2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68,675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6,737</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75,412</w:t>
            </w:r>
          </w:p>
        </w:tc>
        <w:tc>
          <w:tcPr>
            <w:tcW w:w="1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(35,505)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(6,765)</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(42,270)</w:t>
            </w:r>
          </w:p>
        </w:tc>
        <w:tc>
          <w:tcPr>
            <w:tcW w:w="1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basic and diluted</w:t>
            </w:r>
          </w:p>
        </w:tc>
        <w:tc>
          <w:tcPr>
            <w:tcW w:w="2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ind w:left="374"/>
              <w:spacing w:after="0"/>
              <w:rPr>
                <w:sz w:val="20"/>
                <w:szCs w:val="20"/>
                <w:color w:val="auto"/>
              </w:rPr>
            </w:pPr>
            <w:r>
              <w:rPr>
                <w:rFonts w:ascii="Times New Roman" w:cs="Times New Roman" w:eastAsia="Times New Roman" w:hAnsi="Times New Roman"/>
                <w:sz w:val="14"/>
                <w:szCs w:val="14"/>
                <w:color w:val="auto"/>
              </w:rPr>
              <w:t>(0.17)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(0.21)</w:t>
            </w:r>
          </w:p>
        </w:tc>
        <w:tc>
          <w:tcPr>
            <w:tcW w:w="1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0"/>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rPr>
              <w:t>Nine Months Ended October 31, 2019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36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154"/>
              <w:spacing w:after="0" w:line="116" w:lineRule="exact"/>
              <w:rPr>
                <w:sz w:val="20"/>
                <w:szCs w:val="20"/>
                <w:color w:val="auto"/>
              </w:rPr>
            </w:pPr>
            <w:r>
              <w:rPr>
                <w:rFonts w:ascii="Times New Roman" w:cs="Times New Roman" w:eastAsia="Times New Roman" w:hAnsi="Times New Roman"/>
                <w:sz w:val="11"/>
                <w:szCs w:val="11"/>
                <w:b w:val="1"/>
                <w:bCs w:val="1"/>
                <w:color w:val="auto"/>
              </w:rPr>
              <w:t>As Reported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Impact of</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320"/>
              <w:spacing w:after="0" w:line="116" w:lineRule="exact"/>
              <w:rPr>
                <w:sz w:val="20"/>
                <w:szCs w:val="20"/>
                <w:color w:val="auto"/>
              </w:rPr>
            </w:pPr>
            <w:r>
              <w:rPr>
                <w:rFonts w:ascii="Times New Roman" w:cs="Times New Roman" w:eastAsia="Times New Roman" w:hAnsi="Times New Roman"/>
                <w:sz w:val="11"/>
                <w:szCs w:val="11"/>
                <w:b w:val="1"/>
                <w:bCs w:val="1"/>
                <w:color w:val="auto"/>
              </w:rPr>
              <w:t>Without Adoption</w:t>
            </w:r>
          </w:p>
        </w:tc>
        <w:tc>
          <w:tcPr>
            <w:tcW w:w="0" w:type="dxa"/>
            <w:vAlign w:val="bottom"/>
          </w:tcPr>
          <w:p>
            <w:pPr>
              <w:spacing w:after="0"/>
              <w:rPr>
                <w:sz w:val="1"/>
                <w:szCs w:val="1"/>
                <w:color w:val="auto"/>
              </w:rPr>
            </w:pPr>
          </w:p>
        </w:tc>
      </w:tr>
      <w:tr>
        <w:trPr>
          <w:trHeight w:val="155"/>
        </w:trPr>
        <w:tc>
          <w:tcPr>
            <w:tcW w:w="43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(ASC 606)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Adoption</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(ASC 605)</w:t>
            </w: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Operations</w:t>
            </w:r>
          </w:p>
        </w:tc>
        <w:tc>
          <w:tcPr>
            <w:tcW w:w="2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302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1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center"/>
              <w:ind w:left="374"/>
              <w:spacing w:after="0"/>
              <w:rPr>
                <w:sz w:val="20"/>
                <w:szCs w:val="20"/>
                <w:color w:val="auto"/>
              </w:rPr>
            </w:pPr>
            <w:r>
              <w:rPr>
                <w:rFonts w:ascii="Times New Roman" w:cs="Times New Roman" w:eastAsia="Times New Roman" w:hAnsi="Times New Roman"/>
                <w:sz w:val="14"/>
                <w:szCs w:val="14"/>
                <w:color w:val="auto"/>
              </w:rPr>
              <w:t>329,304</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(193)</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329,111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Sales and marketing</w:t>
            </w:r>
          </w:p>
        </w:tc>
        <w:tc>
          <w:tcPr>
            <w:tcW w:w="2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ind w:left="374"/>
              <w:spacing w:after="0"/>
              <w:rPr>
                <w:sz w:val="20"/>
                <w:szCs w:val="20"/>
                <w:color w:val="auto"/>
              </w:rPr>
            </w:pPr>
            <w:r>
              <w:rPr>
                <w:rFonts w:ascii="Times New Roman" w:cs="Times New Roman" w:eastAsia="Times New Roman" w:hAnsi="Times New Roman"/>
                <w:sz w:val="14"/>
                <w:szCs w:val="14"/>
                <w:color w:val="auto"/>
              </w:rPr>
              <w:t>190,792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15,574</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206,366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(113,371)</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(15,767)</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(129,138)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basic and diluted</w:t>
            </w:r>
          </w:p>
        </w:tc>
        <w:tc>
          <w:tcPr>
            <w:tcW w:w="3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bottom w:val="single" w:sz="8" w:color="CCEEFF"/>
            </w:tcBorders>
            <w:vMerge w:val="restart"/>
          </w:tcPr>
          <w:p>
            <w:pPr>
              <w:jc w:val="right"/>
              <w:ind w:right="134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43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4360" w:type="dxa"/>
            <w:vAlign w:val="bottom"/>
            <w:tcBorders>
              <w:bottom w:val="single" w:sz="8" w:color="9A9A9A"/>
            </w:tcBorders>
          </w:tcPr>
          <w:p>
            <w:pPr>
              <w:spacing w:after="0"/>
              <w:rPr>
                <w:sz w:val="7"/>
                <w:szCs w:val="7"/>
                <w:color w:val="auto"/>
              </w:rPr>
            </w:pPr>
          </w:p>
        </w:tc>
        <w:tc>
          <w:tcPr>
            <w:tcW w:w="2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-26035</wp:posOffset>
            </wp:positionV>
            <wp:extent cx="3238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The adoption of Topic 606 had no impact on net cash provided by or used in operating, investing, or financing activities in the Company’s condensed consolidated statement of cash flows for the three or nine months ended October 31, 2019.</w:t>
      </w:r>
    </w:p>
    <w:p>
      <w:pPr>
        <w:spacing w:after="0" w:line="123" w:lineRule="exact"/>
        <w:rPr>
          <w:sz w:val="20"/>
          <w:szCs w:val="20"/>
          <w:color w:val="auto"/>
        </w:rPr>
      </w:pPr>
    </w:p>
    <w:p>
      <w:pPr>
        <w:ind w:right="220" w:firstLine="517"/>
        <w:spacing w:after="0" w:line="294" w:lineRule="auto"/>
        <w:rPr>
          <w:sz w:val="20"/>
          <w:szCs w:val="20"/>
          <w:color w:val="auto"/>
        </w:rPr>
      </w:pPr>
      <w:r>
        <w:rPr>
          <w:rFonts w:ascii="Times New Roman" w:cs="Times New Roman" w:eastAsia="Times New Roman" w:hAnsi="Times New Roman"/>
          <w:sz w:val="14"/>
          <w:szCs w:val="14"/>
          <w:color w:val="auto"/>
        </w:rPr>
        <w:t>In accordance with ASC 606, revenue is recognized when a customer obtains control of promised services. The amount of revenue recognized reflects the consideration that the Company expects to be entitled to receive in exchange for these services. To achieve the core principle of this standard, the Company applies the following five steps:</w:t>
      </w:r>
    </w:p>
    <w:p>
      <w:pPr>
        <w:spacing w:after="0" w:line="123" w:lineRule="exact"/>
        <w:rPr>
          <w:sz w:val="20"/>
          <w:szCs w:val="20"/>
          <w:color w:val="auto"/>
        </w:rPr>
      </w:pPr>
    </w:p>
    <w:p>
      <w:pPr>
        <w:ind w:left="520"/>
        <w:spacing w:after="0"/>
        <w:tabs>
          <w:tab w:leader="none" w:pos="760" w:val="left"/>
        </w:tabs>
        <w:rPr>
          <w:sz w:val="20"/>
          <w:szCs w:val="20"/>
          <w:color w:val="auto"/>
        </w:rPr>
      </w:pPr>
      <w:r>
        <w:rPr>
          <w:rFonts w:ascii="Times New Roman" w:cs="Times New Roman" w:eastAsia="Times New Roman" w:hAnsi="Times New Roman"/>
          <w:sz w:val="14"/>
          <w:szCs w:val="14"/>
          <w:color w:val="auto"/>
        </w:rPr>
        <w:t>1)</w:t>
        <w:tab/>
        <w:t>Identify the contract with a customer</w:t>
      </w:r>
    </w:p>
    <w:p>
      <w:pPr>
        <w:spacing w:after="0" w:line="184" w:lineRule="exact"/>
        <w:rPr>
          <w:sz w:val="20"/>
          <w:szCs w:val="20"/>
          <w:color w:val="auto"/>
        </w:rPr>
      </w:pPr>
    </w:p>
    <w:p>
      <w:pPr>
        <w:ind w:right="60" w:firstLine="517"/>
        <w:spacing w:after="0" w:line="269" w:lineRule="auto"/>
        <w:rPr>
          <w:sz w:val="20"/>
          <w:szCs w:val="20"/>
          <w:color w:val="auto"/>
        </w:rPr>
      </w:pPr>
      <w:r>
        <w:rPr>
          <w:rFonts w:ascii="Times New Roman" w:cs="Times New Roman" w:eastAsia="Times New Roman" w:hAnsi="Times New Roman"/>
          <w:sz w:val="14"/>
          <w:szCs w:val="14"/>
          <w:color w:val="auto"/>
        </w:rPr>
        <w:t>The Company considers the terms and conditions of contracts with customers and its customary business practices in identifying contracts under ASC 606. The Company determines it has a contract with a customer when the contract is approved, each party’s rights regarding the services to be transferred can be identified, payment terms for the services can be identified, it has been determined that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40" w:lineRule="exact"/>
        <w:rPr>
          <w:sz w:val="20"/>
          <w:szCs w:val="20"/>
          <w:color w:val="auto"/>
        </w:rPr>
      </w:pPr>
    </w:p>
    <w:p>
      <w:pPr>
        <w:ind w:left="520"/>
        <w:spacing w:after="0"/>
        <w:tabs>
          <w:tab w:leader="none" w:pos="760" w:val="left"/>
        </w:tabs>
        <w:rPr>
          <w:sz w:val="20"/>
          <w:szCs w:val="20"/>
          <w:color w:val="auto"/>
        </w:rPr>
      </w:pPr>
      <w:r>
        <w:rPr>
          <w:rFonts w:ascii="Times New Roman" w:cs="Times New Roman" w:eastAsia="Times New Roman" w:hAnsi="Times New Roman"/>
          <w:sz w:val="14"/>
          <w:szCs w:val="14"/>
          <w:color w:val="auto"/>
        </w:rPr>
        <w:t>2)</w:t>
        <w:tab/>
        <w:t>Identify the performance obligations in the contract</w:t>
      </w:r>
    </w:p>
    <w:p>
      <w:pPr>
        <w:spacing w:after="0" w:line="184" w:lineRule="exact"/>
        <w:rPr>
          <w:sz w:val="20"/>
          <w:szCs w:val="20"/>
          <w:color w:val="auto"/>
        </w:rPr>
      </w:pPr>
    </w:p>
    <w:p>
      <w:pPr>
        <w:ind w:right="40" w:firstLine="517"/>
        <w:spacing w:after="0" w:line="275" w:lineRule="auto"/>
        <w:rPr>
          <w:sz w:val="20"/>
          <w:szCs w:val="20"/>
          <w:color w:val="auto"/>
        </w:rPr>
      </w:pPr>
      <w:r>
        <w:rPr>
          <w:rFonts w:ascii="Times New Roman" w:cs="Times New Roman" w:eastAsia="Times New Roman" w:hAnsi="Times New Roman"/>
          <w:sz w:val="14"/>
          <w:szCs w:val="14"/>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the Company or from third parties, and are distinct in the context of the contract, whereby the transfer of the services is separately identifiable from other promises in the contract. The Company’s performance obligations consist of (i) subscriptions and (ii) professional services.</w:t>
      </w:r>
    </w:p>
    <w:p>
      <w:pPr>
        <w:spacing w:after="0" w:line="136" w:lineRule="exact"/>
        <w:rPr>
          <w:sz w:val="20"/>
          <w:szCs w:val="20"/>
          <w:color w:val="auto"/>
        </w:rPr>
      </w:pPr>
    </w:p>
    <w:p>
      <w:pPr>
        <w:ind w:left="520"/>
        <w:spacing w:after="0"/>
        <w:tabs>
          <w:tab w:leader="none" w:pos="760" w:val="left"/>
        </w:tabs>
        <w:rPr>
          <w:sz w:val="20"/>
          <w:szCs w:val="20"/>
          <w:color w:val="auto"/>
        </w:rPr>
      </w:pPr>
      <w:r>
        <w:rPr>
          <w:rFonts w:ascii="Times New Roman" w:cs="Times New Roman" w:eastAsia="Times New Roman" w:hAnsi="Times New Roman"/>
          <w:sz w:val="14"/>
          <w:szCs w:val="14"/>
          <w:color w:val="auto"/>
        </w:rPr>
        <w:t>3)</w:t>
        <w:tab/>
        <w:t>Determine the transaction price</w:t>
      </w:r>
    </w:p>
    <w:p>
      <w:pPr>
        <w:spacing w:after="0" w:line="184" w:lineRule="exact"/>
        <w:rPr>
          <w:sz w:val="20"/>
          <w:szCs w:val="20"/>
          <w:color w:val="auto"/>
        </w:rPr>
      </w:pPr>
    </w:p>
    <w:p>
      <w:pPr>
        <w:ind w:firstLine="517"/>
        <w:spacing w:after="0" w:line="275" w:lineRule="auto"/>
        <w:rPr>
          <w:sz w:val="20"/>
          <w:szCs w:val="20"/>
          <w:color w:val="auto"/>
        </w:rPr>
      </w:pPr>
      <w:r>
        <w:rPr>
          <w:rFonts w:ascii="Times New Roman" w:cs="Times New Roman" w:eastAsia="Times New Roman" w:hAnsi="Times New Roman"/>
          <w:sz w:val="14"/>
          <w:szCs w:val="14"/>
          <w:color w:val="auto"/>
        </w:rPr>
        <w:t>The transaction price is determined based on the consideration which the Company is expected to be entitled to in exchange for transferring services to the customer. Variable consideration is included in the transaction price if it is probable that a significant future reversal of cumulative revenue under the contract will not occur. None of the Company’s contracts contain a significant financing component.</w:t>
      </w:r>
    </w:p>
    <w:p>
      <w:pPr>
        <w:spacing w:after="0" w:line="136" w:lineRule="exact"/>
        <w:rPr>
          <w:sz w:val="20"/>
          <w:szCs w:val="20"/>
          <w:color w:val="auto"/>
        </w:rPr>
      </w:pPr>
    </w:p>
    <w:p>
      <w:pPr>
        <w:ind w:left="520"/>
        <w:spacing w:after="0"/>
        <w:tabs>
          <w:tab w:leader="none" w:pos="760" w:val="left"/>
        </w:tabs>
        <w:rPr>
          <w:sz w:val="20"/>
          <w:szCs w:val="20"/>
          <w:color w:val="auto"/>
        </w:rPr>
      </w:pPr>
      <w:r>
        <w:rPr>
          <w:rFonts w:ascii="Times New Roman" w:cs="Times New Roman" w:eastAsia="Times New Roman" w:hAnsi="Times New Roman"/>
          <w:sz w:val="14"/>
          <w:szCs w:val="14"/>
          <w:color w:val="auto"/>
        </w:rPr>
        <w:t>4)</w:t>
        <w:tab/>
        <w:t>Allocate the transaction price to performance obligations in the contract</w:t>
      </w:r>
    </w:p>
    <w:p>
      <w:pPr>
        <w:spacing w:after="0" w:line="184" w:lineRule="exact"/>
        <w:rPr>
          <w:sz w:val="20"/>
          <w:szCs w:val="20"/>
          <w:color w:val="auto"/>
        </w:rPr>
      </w:pPr>
    </w:p>
    <w:p>
      <w:pPr>
        <w:ind w:right="80" w:firstLine="517"/>
        <w:spacing w:after="0" w:line="294" w:lineRule="auto"/>
        <w:rPr>
          <w:sz w:val="20"/>
          <w:szCs w:val="20"/>
          <w:color w:val="auto"/>
        </w:rPr>
      </w:pPr>
      <w:r>
        <w:rPr>
          <w:rFonts w:ascii="Times New Roman" w:cs="Times New Roman" w:eastAsia="Times New Roman" w:hAnsi="Times New Roman"/>
          <w:sz w:val="14"/>
          <w:szCs w:val="14"/>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w:t>
      </w:r>
    </w:p>
    <w:p>
      <w:pPr>
        <w:spacing w:after="0" w:line="123" w:lineRule="exact"/>
        <w:rPr>
          <w:sz w:val="20"/>
          <w:szCs w:val="20"/>
          <w:color w:val="auto"/>
        </w:rPr>
      </w:pPr>
    </w:p>
    <w:p>
      <w:pPr>
        <w:ind w:left="520"/>
        <w:spacing w:after="0"/>
        <w:tabs>
          <w:tab w:leader="none" w:pos="760" w:val="left"/>
        </w:tabs>
        <w:rPr>
          <w:sz w:val="20"/>
          <w:szCs w:val="20"/>
          <w:color w:val="auto"/>
        </w:rPr>
      </w:pPr>
      <w:r>
        <w:rPr>
          <w:rFonts w:ascii="Times New Roman" w:cs="Times New Roman" w:eastAsia="Times New Roman" w:hAnsi="Times New Roman"/>
          <w:sz w:val="14"/>
          <w:szCs w:val="14"/>
          <w:color w:val="auto"/>
        </w:rPr>
        <w:t>5)</w:t>
        <w:tab/>
        <w:t>Recognize revenue when or as performance obligations are satisfied</w:t>
      </w:r>
    </w:p>
    <w:p>
      <w:pPr>
        <w:spacing w:after="0" w:line="184" w:lineRule="exact"/>
        <w:rPr>
          <w:sz w:val="20"/>
          <w:szCs w:val="20"/>
          <w:color w:val="auto"/>
        </w:rPr>
      </w:pPr>
    </w:p>
    <w:p>
      <w:pPr>
        <w:ind w:right="80" w:firstLine="517"/>
        <w:spacing w:after="0" w:line="294" w:lineRule="auto"/>
        <w:rPr>
          <w:sz w:val="20"/>
          <w:szCs w:val="20"/>
          <w:color w:val="auto"/>
        </w:rPr>
      </w:pPr>
      <w:r>
        <w:rPr>
          <w:rFonts w:ascii="Times New Roman" w:cs="Times New Roman" w:eastAsia="Times New Roman" w:hAnsi="Times New Roman"/>
          <w:sz w:val="14"/>
          <w:szCs w:val="14"/>
          <w:color w:val="auto"/>
        </w:rPr>
        <w:t>Revenue is recognized at the time the related performance obligation is satisfied by transferring the promised service to the customer. Revenue is recognized when control of the services is transferred to the customer, in an amount that reflects the consideration expected to be received in exchange for those services. The Company generates all its revenue from contracts with customers.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Subscription Revenue</w:t>
      </w:r>
    </w:p>
    <w:p>
      <w:pPr>
        <w:spacing w:after="0" w:line="184" w:lineRule="exact"/>
        <w:rPr>
          <w:sz w:val="20"/>
          <w:szCs w:val="20"/>
          <w:color w:val="auto"/>
        </w:rPr>
      </w:pPr>
    </w:p>
    <w:p>
      <w:pPr>
        <w:ind w:right="100" w:firstLine="517"/>
        <w:spacing w:after="0" w:line="269" w:lineRule="auto"/>
        <w:rPr>
          <w:sz w:val="20"/>
          <w:szCs w:val="20"/>
          <w:color w:val="auto"/>
        </w:rPr>
      </w:pPr>
      <w:r>
        <w:rPr>
          <w:rFonts w:ascii="Times New Roman" w:cs="Times New Roman" w:eastAsia="Times New Roman" w:hAnsi="Times New Roman"/>
          <w:sz w:val="14"/>
          <w:szCs w:val="14"/>
          <w:color w:val="auto"/>
        </w:rPr>
        <w:t>The Company’s Falcon Platform technology solutions are subscription, software as a service (“SaaS”) offerings designed to continuously monitor, share, and mitigate risks from determined attackers. Customers do not have the right to take possession of the cloud-based software platform. Fees are based on several factors, including the solutions subscribed for by the customer and the number of endpoints purchased by the customer. The subscription fees are typically payable within 30 to 60 days after the execution of the arrangement, and thereafter upon renewal or subsequent installment. The Company initially records the subscription fees as deferred revenue and recognizes revenue on a straight-line basis over the term of the agreement.</w:t>
      </w:r>
    </w:p>
    <w:p>
      <w:pPr>
        <w:spacing w:after="0" w:line="140" w:lineRule="exact"/>
        <w:rPr>
          <w:sz w:val="20"/>
          <w:szCs w:val="20"/>
          <w:color w:val="auto"/>
        </w:rPr>
      </w:pPr>
    </w:p>
    <w:p>
      <w:pPr>
        <w:jc w:val="both"/>
        <w:ind w:right="360" w:firstLine="517"/>
        <w:spacing w:after="0" w:line="275" w:lineRule="auto"/>
        <w:rPr>
          <w:sz w:val="20"/>
          <w:szCs w:val="20"/>
          <w:color w:val="auto"/>
        </w:rPr>
      </w:pPr>
      <w:r>
        <w:rPr>
          <w:rFonts w:ascii="Times New Roman" w:cs="Times New Roman" w:eastAsia="Times New Roman" w:hAnsi="Times New Roman"/>
          <w:sz w:val="14"/>
          <w:szCs w:val="14"/>
          <w:color w:val="auto"/>
        </w:rPr>
        <w:t>The typical subscription term is one to three years. Most of the Company’s contracts are non-cancelable over the contractual term. Customers typically have the right to terminate their contracts for cause if the Company fails to perform in accordance with the contractual terms. Some customers have the option to purchase additional subscription at a stated price. These options generally do not provide a material right as they are priced at our SSP.</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Professional Services Revenue</w:t>
      </w:r>
    </w:p>
    <w:p>
      <w:pPr>
        <w:spacing w:after="0" w:line="184" w:lineRule="exact"/>
        <w:rPr>
          <w:sz w:val="20"/>
          <w:szCs w:val="20"/>
          <w:color w:val="auto"/>
        </w:rPr>
      </w:pPr>
    </w:p>
    <w:p>
      <w:pPr>
        <w:ind w:right="40" w:firstLine="517"/>
        <w:spacing w:after="0" w:line="268" w:lineRule="auto"/>
        <w:rPr>
          <w:sz w:val="20"/>
          <w:szCs w:val="20"/>
          <w:color w:val="auto"/>
        </w:rPr>
      </w:pPr>
      <w:r>
        <w:rPr>
          <w:rFonts w:ascii="Times New Roman" w:cs="Times New Roman" w:eastAsia="Times New Roman" w:hAnsi="Times New Roman"/>
          <w:sz w:val="14"/>
          <w:szCs w:val="14"/>
          <w:color w:val="auto"/>
        </w:rPr>
        <w:t>The Company offers several types of professional services including incident response and forensic services, surge forensic and malware analysis, and attribution analysis, which are focused on responding to imminent and direct threats, assessing vulnerabilities, and recommending solutions. These services are distinct from subscription services. Professional services do not result in significant customization of the subscription service. The professional services are available through hourly rate and fixed fee contracts, one-time and ongoing engagements, and retainer-based agreements. Revenue for time and materials arrangements is recognized as services are performed and revenue for fixed fees is recognized on a proportional performance basis as the services are performed.</w:t>
      </w:r>
    </w:p>
    <w:p>
      <w:pPr>
        <w:spacing w:after="0" w:line="3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Contracts with Multiple Performance Obligations</w:t>
      </w:r>
    </w:p>
    <w:p>
      <w:pPr>
        <w:spacing w:after="0" w:line="184" w:lineRule="exact"/>
        <w:rPr>
          <w:sz w:val="20"/>
          <w:szCs w:val="20"/>
          <w:color w:val="auto"/>
        </w:rPr>
      </w:pPr>
    </w:p>
    <w:p>
      <w:pPr>
        <w:ind w:right="40" w:firstLine="517"/>
        <w:spacing w:after="0" w:line="269" w:lineRule="auto"/>
        <w:rPr>
          <w:sz w:val="20"/>
          <w:szCs w:val="20"/>
          <w:color w:val="auto"/>
        </w:rPr>
      </w:pPr>
      <w:r>
        <w:rPr>
          <w:rFonts w:ascii="Times New Roman" w:cs="Times New Roman" w:eastAsia="Times New Roman" w:hAnsi="Times New Roman"/>
          <w:sz w:val="14"/>
          <w:szCs w:val="14"/>
          <w:color w:val="auto"/>
        </w:rPr>
        <w:t>Some contracts with customers contain multiple promised services consisting of subscription and professional services that are distinct and accounted for separately. The transaction price is allocated to the separate performance obligations on a relative SSP basis. The SSP is the price at which the Company would sell promised subscription or professional services separately to a customer. Judgment is required to determine the SSP for each distinct performance obligation. The Company determines SSP based on its overall pricing objectives, taking into consideration the type of subscription or professional service and the number of endpoints.</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Variable Consideration</w:t>
      </w:r>
    </w:p>
    <w:p>
      <w:pPr>
        <w:spacing w:after="0" w:line="184" w:lineRule="exact"/>
        <w:rPr>
          <w:sz w:val="20"/>
          <w:szCs w:val="20"/>
          <w:color w:val="auto"/>
        </w:rPr>
      </w:pPr>
    </w:p>
    <w:p>
      <w:pPr>
        <w:jc w:val="both"/>
        <w:ind w:right="40" w:firstLine="517"/>
        <w:spacing w:after="0" w:line="275" w:lineRule="auto"/>
        <w:rPr>
          <w:sz w:val="20"/>
          <w:szCs w:val="20"/>
          <w:color w:val="auto"/>
        </w:rPr>
      </w:pPr>
      <w:r>
        <w:rPr>
          <w:rFonts w:ascii="Times New Roman" w:cs="Times New Roman" w:eastAsia="Times New Roman" w:hAnsi="Times New Roman"/>
          <w:sz w:val="14"/>
          <w:szCs w:val="14"/>
          <w:color w:val="auto"/>
        </w:rPr>
        <w:t>Revenue from sales is recorded at the net sales price, which is the transaction price, and includes estimates of variable consideration. The amount of variable consideration that is included in the transaction price is constrained and is included in the net sales price only to the extent that it is probable that a significant reversal in the amount of the cumulative revenue will not occur when the uncertainty is resolved.</w:t>
      </w:r>
    </w:p>
    <w:p>
      <w:pPr>
        <w:spacing w:after="0" w:line="136" w:lineRule="exact"/>
        <w:rPr>
          <w:sz w:val="20"/>
          <w:szCs w:val="20"/>
          <w:color w:val="auto"/>
        </w:rPr>
      </w:pPr>
    </w:p>
    <w:p>
      <w:pPr>
        <w:jc w:val="both"/>
        <w:ind w:right="300" w:firstLine="517"/>
        <w:spacing w:after="0" w:line="275" w:lineRule="auto"/>
        <w:rPr>
          <w:sz w:val="20"/>
          <w:szCs w:val="20"/>
          <w:color w:val="auto"/>
        </w:rPr>
      </w:pPr>
      <w:r>
        <w:rPr>
          <w:rFonts w:ascii="Times New Roman" w:cs="Times New Roman" w:eastAsia="Times New Roman" w:hAnsi="Times New Roman"/>
          <w:sz w:val="14"/>
          <w:szCs w:val="14"/>
          <w:color w:val="auto"/>
        </w:rPr>
        <w:t>If subscriptions do not meet certain service level commitments, the Company’s customers are entitled to receive service credits, and in certain cases, refunds, each representing a form of variable consideration. The Company has historically not experienced any significant incidents affecting the defined levels of reliability and performance as required by its subscription contracts. Accordingly, any estimated refunds related to these agreements in the condensed consolidated financial statements is not material during the periods presented.</w:t>
      </w:r>
    </w:p>
    <w:p>
      <w:pPr>
        <w:spacing w:after="0" w:line="136" w:lineRule="exact"/>
        <w:rPr>
          <w:sz w:val="20"/>
          <w:szCs w:val="20"/>
          <w:color w:val="auto"/>
        </w:rPr>
      </w:pPr>
    </w:p>
    <w:p>
      <w:pPr>
        <w:ind w:right="80" w:firstLine="517"/>
        <w:spacing w:after="0" w:line="275" w:lineRule="auto"/>
        <w:rPr>
          <w:sz w:val="20"/>
          <w:szCs w:val="20"/>
          <w:color w:val="auto"/>
        </w:rPr>
      </w:pPr>
      <w:r>
        <w:rPr>
          <w:rFonts w:ascii="Times New Roman" w:cs="Times New Roman" w:eastAsia="Times New Roman" w:hAnsi="Times New Roman"/>
          <w:sz w:val="14"/>
          <w:szCs w:val="14"/>
          <w:color w:val="auto"/>
        </w:rPr>
        <w:t>The Company provides rebates and other credits within its contracts with certain resellers, which are estimated based on the most likely amounts expected to be earned or claimed on the related sales transaction. Overall, the transaction price is reduced to reflect the Company’s estimate of the amount of consideration to which it is entitled based on the terms of the contract. Estimated rebates and other credits were not material during the periods presented.</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 – ASC 605</w:t>
      </w:r>
    </w:p>
    <w:p>
      <w:pPr>
        <w:spacing w:after="0" w:line="188" w:lineRule="exact"/>
        <w:rPr>
          <w:sz w:val="20"/>
          <w:szCs w:val="20"/>
          <w:color w:val="auto"/>
        </w:rPr>
      </w:pPr>
    </w:p>
    <w:p>
      <w:pPr>
        <w:ind w:right="100" w:firstLine="517"/>
        <w:spacing w:after="0" w:line="275" w:lineRule="auto"/>
        <w:rPr>
          <w:sz w:val="20"/>
          <w:szCs w:val="20"/>
          <w:color w:val="auto"/>
        </w:rPr>
      </w:pPr>
      <w:r>
        <w:rPr>
          <w:rFonts w:ascii="Times New Roman" w:cs="Times New Roman" w:eastAsia="Times New Roman" w:hAnsi="Times New Roman"/>
          <w:sz w:val="14"/>
          <w:szCs w:val="14"/>
          <w:color w:val="auto"/>
        </w:rPr>
        <w:t>Prior to adopting ASC 606 on February 1, 2019, the Company recognized subscription and professional services when: (1) persuasive evidence of the contract exists in the form of a written contract, amendments to that contract, or purchase orders from a third party; (2) delivery has occurred, or services have been rendered; (3) the price is fixed or determinable; and (4) collectability is reasonably assured based on customer creditworthiness and history of collection.</w:t>
      </w:r>
    </w:p>
    <w:p>
      <w:pPr>
        <w:spacing w:after="0" w:line="136" w:lineRule="exact"/>
        <w:rPr>
          <w:sz w:val="20"/>
          <w:szCs w:val="20"/>
          <w:color w:val="auto"/>
        </w:rPr>
      </w:pPr>
    </w:p>
    <w:p>
      <w:pPr>
        <w:ind w:right="200" w:firstLine="517"/>
        <w:spacing w:after="0" w:line="269" w:lineRule="auto"/>
        <w:rPr>
          <w:sz w:val="20"/>
          <w:szCs w:val="20"/>
          <w:color w:val="auto"/>
        </w:rPr>
      </w:pPr>
      <w:r>
        <w:rPr>
          <w:rFonts w:ascii="Times New Roman" w:cs="Times New Roman" w:eastAsia="Times New Roman" w:hAnsi="Times New Roman"/>
          <w:sz w:val="14"/>
          <w:szCs w:val="14"/>
          <w:color w:val="auto"/>
        </w:rPr>
        <w:t>The timing and the amount the Company recognized as revenue was determined based on the facts and circumstances of each customer’s arrangements. Evidence of an arrangement consisted of a signed customer agreement. The Company considered that the delivery of its solution had commenced once it provided the customer with log-in information and the term of the contract had started. Fees were fixed based on stated rates specified in the customer agreement. The Company assessed collectability based on several factors, including the credit worthiness of the customer and transaction history. If collectability was not reasonably assured, revenue was deferred until the fees were collected.</w:t>
      </w:r>
    </w:p>
    <w:p>
      <w:pPr>
        <w:spacing w:after="0" w:line="140" w:lineRule="exact"/>
        <w:rPr>
          <w:sz w:val="20"/>
          <w:szCs w:val="20"/>
          <w:color w:val="auto"/>
        </w:rPr>
      </w:pPr>
    </w:p>
    <w:p>
      <w:pPr>
        <w:ind w:firstLine="517"/>
        <w:spacing w:after="0" w:line="266" w:lineRule="auto"/>
        <w:rPr>
          <w:sz w:val="20"/>
          <w:szCs w:val="20"/>
          <w:color w:val="auto"/>
        </w:rPr>
      </w:pPr>
      <w:r>
        <w:rPr>
          <w:rFonts w:ascii="Times New Roman" w:cs="Times New Roman" w:eastAsia="Times New Roman" w:hAnsi="Times New Roman"/>
          <w:sz w:val="14"/>
          <w:szCs w:val="14"/>
          <w:color w:val="auto"/>
        </w:rPr>
        <w:t>For arrangements that involve the contemporaneous sale of subscription and professional services, the Company applied the multiple-element arrangement guidance to allocate the arrangement consideration to all deliverables based on their relative selling price. The Company determined that the cloud-based platform subscription has standalone value, because once access is given to the customer, the solutions are fully functional and do not require any additional development, modification, or customization. Professional services have standalone value because they are regularly sold by the Company in separate transactions. Additionally, the performance of these professional services generally does not require highly specialized or technologically skilled individuals and the professional services are not essential to the functionality of the solutions.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517"/>
        <w:spacing w:after="0" w:line="269" w:lineRule="auto"/>
        <w:rPr>
          <w:sz w:val="20"/>
          <w:szCs w:val="20"/>
          <w:color w:val="auto"/>
        </w:rPr>
      </w:pPr>
      <w:r>
        <w:rPr>
          <w:rFonts w:ascii="Times New Roman" w:cs="Times New Roman" w:eastAsia="Times New Roman" w:hAnsi="Times New Roman"/>
          <w:sz w:val="14"/>
          <w:szCs w:val="14"/>
          <w:color w:val="auto"/>
        </w:rPr>
        <w:t>The Company used a hierarchy to determine the selling price to be used for allocating revenue to deliverables: (i) vendor-specific objective evidence of fair value (“VSOE”); (ii) third-party evidence of selling price (“TPE”); and (iii) best estimate of selling price (“BESP”). BESP reflected the Company’s best estimates of what the selling prices of elements would be if they were sold regularly on a stand-alone basis. The Company’s process for determining BESP involved management’s judgment and considered numerous factors including the nature of the deliverables themselves and historical discounting practices. The Company updated its estimates of BESP on an ongoing basis as events and circumstances required.</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w:t>
      </w:r>
    </w:p>
    <w:p>
      <w:pPr>
        <w:spacing w:after="0" w:line="188" w:lineRule="exact"/>
        <w:rPr>
          <w:sz w:val="20"/>
          <w:szCs w:val="20"/>
          <w:color w:val="auto"/>
        </w:rPr>
      </w:pPr>
    </w:p>
    <w:p>
      <w:pPr>
        <w:ind w:right="60" w:firstLine="517"/>
        <w:spacing w:after="0" w:line="287" w:lineRule="auto"/>
        <w:rPr>
          <w:sz w:val="20"/>
          <w:szCs w:val="20"/>
          <w:color w:val="auto"/>
        </w:rPr>
      </w:pPr>
      <w:r>
        <w:rPr>
          <w:rFonts w:ascii="Times New Roman" w:cs="Times New Roman" w:eastAsia="Times New Roman" w:hAnsi="Times New Roman"/>
          <w:sz w:val="14"/>
          <w:szCs w:val="14"/>
          <w:color w:val="auto"/>
        </w:rPr>
        <w:t>Research and development costs are expensed when incurred, except for certain internal-use software development costs, which may be capitalized as noted above. Research and development expenses consist primarily of personnel and related headcount costs, costs of professional services associated with the ongoing development of the Company’s technology, and allocated overhead.</w:t>
      </w:r>
    </w:p>
    <w:p>
      <w:pPr>
        <w:spacing w:after="0" w:line="3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Advertising</w:t>
      </w:r>
    </w:p>
    <w:p>
      <w:pPr>
        <w:spacing w:after="0" w:line="188" w:lineRule="exact"/>
        <w:rPr>
          <w:sz w:val="20"/>
          <w:szCs w:val="20"/>
          <w:color w:val="auto"/>
        </w:rPr>
      </w:pPr>
    </w:p>
    <w:p>
      <w:pPr>
        <w:ind w:right="40" w:firstLine="517"/>
        <w:spacing w:after="0" w:line="275" w:lineRule="auto"/>
        <w:rPr>
          <w:sz w:val="20"/>
          <w:szCs w:val="20"/>
          <w:color w:val="auto"/>
        </w:rPr>
      </w:pPr>
      <w:r>
        <w:rPr>
          <w:rFonts w:ascii="Times New Roman" w:cs="Times New Roman" w:eastAsia="Times New Roman" w:hAnsi="Times New Roman"/>
          <w:sz w:val="14"/>
          <w:szCs w:val="14"/>
          <w:color w:val="auto"/>
        </w:rPr>
        <w:t>All advertising costs are expensed as incurred and are included in sales and marketing expense in the condensed consolidated statements of operations. The Company incurred $2.2 million and $1.5 million of advertising costs during the three months ended October 31, 2019 and October 31, 2018, respectively, and $5.5 million and $2.6 million during the nine months ended October 31, 2019 and October 31, 2018, respectively.</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88" w:lineRule="exact"/>
        <w:rPr>
          <w:sz w:val="20"/>
          <w:szCs w:val="20"/>
          <w:color w:val="auto"/>
        </w:rPr>
      </w:pPr>
    </w:p>
    <w:p>
      <w:pPr>
        <w:ind w:right="240" w:firstLine="517"/>
        <w:spacing w:after="0" w:line="275" w:lineRule="auto"/>
        <w:rPr>
          <w:sz w:val="20"/>
          <w:szCs w:val="20"/>
          <w:color w:val="auto"/>
        </w:rPr>
      </w:pPr>
      <w:r>
        <w:rPr>
          <w:rFonts w:ascii="Times New Roman" w:cs="Times New Roman" w:eastAsia="Times New Roman" w:hAnsi="Times New Roman"/>
          <w:sz w:val="14"/>
          <w:szCs w:val="14"/>
          <w:color w:val="auto"/>
        </w:rPr>
        <w:t>The Company accounts for stock-based awards granted to employees and directors based on the awards’ estimated grant date fair value. The Company estimates the fair value of its stock options using the Black-Scholes option-pricing model. The resulting fair value is recognized on a straight-line basis over the period during which the employee or director is required to provide service in exchange for the award, usually the vesting period, which is generally four years. The Company accounts for forfeitures as they occur.</w:t>
      </w:r>
    </w:p>
    <w:p>
      <w:pPr>
        <w:spacing w:after="0" w:line="136" w:lineRule="exact"/>
        <w:rPr>
          <w:sz w:val="20"/>
          <w:szCs w:val="20"/>
          <w:color w:val="auto"/>
        </w:rPr>
      </w:pPr>
    </w:p>
    <w:p>
      <w:pPr>
        <w:ind w:right="40" w:firstLine="517"/>
        <w:spacing w:after="0" w:line="266" w:lineRule="auto"/>
        <w:rPr>
          <w:sz w:val="20"/>
          <w:szCs w:val="20"/>
          <w:color w:val="auto"/>
        </w:rPr>
      </w:pPr>
      <w:r>
        <w:rPr>
          <w:rFonts w:ascii="Times New Roman" w:cs="Times New Roman" w:eastAsia="Times New Roman" w:hAnsi="Times New Roman"/>
          <w:sz w:val="14"/>
          <w:szCs w:val="14"/>
          <w:color w:val="auto"/>
        </w:rPr>
        <w:t>Prior to the Company’s adoption of ASU 2018-07, stock-based awards issued to non-employees were accounted for at fair value determined by using the Black-Scholes option-pricing model. The Company believes that the fair value of the stock options is more reliably measured than the fair value of the services received. The fair value of each non-employee stock-based award is remeasured each period until a commitment date is reached, which is generally the vesting date. The Company early adopted ASU 2018-07 on February 1, 2019 and began accounting for stock-based awards issued to non-employees the same as it accounts for stock-based awards issued to employees. The effect on the Company’s condensed consolidated financial statements for the three and nine months ended October 31, 2019 was not material.</w:t>
      </w:r>
    </w:p>
    <w:p>
      <w:pPr>
        <w:spacing w:after="0" w:line="142" w:lineRule="exact"/>
        <w:rPr>
          <w:sz w:val="20"/>
          <w:szCs w:val="20"/>
          <w:color w:val="auto"/>
        </w:rPr>
      </w:pPr>
    </w:p>
    <w:p>
      <w:pPr>
        <w:ind w:right="40" w:firstLine="517"/>
        <w:spacing w:after="0" w:line="262" w:lineRule="auto"/>
        <w:rPr>
          <w:sz w:val="20"/>
          <w:szCs w:val="20"/>
          <w:color w:val="auto"/>
        </w:rPr>
      </w:pPr>
      <w:r>
        <w:rPr>
          <w:rFonts w:ascii="Times New Roman" w:cs="Times New Roman" w:eastAsia="Times New Roman" w:hAnsi="Times New Roman"/>
          <w:sz w:val="14"/>
          <w:szCs w:val="14"/>
          <w:color w:val="auto"/>
        </w:rPr>
        <w:t>Restricted stock units (“RSUs”) granted under the 2011 Plan are subject to a service-based vesting condition and a performance-based vesting condition. The service-based vesting condition is generally satisfied based on one of three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beginning on December 20, 2018, subject to continued service, or (iii) vesting in eight equal quarterly installments beginning on December 20, 2022, subject to continued service. The performance-based vesting condition is satisfied on the earlier of (i) a change in control, in which the consideration paid to holders of shares is either cash, publicly traded securities, or a combination thereof, or (ii) the first Company vest date to occur following the expiration of the lock-up period upon an IPO, subject to continued service through such change in control or lock-up expiration, as applicable. None of the RSUs vest unless the performance-based vesting condition is satisfied. Upon the completion of the IPO, the performance-based vesting condition was met and the Company recognized $17.3 million of deferred expense related to RSUs as of that date in its condensed consolidated statement of operations.</w:t>
      </w:r>
    </w:p>
    <w:p>
      <w:pPr>
        <w:spacing w:after="0" w:line="167" w:lineRule="exact"/>
        <w:rPr>
          <w:sz w:val="20"/>
          <w:szCs w:val="20"/>
          <w:color w:val="auto"/>
        </w:rPr>
      </w:pPr>
    </w:p>
    <w:p>
      <w:pPr>
        <w:ind w:right="100" w:firstLine="517"/>
        <w:spacing w:after="0" w:line="250" w:lineRule="auto"/>
        <w:rPr>
          <w:sz w:val="20"/>
          <w:szCs w:val="20"/>
          <w:color w:val="auto"/>
        </w:rPr>
      </w:pPr>
      <w:r>
        <w:rPr>
          <w:rFonts w:ascii="Times New Roman" w:cs="Times New Roman" w:eastAsia="Times New Roman" w:hAnsi="Times New Roman"/>
          <w:sz w:val="14"/>
          <w:szCs w:val="14"/>
          <w:color w:val="auto"/>
        </w:rPr>
        <w:t>Performance-based stock units (“PSUs”) granted under the 2019 Plan are subject to a performance-based vesting condition. With regard to the performance conditions, the fair value of new or modified awards is equal to the grant date fair market value of the Company’s common stock. PSUs generally vest over a four-year period based on the achievement of specified performance targets for the fiscal year ended January 31, 2020 and subject to continued service through the applicable vesting dates. The compensation cost is recognized over the requisite service period when it is probable that the performance condition will be satisfied. Based on the extent to which the performance targets are achieved, shares ultimately awarded may range from 80% to 100% of the target award amount. If the performance targets are below 80%, no shares will be awarded.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88" w:lineRule="exact"/>
        <w:rPr>
          <w:sz w:val="20"/>
          <w:szCs w:val="20"/>
          <w:color w:val="auto"/>
        </w:rPr>
      </w:pPr>
    </w:p>
    <w:p>
      <w:pPr>
        <w:ind w:right="100" w:firstLine="517"/>
        <w:spacing w:after="0" w:line="263" w:lineRule="auto"/>
        <w:rPr>
          <w:sz w:val="20"/>
          <w:szCs w:val="20"/>
          <w:color w:val="auto"/>
        </w:rPr>
      </w:pPr>
      <w:r>
        <w:rPr>
          <w:rFonts w:ascii="Times New Roman" w:cs="Times New Roman" w:eastAsia="Times New Roman" w:hAnsi="Times New Roman"/>
          <w:sz w:val="14"/>
          <w:szCs w:val="14"/>
          <w:color w:val="auto"/>
        </w:rPr>
        <w:t>The Company allocates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users, acquired technology,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During the measurement period, which is one year from the acquisition date, the Company may record adjustments to the assets acquired and liabilities assumed, with the corresponding offset to goodwill. Upon the conclusion of the measurement period, any subsequent adjustments are recorded in the condensed consolidated statement of operations.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w:t>
      </w:r>
    </w:p>
    <w:p>
      <w:pPr>
        <w:spacing w:after="0" w:line="188" w:lineRule="exact"/>
        <w:rPr>
          <w:sz w:val="20"/>
          <w:szCs w:val="20"/>
          <w:color w:val="auto"/>
        </w:rPr>
      </w:pPr>
    </w:p>
    <w:p>
      <w:pPr>
        <w:ind w:firstLine="517"/>
        <w:spacing w:after="0" w:line="261" w:lineRule="auto"/>
        <w:rPr>
          <w:sz w:val="20"/>
          <w:szCs w:val="20"/>
          <w:color w:val="auto"/>
        </w:rPr>
      </w:pPr>
      <w:r>
        <w:rPr>
          <w:rFonts w:ascii="Times New Roman" w:cs="Times New Roman" w:eastAsia="Times New Roman" w:hAnsi="Times New Roman"/>
          <w:sz w:val="14"/>
          <w:szCs w:val="14"/>
          <w:color w:val="auto"/>
        </w:rPr>
        <w:t>The Company evaluates and tests the recoverability of goodwill for impairment at least annually, on January 31, or more frequently if circumstances indicate that goodwill may not be recoverable. The Company performs the impairment testing by first assessing qualitative factors to determine whether the existence of events or circumstances leads to a determination that it is more likely than not that the fair value of its reporting unit is less than its carrying amount. The Company has one reporting unit. If, after assessing the totality of events or circumstances, the Company determines it is more likely than not that the fair value of a reporting unit is less than its carrying amount, the Company performs the first step of a two-step analysis by comparing the book value of net assets to the fair value of the reporting unit. To calculate any potential impairment, the Company compares the fair value of a reporting unit with its carrying amount, including goodwill. Any excess of the carrying amount of the reporting unit’s goodwill over its fair value is recognized as an impairment loss, and the carrying value of goodwill is written down. In assessing the qualitative factors, the Company considers the impact of certain key factors including macroeconomic conditions, industry and market considerations, management turnover, changes in regulation, litigation matters, changes in enterprise value, and overall financial performance. No impairment was recorded during the three and nine months ended October 31, 2019 or October 31, 2018. The change in the goodwill balance during the three and nine months ended October 31, 2019 and October 31, 2018 was due to changes in foreign currency exchange rates.</w:t>
      </w:r>
    </w:p>
    <w:p>
      <w:pPr>
        <w:spacing w:after="0" w:line="149" w:lineRule="exact"/>
        <w:rPr>
          <w:sz w:val="20"/>
          <w:szCs w:val="20"/>
          <w:color w:val="auto"/>
        </w:rPr>
      </w:pPr>
    </w:p>
    <w:p>
      <w:pPr>
        <w:ind w:right="40" w:firstLine="517"/>
        <w:spacing w:after="0" w:line="263" w:lineRule="auto"/>
        <w:rPr>
          <w:sz w:val="20"/>
          <w:szCs w:val="20"/>
          <w:color w:val="auto"/>
        </w:rPr>
      </w:pPr>
      <w:r>
        <w:rPr>
          <w:rFonts w:ascii="Times New Roman" w:cs="Times New Roman" w:eastAsia="Times New Roman" w:hAnsi="Times New Roman"/>
          <w:sz w:val="14"/>
          <w:szCs w:val="14"/>
          <w:color w:val="auto"/>
        </w:rPr>
        <w:t>Acquired intangible assets consisting of identifiable intangible assets, were comprised of developed technology, customer relationships, and non-compete agreements resulting from acquisitions. Acquired intangible assets are recorded at fair value on the date of acquisition and amortized over their estimated economic lives following the pattern in which the economic benefits of the assets will be consumed which is on a straight-line basis. Acquired intangible assets are presented net of accumulated amortization on the condensed consolidated balance sheets. The Company reviews the carrying amounts of intangible assets for impairment whenever events or changes in circumstances indicate that the carrying amount of the assets may not be recoverable. The Company measures the recoverability of intangible assets by comparing the carrying amount of each asset to the future undiscounted cash flows it expects the asset to generate. If the Company considers any of these assets to be impaired, the impairment to be recognized equals the amount by which the carrying value of the asset exceeds its fair value. In addition, the Company periodically evaluates the estimated remaining useful lives of long-lived assets to determine whether events or changes in circumstances warrant a revision to the remaining period of depreciation or amortization.</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88" w:lineRule="exact"/>
        <w:rPr>
          <w:sz w:val="20"/>
          <w:szCs w:val="20"/>
          <w:color w:val="auto"/>
        </w:rPr>
      </w:pPr>
    </w:p>
    <w:p>
      <w:pPr>
        <w:ind w:right="20" w:firstLine="517"/>
        <w:spacing w:after="0" w:line="266" w:lineRule="auto"/>
        <w:rPr>
          <w:sz w:val="20"/>
          <w:szCs w:val="20"/>
          <w:color w:val="auto"/>
        </w:rPr>
      </w:pPr>
      <w:r>
        <w:rPr>
          <w:rFonts w:ascii="Times New Roman" w:cs="Times New Roman" w:eastAsia="Times New Roman" w:hAnsi="Times New Roman"/>
          <w:sz w:val="14"/>
          <w:szCs w:val="14"/>
          <w:color w:val="auto"/>
        </w:rPr>
        <w:t>The Company leases its office space under various noncancelable operating lease agreements and recognizes related rent expense on a straight-line basis over the term of the lease. Certain lease agreements contain rent holidays, scheduled rent increases, lease incentives, and renewal options. Rent holidays and scheduled rent increases are included in the determination of rent expense to be recorded over the lease term. Lease incentives are recognized as a reduction of rent expense on a straight-line basis over the term of the lease. Renewals are not assumed in the determination of the lease term unless they are deemed to be reasonably assured at the inception of the lease. The Company begins to recognize rent expense on the date that the Company obtains the legal right to use and control the leased space.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88" w:lineRule="exact"/>
        <w:rPr>
          <w:sz w:val="20"/>
          <w:szCs w:val="20"/>
          <w:color w:val="auto"/>
        </w:rPr>
      </w:pPr>
    </w:p>
    <w:p>
      <w:pPr>
        <w:ind w:right="40" w:firstLine="517"/>
        <w:spacing w:after="0" w:line="269" w:lineRule="auto"/>
        <w:rPr>
          <w:sz w:val="20"/>
          <w:szCs w:val="20"/>
          <w:color w:val="auto"/>
        </w:rPr>
      </w:pPr>
      <w:r>
        <w:rPr>
          <w:rFonts w:ascii="Times New Roman" w:cs="Times New Roman" w:eastAsia="Times New Roman" w:hAnsi="Times New Roman"/>
          <w:sz w:val="14"/>
          <w:szCs w:val="14"/>
          <w:color w:val="auto"/>
        </w:rPr>
        <w:t>The functional currencies of the Company’s foreign subsidiaries are each country’s local currency. Assets and liabilities of the subsidiaries are translated into U.S. Dollars at exchange rates in effect at the reporting date. Amounts classified in stockholders’ equity/(deficit) are translated at historical exchange rates. Revenue and expenses are translated at the average exchange rates during the period. The resulting translation adjustments are recorded in accumulated other comprehensive income (loss). Foreign currency transaction gains or losses, whether realized or unrealized, are reflected in the condensed consolidated statements of operations within Other income (expense), net, and have not been material for all periods presented.</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88" w:lineRule="exact"/>
        <w:rPr>
          <w:sz w:val="20"/>
          <w:szCs w:val="20"/>
          <w:color w:val="auto"/>
        </w:rPr>
      </w:pPr>
    </w:p>
    <w:p>
      <w:pPr>
        <w:jc w:val="both"/>
        <w:ind w:right="40" w:firstLine="517"/>
        <w:spacing w:after="0" w:line="275" w:lineRule="auto"/>
        <w:rPr>
          <w:sz w:val="20"/>
          <w:szCs w:val="20"/>
          <w:color w:val="auto"/>
        </w:rPr>
      </w:pPr>
      <w:r>
        <w:rPr>
          <w:rFonts w:ascii="Times New Roman" w:cs="Times New Roman" w:eastAsia="Times New Roman" w:hAnsi="Times New Roman"/>
          <w:sz w:val="14"/>
          <w:szCs w:val="14"/>
          <w:color w:val="auto"/>
        </w:rPr>
        <w:t>The Company accounts for income taxes using the asset and liability method. Under this method, deferred tax assets and liabilities are determined based on differences between the financial statement and tax basis of assets and liabilities and net operating loss and credit carryforwards using enacted tax rates in effect for the year in which the differences are expected to reverse. Valuation allowances are established when necessary to reduce deferred tax assets to the amounts expected to be realized.</w:t>
      </w:r>
    </w:p>
    <w:p>
      <w:pPr>
        <w:spacing w:after="0" w:line="136" w:lineRule="exact"/>
        <w:rPr>
          <w:sz w:val="20"/>
          <w:szCs w:val="20"/>
          <w:color w:val="auto"/>
        </w:rPr>
      </w:pPr>
    </w:p>
    <w:p>
      <w:pPr>
        <w:ind w:right="60" w:firstLine="517"/>
        <w:spacing w:after="0" w:line="262" w:lineRule="auto"/>
        <w:rPr>
          <w:sz w:val="20"/>
          <w:szCs w:val="20"/>
          <w:color w:val="auto"/>
        </w:rPr>
      </w:pPr>
      <w:r>
        <w:rPr>
          <w:rFonts w:ascii="Times New Roman" w:cs="Times New Roman" w:eastAsia="Times New Roman" w:hAnsi="Times New Roman"/>
          <w:sz w:val="14"/>
          <w:szCs w:val="14"/>
          <w:color w:val="auto"/>
        </w:rPr>
        <w:t>The Company accounts for unrecognized tax benefits using a more-likely-than-not threshold for financial statement recognition and measurement of tax positions taken or expected to be taken in a tax return. The Company establishes a liability for tax-related uncertainties based on estimates of whether, and the extent to which, additional taxes will be due. The Company records an income tax liability, if any, for the difference between the benefit recognized and measured and the tax position taken or expected to be taken on the Company’s tax returns. To the extent that the assessment of such tax positions changes, the change in estimate is recorded in the period in which the determination is made. The liability is adjusted considering changing facts and circumstances, such as the outcome of a tax audit. The provision for income taxes includes the impact of liability provisions and changes to the liability that are considered appropriate. As the Company maintains a full valuation allowance against its deferred tax assets, the changes resulted in no additional tax expense during the three and nine months ended October 31, 2019 or October 31, 2018. As of October 31, 2019, the Company does not expect that changes in the liability for unrecognized tax benefits for the next twelve months will have a material impact on its condensed consolidated financial statements.</w:t>
      </w:r>
    </w:p>
    <w:p>
      <w:pPr>
        <w:spacing w:after="0" w:line="3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Sales Taxes</w:t>
      </w:r>
    </w:p>
    <w:p>
      <w:pPr>
        <w:spacing w:after="0" w:line="188"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When sales and other taxes are billed, such amounts are recorded as accounts receivable with a corresponding increase to other current liabilities, respectively. The balances are then removed from the condensed consolidated balance sheet as cash is collected from the customer and as remitted to the respective tax authority.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Segment and Geographic Information</w:t>
      </w:r>
    </w:p>
    <w:p>
      <w:pPr>
        <w:spacing w:after="0" w:line="188" w:lineRule="exact"/>
        <w:rPr>
          <w:sz w:val="20"/>
          <w:szCs w:val="20"/>
          <w:color w:val="auto"/>
        </w:rPr>
      </w:pPr>
    </w:p>
    <w:p>
      <w:pPr>
        <w:jc w:val="both"/>
        <w:ind w:right="300" w:firstLine="517"/>
        <w:spacing w:after="0" w:line="275" w:lineRule="auto"/>
        <w:rPr>
          <w:sz w:val="20"/>
          <w:szCs w:val="20"/>
          <w:color w:val="auto"/>
        </w:rPr>
      </w:pPr>
      <w:r>
        <w:rPr>
          <w:rFonts w:ascii="Times New Roman" w:cs="Times New Roman" w:eastAsia="Times New Roman" w:hAnsi="Times New Roman"/>
          <w:sz w:val="14"/>
          <w:szCs w:val="14"/>
          <w:color w:val="auto"/>
        </w:rPr>
        <w:t>The Company’s chief operating decision maker (“CODM”) is its chief executive officer. The CODM reviews financial information presented on a consolidated basis for the purposes of allocating resources and evaluating financial performance. Accordingly, management has determined that the Company operates as one operating and reportable segment. The Company presents financial information about its geographic areas in Note 12 to the condensed consolidated financial statements.</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188" w:lineRule="exact"/>
        <w:rPr>
          <w:sz w:val="20"/>
          <w:szCs w:val="20"/>
          <w:color w:val="auto"/>
        </w:rPr>
      </w:pPr>
    </w:p>
    <w:p>
      <w:pPr>
        <w:ind w:firstLine="517"/>
        <w:spacing w:after="0" w:line="269" w:lineRule="auto"/>
        <w:rPr>
          <w:sz w:val="20"/>
          <w:szCs w:val="20"/>
          <w:color w:val="auto"/>
        </w:rPr>
      </w:pPr>
      <w:r>
        <w:rPr>
          <w:rFonts w:ascii="Times New Roman" w:cs="Times New Roman" w:eastAsia="Times New Roman" w:hAnsi="Times New Roman"/>
          <w:sz w:val="14"/>
          <w:szCs w:val="14"/>
          <w:color w:val="auto"/>
        </w:rPr>
        <w:t>The Company computes basic and diluted net loss per share attributable to common stockholders for Class A and Class B common stock using the two-class method required for participating securities. The Company considers all series of its redeemable convertible preferred stock to be participating securities. Net loss is attributed to Class A and Class B common stock based on their participation rights. Under the two-class method, basic net loss per share attributable to common stockholders is computed by dividing the net loss attributable to common stockholders by the weighted-average number of shares of common stock outstanding during the period.</w:t>
      </w:r>
    </w:p>
    <w:p>
      <w:pPr>
        <w:spacing w:after="0" w:line="140" w:lineRule="exact"/>
        <w:rPr>
          <w:sz w:val="20"/>
          <w:szCs w:val="20"/>
          <w:color w:val="auto"/>
        </w:rPr>
      </w:pPr>
    </w:p>
    <w:p>
      <w:pPr>
        <w:ind w:right="180" w:firstLine="517"/>
        <w:spacing w:after="0" w:line="275" w:lineRule="auto"/>
        <w:rPr>
          <w:sz w:val="20"/>
          <w:szCs w:val="20"/>
          <w:color w:val="auto"/>
        </w:rPr>
      </w:pPr>
      <w:r>
        <w:rPr>
          <w:rFonts w:ascii="Times New Roman" w:cs="Times New Roman" w:eastAsia="Times New Roman" w:hAnsi="Times New Roman"/>
          <w:sz w:val="14"/>
          <w:szCs w:val="14"/>
          <w:color w:val="auto"/>
        </w:rPr>
        <w:t>Diluted earnings per share attributable to common stockholders adjusts basic earnings per share for the potentially dilutive impact of stock options and redeemable convertible preferred stock. As the Company has reported losses for all periods presented, all potentially dilutive securities including redeemable convertible preferred stock, stock options, and warrants, are antidilutive and accordingly, basic net loss per share equals diluted net loss per share.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207" w:lineRule="exact"/>
        <w:rPr>
          <w:sz w:val="20"/>
          <w:szCs w:val="20"/>
          <w:color w:val="auto"/>
        </w:rPr>
      </w:pPr>
    </w:p>
    <w:p>
      <w:pPr>
        <w:ind w:firstLine="517"/>
        <w:spacing w:after="0" w:line="245" w:lineRule="auto"/>
        <w:rPr>
          <w:sz w:val="20"/>
          <w:szCs w:val="20"/>
          <w:color w:val="auto"/>
        </w:rPr>
      </w:pPr>
      <w:r>
        <w:rPr>
          <w:rFonts w:ascii="Times New Roman" w:cs="Times New Roman" w:eastAsia="Times New Roman" w:hAnsi="Times New Roman"/>
          <w:sz w:val="14"/>
          <w:szCs w:val="14"/>
          <w:color w:val="auto"/>
        </w:rPr>
        <w:t xml:space="preserve">In May 2014, the FASB issued ASU No. 2014-09, </w:t>
      </w:r>
      <w:r>
        <w:rPr>
          <w:rFonts w:ascii="Times New Roman" w:cs="Times New Roman" w:eastAsia="Times New Roman" w:hAnsi="Times New Roman"/>
          <w:sz w:val="14"/>
          <w:szCs w:val="14"/>
          <w:i w:val="1"/>
          <w:iCs w:val="1"/>
          <w:color w:val="auto"/>
        </w:rPr>
        <w:t>Revenue from Contracts with Customers (Topic 606)</w:t>
      </w:r>
      <w:r>
        <w:rPr>
          <w:rFonts w:ascii="Times New Roman" w:cs="Times New Roman" w:eastAsia="Times New Roman" w:hAnsi="Times New Roman"/>
          <w:sz w:val="14"/>
          <w:szCs w:val="14"/>
          <w:color w:val="auto"/>
        </w:rPr>
        <w:t xml:space="preserve">, which provides guidance for revenue recognition. Under the new guidance, revenue is recognized when a customer obtains control of promised goods or services and is recognized in an amount that reflects the consideration that the entity expects to receive in exchange for those goods or services. In addition, the guidance requires disclosure of the nature, amount, timing, and uncertainty of revenue and cash flows arising from contracts with customers. Subsequently, the FASB has issued the following guidance to amend ASU 2014-09: ASU No. 2015-14, </w:t>
      </w:r>
      <w:r>
        <w:rPr>
          <w:rFonts w:ascii="Times New Roman" w:cs="Times New Roman" w:eastAsia="Times New Roman" w:hAnsi="Times New Roman"/>
          <w:sz w:val="14"/>
          <w:szCs w:val="14"/>
          <w:i w:val="1"/>
          <w:iCs w:val="1"/>
          <w:color w:val="auto"/>
        </w:rPr>
        <w:t>Revenue from Contracts with Customers (Topic 606): Deferral of the Effective Date</w:t>
      </w:r>
      <w:r>
        <w:rPr>
          <w:rFonts w:ascii="Times New Roman" w:cs="Times New Roman" w:eastAsia="Times New Roman" w:hAnsi="Times New Roman"/>
          <w:sz w:val="14"/>
          <w:szCs w:val="14"/>
          <w:color w:val="auto"/>
        </w:rPr>
        <w:t xml:space="preserve">; ASU No. 2016-08, </w:t>
      </w:r>
      <w:r>
        <w:rPr>
          <w:rFonts w:ascii="Times New Roman" w:cs="Times New Roman" w:eastAsia="Times New Roman" w:hAnsi="Times New Roman"/>
          <w:sz w:val="14"/>
          <w:szCs w:val="14"/>
          <w:i w:val="1"/>
          <w:iCs w:val="1"/>
          <w:color w:val="auto"/>
        </w:rPr>
        <w:t>Revenue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from Contracts with Customers (Topic 606): Principal versus Agent Considerations (Reporting Revenue Gross versus Net)</w:t>
      </w:r>
      <w:r>
        <w:rPr>
          <w:rFonts w:ascii="Times New Roman" w:cs="Times New Roman" w:eastAsia="Times New Roman" w:hAnsi="Times New Roman"/>
          <w:sz w:val="14"/>
          <w:szCs w:val="14"/>
          <w:color w:val="auto"/>
        </w:rPr>
        <w:t>; ASU No. 2016-10,</w:t>
      </w:r>
      <w:r>
        <w:rPr>
          <w:rFonts w:ascii="Times New Roman" w:cs="Times New Roman" w:eastAsia="Times New Roman" w:hAnsi="Times New Roman"/>
          <w:sz w:val="14"/>
          <w:szCs w:val="14"/>
          <w:i w:val="1"/>
          <w:iCs w:val="1"/>
          <w:color w:val="auto"/>
        </w:rPr>
        <w:t xml:space="preserve"> Revenue from Contracts with Customers (Topic 606): Identifying Performance Obligations and Licensing</w:t>
      </w:r>
      <w:r>
        <w:rPr>
          <w:rFonts w:ascii="Times New Roman" w:cs="Times New Roman" w:eastAsia="Times New Roman" w:hAnsi="Times New Roman"/>
          <w:sz w:val="14"/>
          <w:szCs w:val="14"/>
          <w:color w:val="auto"/>
        </w:rPr>
        <w:t>; ASU No. 2016-12,</w:t>
      </w:r>
      <w:r>
        <w:rPr>
          <w:rFonts w:ascii="Times New Roman" w:cs="Times New Roman" w:eastAsia="Times New Roman" w:hAnsi="Times New Roman"/>
          <w:sz w:val="14"/>
          <w:szCs w:val="14"/>
          <w:i w:val="1"/>
          <w:iCs w:val="1"/>
          <w:color w:val="auto"/>
        </w:rPr>
        <w:t xml:space="preserve"> Revenue from Contracts with Customers (Topic 606): Narrow-Scope Improvements and Practical Expedients</w:t>
      </w:r>
      <w:r>
        <w:rPr>
          <w:rFonts w:ascii="Times New Roman" w:cs="Times New Roman" w:eastAsia="Times New Roman" w:hAnsi="Times New Roman"/>
          <w:sz w:val="14"/>
          <w:szCs w:val="14"/>
          <w:color w:val="auto"/>
        </w:rPr>
        <w:t>; and</w:t>
      </w:r>
    </w:p>
    <w:p>
      <w:pPr>
        <w:spacing w:after="0" w:line="2"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4"/>
          <w:szCs w:val="14"/>
          <w:color w:val="auto"/>
        </w:rPr>
        <w:t xml:space="preserve">ASU No. 2016-20, </w:t>
      </w:r>
      <w:r>
        <w:rPr>
          <w:rFonts w:ascii="Times New Roman" w:cs="Times New Roman" w:eastAsia="Times New Roman" w:hAnsi="Times New Roman"/>
          <w:sz w:val="14"/>
          <w:szCs w:val="14"/>
          <w:i w:val="1"/>
          <w:iCs w:val="1"/>
          <w:color w:val="auto"/>
        </w:rPr>
        <w:t>Technical Corrections and Improvements to Topic 606</w:t>
      </w:r>
      <w:r>
        <w:rPr>
          <w:rFonts w:ascii="Times New Roman" w:cs="Times New Roman" w:eastAsia="Times New Roman" w:hAnsi="Times New Roman"/>
          <w:sz w:val="14"/>
          <w:szCs w:val="14"/>
          <w:color w:val="auto"/>
        </w:rPr>
        <w:t>, which clarifies narrow aspects of Topic 606 or corrects unintended application of the guidance. The Company must adopt ASU No. 2015-14, ASU No. 2016-08, ASU No. 2016-10, ASU No. 2016-12, and ASU No. 2016-20 with ASU No. 2014-09, which are referred to collectively as the “new revenue guidance.” On February 1, 2019, the Company adopted ASU No. 2014-09 using the modified retrospective transition method. Under this method, results for reporting periods beginning on February 1, 2019 are presented under Topic 606, while prior period amounts are not adjusted and continue to be reported in accordance with our historical accounting under Topic 605. The Company recorded a cumulative effect adjustment to the opening accumulated deficit of $23.4 million, net of tax, as of the date of adoption. The change resulted from a $23.7 million reduction in commissions expense that the Company capitalized under Topic 606, but would have been recognized during the prior period as commissions expense under its historical accounting practices under Topic 605 and a $0.3 million reduction in revenue that would have been recognized during the prior period under Topic 605.</w:t>
      </w:r>
    </w:p>
    <w:p>
      <w:pPr>
        <w:spacing w:after="0" w:line="145" w:lineRule="exact"/>
        <w:rPr>
          <w:sz w:val="20"/>
          <w:szCs w:val="20"/>
          <w:color w:val="auto"/>
        </w:rPr>
      </w:pPr>
    </w:p>
    <w:p>
      <w:pPr>
        <w:ind w:right="20" w:firstLine="517"/>
        <w:spacing w:after="0" w:line="270" w:lineRule="auto"/>
        <w:rPr>
          <w:sz w:val="20"/>
          <w:szCs w:val="20"/>
          <w:color w:val="auto"/>
        </w:rPr>
      </w:pPr>
      <w:r>
        <w:rPr>
          <w:rFonts w:ascii="Times New Roman" w:cs="Times New Roman" w:eastAsia="Times New Roman" w:hAnsi="Times New Roman"/>
          <w:sz w:val="14"/>
          <w:szCs w:val="14"/>
          <w:color w:val="auto"/>
        </w:rPr>
        <w:t xml:space="preserve">In January 2017, the FASB issued ASU No. 2017-01, </w:t>
      </w:r>
      <w:r>
        <w:rPr>
          <w:rFonts w:ascii="Times New Roman" w:cs="Times New Roman" w:eastAsia="Times New Roman" w:hAnsi="Times New Roman"/>
          <w:sz w:val="14"/>
          <w:szCs w:val="14"/>
          <w:i w:val="1"/>
          <w:iCs w:val="1"/>
          <w:color w:val="auto"/>
        </w:rPr>
        <w:t>Business Combinations (Topic 805): Clarifying the Definition of a Business</w:t>
      </w:r>
      <w:r>
        <w:rPr>
          <w:rFonts w:ascii="Times New Roman" w:cs="Times New Roman" w:eastAsia="Times New Roman" w:hAnsi="Times New Roman"/>
          <w:sz w:val="14"/>
          <w:szCs w:val="14"/>
          <w:color w:val="auto"/>
        </w:rPr>
        <w:t>, which changes the definition of a business to assist entities with evaluating when a set of transferred assets and activities is a business. If substantially all of the fair value of the gross assets acquired is concentrated in a single identifiable asset or a group of similar identifiable assets, the set of transferred assets and activities is not a business. On February 1, 2019, the Company adopted ASU No. 2018-07, which did not have a material effect on the Company’s condensed consolidated financial statements.</w:t>
      </w:r>
    </w:p>
    <w:p>
      <w:pPr>
        <w:spacing w:after="0" w:line="138" w:lineRule="exact"/>
        <w:rPr>
          <w:sz w:val="20"/>
          <w:szCs w:val="20"/>
          <w:color w:val="auto"/>
        </w:rPr>
      </w:pPr>
    </w:p>
    <w:p>
      <w:pPr>
        <w:ind w:right="60" w:firstLine="517"/>
        <w:spacing w:after="0" w:line="267" w:lineRule="auto"/>
        <w:rPr>
          <w:sz w:val="20"/>
          <w:szCs w:val="20"/>
          <w:color w:val="auto"/>
        </w:rPr>
      </w:pPr>
      <w:r>
        <w:rPr>
          <w:rFonts w:ascii="Times New Roman" w:cs="Times New Roman" w:eastAsia="Times New Roman" w:hAnsi="Times New Roman"/>
          <w:sz w:val="14"/>
          <w:szCs w:val="14"/>
          <w:color w:val="auto"/>
        </w:rPr>
        <w:t xml:space="preserve">In June 2018, the FASB issued ASU No. 2018-07, </w:t>
      </w:r>
      <w:r>
        <w:rPr>
          <w:rFonts w:ascii="Times New Roman" w:cs="Times New Roman" w:eastAsia="Times New Roman" w:hAnsi="Times New Roman"/>
          <w:sz w:val="14"/>
          <w:szCs w:val="14"/>
          <w:i w:val="1"/>
          <w:iCs w:val="1"/>
          <w:color w:val="auto"/>
        </w:rPr>
        <w:t>Compensation—Stock Compensation (Topic 718): Improvements to Nonemployee Share-Based Payment Accounting.</w:t>
      </w:r>
      <w:r>
        <w:rPr>
          <w:rFonts w:ascii="Times New Roman" w:cs="Times New Roman" w:eastAsia="Times New Roman" w:hAnsi="Times New Roman"/>
          <w:sz w:val="14"/>
          <w:szCs w:val="14"/>
          <w:color w:val="auto"/>
        </w:rPr>
        <w:t xml:space="preserve"> This ASU simplifies the accounting for share-based payments to nonemployees by aligning it with the accounting for share-based payments to employees, with certain exceptions. This ASU is effective for public business entities for fiscal years beginning after December 15, 2018, and interim periods within those fiscal years. For all other entities, this ASU is effective for fiscal years beginning after December 15, 2019, and interim periods within fiscal years beginning after December 15, 2020. Early adoption is permitted, but no earlier than the adoption date of Topic 606. On February 1, 2019, the Company adopted ASU No. 2018-07, which did not have a material effect on the Company’s condensed consolidated financial statements.</w:t>
      </w:r>
    </w:p>
    <w:p>
      <w:pPr>
        <w:spacing w:after="0" w:line="141" w:lineRule="exact"/>
        <w:rPr>
          <w:sz w:val="20"/>
          <w:szCs w:val="20"/>
          <w:color w:val="auto"/>
        </w:rPr>
      </w:pPr>
    </w:p>
    <w:p>
      <w:pPr>
        <w:ind w:right="20" w:firstLine="517"/>
        <w:spacing w:after="0" w:line="264" w:lineRule="auto"/>
        <w:rPr>
          <w:sz w:val="20"/>
          <w:szCs w:val="20"/>
          <w:color w:val="auto"/>
        </w:rPr>
      </w:pPr>
      <w:r>
        <w:rPr>
          <w:rFonts w:ascii="Times New Roman" w:cs="Times New Roman" w:eastAsia="Times New Roman" w:hAnsi="Times New Roman"/>
          <w:sz w:val="14"/>
          <w:szCs w:val="14"/>
          <w:color w:val="auto"/>
        </w:rPr>
        <w:t>In August 2018, the SEC adopted the final rule under SEC Release No. 33-10532, Disclosure Update and Simplification. This release amends certain disclosure requirements that have become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The final rule was effective November 5, 2018. The Company adopted this amendment as of February 1, 2019, including presenting the activity of the stockholder’s equity accounts in the accompanying Condensed Consolidated Statements of Redeemable Convertible Preferred Stock and Stockholders’ Equity (Deficit) for the periods presented.</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188" w:lineRule="exact"/>
        <w:rPr>
          <w:sz w:val="20"/>
          <w:szCs w:val="20"/>
          <w:color w:val="auto"/>
        </w:rPr>
      </w:pPr>
    </w:p>
    <w:p>
      <w:pPr>
        <w:ind w:right="100" w:firstLine="517"/>
        <w:spacing w:after="0" w:line="294" w:lineRule="auto"/>
        <w:rPr>
          <w:sz w:val="20"/>
          <w:szCs w:val="20"/>
          <w:color w:val="auto"/>
        </w:rPr>
      </w:pPr>
      <w:r>
        <w:rPr>
          <w:rFonts w:ascii="Times New Roman" w:cs="Times New Roman" w:eastAsia="Times New Roman" w:hAnsi="Times New Roman"/>
          <w:sz w:val="14"/>
          <w:szCs w:val="14"/>
          <w:color w:val="auto"/>
        </w:rPr>
        <w:t>Under the JOBS Act, the Company meets the definition of an emerging growth company. The Company has elected to use the extended transition period for complying with new or revised accounting standards pursuant to Section 107(b) of the JOBS Act.</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517"/>
        <w:spacing w:after="0" w:line="262" w:lineRule="auto"/>
        <w:rPr>
          <w:sz w:val="20"/>
          <w:szCs w:val="20"/>
          <w:color w:val="auto"/>
        </w:rPr>
      </w:pPr>
      <w:r>
        <w:rPr>
          <w:rFonts w:ascii="Times New Roman" w:cs="Times New Roman" w:eastAsia="Times New Roman" w:hAnsi="Times New Roman"/>
          <w:sz w:val="14"/>
          <w:szCs w:val="14"/>
          <w:color w:val="auto"/>
        </w:rPr>
        <w:t xml:space="preserve">In February 2016, the FASB issued ASU No. 2016-02,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The new guidance supersedes current guidance related to accounting for leases and generally requires an entity to recognize on its balance sheet operating and financing lease liabilities and corresponding right-of-use assets. In July 2018, the FASB issued ASU No. 2018-10, </w:t>
      </w:r>
      <w:r>
        <w:rPr>
          <w:rFonts w:ascii="Times New Roman" w:cs="Times New Roman" w:eastAsia="Times New Roman" w:hAnsi="Times New Roman"/>
          <w:sz w:val="14"/>
          <w:szCs w:val="14"/>
          <w:i w:val="1"/>
          <w:iCs w:val="1"/>
          <w:color w:val="auto"/>
        </w:rPr>
        <w:t>Codification Improvements to Topic 842</w:t>
      </w:r>
      <w:r>
        <w:rPr>
          <w:rFonts w:ascii="Times New Roman" w:cs="Times New Roman" w:eastAsia="Times New Roman" w:hAnsi="Times New Roman"/>
          <w:sz w:val="14"/>
          <w:szCs w:val="14"/>
          <w:color w:val="auto"/>
        </w:rPr>
        <w:t xml:space="preserve">. This ASU makes 16 technical corrections to the new lease standard and other accounting topics, alleviating unintended consequences from applying the new standard. It does not make any substantive changes to the core provisions or principles of the new standard. In July 2018, the FASB also issued ASU No. 2018-11, </w:t>
      </w:r>
      <w:r>
        <w:rPr>
          <w:rFonts w:ascii="Times New Roman" w:cs="Times New Roman" w:eastAsia="Times New Roman" w:hAnsi="Times New Roman"/>
          <w:sz w:val="14"/>
          <w:szCs w:val="14"/>
          <w:i w:val="1"/>
          <w:iCs w:val="1"/>
          <w:color w:val="auto"/>
        </w:rPr>
        <w:t>Leases (Topic 842): Targeted Improvements</w:t>
      </w:r>
      <w:r>
        <w:rPr>
          <w:rFonts w:ascii="Times New Roman" w:cs="Times New Roman" w:eastAsia="Times New Roman" w:hAnsi="Times New Roman"/>
          <w:sz w:val="14"/>
          <w:szCs w:val="14"/>
          <w:color w:val="auto"/>
        </w:rPr>
        <w:t>. This ASU provides (1) an optional transition method that entities can use when adopting the standard and (2) a practical expedient that permits lessors to not separate non-lease components from the associated lease component if certain conditions are met. As an emerging growth company as defined in the JOBS Act, the Company has elected to delay adoption of this ASU until February 1, 2020. ASU No. 2016-02 can be adopted using either full or modified retrospective approach as of the earliest period presented or as of the adoption date with the cumulative effect adjustment to the opening balance recognized in retained earnings in the period of adoption. The Company is currently evaluating the potential impact of these ASUs on its consolidated financial statements.</w:t>
      </w:r>
    </w:p>
    <w:p>
      <w:pPr>
        <w:spacing w:after="0" w:line="146" w:lineRule="exact"/>
        <w:rPr>
          <w:sz w:val="20"/>
          <w:szCs w:val="20"/>
          <w:color w:val="auto"/>
        </w:rPr>
      </w:pPr>
    </w:p>
    <w:p>
      <w:pPr>
        <w:ind w:right="80" w:firstLine="517"/>
        <w:spacing w:after="0" w:line="262" w:lineRule="auto"/>
        <w:rPr>
          <w:sz w:val="20"/>
          <w:szCs w:val="20"/>
          <w:color w:val="auto"/>
        </w:rPr>
      </w:pPr>
      <w:r>
        <w:rPr>
          <w:rFonts w:ascii="Times New Roman" w:cs="Times New Roman" w:eastAsia="Times New Roman" w:hAnsi="Times New Roman"/>
          <w:sz w:val="14"/>
          <w:szCs w:val="14"/>
          <w:color w:val="auto"/>
        </w:rPr>
        <w:t xml:space="preserve">In June 2016, the FASB issued ASU No. 2016-13, </w:t>
      </w:r>
      <w:r>
        <w:rPr>
          <w:rFonts w:ascii="Times New Roman" w:cs="Times New Roman" w:eastAsia="Times New Roman" w:hAnsi="Times New Roman"/>
          <w:sz w:val="14"/>
          <w:szCs w:val="14"/>
          <w:i w:val="1"/>
          <w:iCs w:val="1"/>
          <w:color w:val="auto"/>
        </w:rPr>
        <w:t>Financial Instruments—Credit Losses (Topic 326): Measurement of Credit Losses on Financial Instruments</w:t>
      </w:r>
      <w:r>
        <w:rPr>
          <w:rFonts w:ascii="Times New Roman" w:cs="Times New Roman" w:eastAsia="Times New Roman" w:hAnsi="Times New Roman"/>
          <w:sz w:val="14"/>
          <w:szCs w:val="14"/>
          <w:color w:val="auto"/>
        </w:rPr>
        <w:t>. This ASU amends guidance on reporting credit losses for assets held at amortized cost basis and available-for-sale debt securities to require that credit losses on available-for-sale debt securities be presented as an allowance rather than as a write-down. In May 2019, the FASB issued an update for ASU No. 2016-13. The standard replaces the existing incurred loss model with an expected credit loss model for financial assets measured at amortized cost, including trade receivables, and requires that credit losses on available-for-sale debt securities be presented as an allowance rather than as a write-down. The measurement of credit losses for newly recognized financial assets and subsequent changes in the allowance for credit losses are recorded in the consolidated statements of operations. For public business entities that are SEC filers, this ASU is effective for fiscal years beginning after December 15, 2019, and interim periods within those fiscal years. For all other entities, this ASU is effective for fiscal years beginning after December 15, 2020, and interim periods within those fiscal years. Early adoption is permitted. The Company is currently evaluating the potential impact of this ASU on its consolidated financial statements.</w:t>
      </w:r>
    </w:p>
    <w:p>
      <w:pPr>
        <w:spacing w:after="0" w:line="146" w:lineRule="exact"/>
        <w:rPr>
          <w:sz w:val="20"/>
          <w:szCs w:val="20"/>
          <w:color w:val="auto"/>
        </w:rPr>
      </w:pPr>
    </w:p>
    <w:p>
      <w:pPr>
        <w:ind w:right="40" w:firstLine="517"/>
        <w:spacing w:after="0" w:line="265" w:lineRule="auto"/>
        <w:rPr>
          <w:sz w:val="20"/>
          <w:szCs w:val="20"/>
          <w:color w:val="auto"/>
        </w:rPr>
      </w:pPr>
      <w:r>
        <w:rPr>
          <w:rFonts w:ascii="Times New Roman" w:cs="Times New Roman" w:eastAsia="Times New Roman" w:hAnsi="Times New Roman"/>
          <w:sz w:val="14"/>
          <w:szCs w:val="14"/>
          <w:color w:val="auto"/>
        </w:rPr>
        <w:t xml:space="preserve">In January 2017, the FASB issued ASU No. 2017-04, </w:t>
      </w:r>
      <w:r>
        <w:rPr>
          <w:rFonts w:ascii="Times New Roman" w:cs="Times New Roman" w:eastAsia="Times New Roman" w:hAnsi="Times New Roman"/>
          <w:sz w:val="14"/>
          <w:szCs w:val="14"/>
          <w:i w:val="1"/>
          <w:iCs w:val="1"/>
          <w:color w:val="auto"/>
        </w:rPr>
        <w:t>Intangibles—Goodwill and Other (Topic 350): Simplifying the Test for Goodwill Impairment</w:t>
      </w:r>
      <w:r>
        <w:rPr>
          <w:rFonts w:ascii="Times New Roman" w:cs="Times New Roman" w:eastAsia="Times New Roman" w:hAnsi="Times New Roman"/>
          <w:sz w:val="14"/>
          <w:szCs w:val="14"/>
          <w:color w:val="auto"/>
        </w:rPr>
        <w:t>. This ASU simplifies the measurement of goodwill by eliminating step two of the two-step impairment test. Step two measures a goodwill impairment loss by comparing the implied fair value of a reporting unit’s goodwill with the carrying amount of that goodwill. This ASU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As an emerging growth company defined in the JOBS Act, the Company has elected to delay adoption of this ASU until February 1, 2022. The Company is currently evaluating the potential impact of this ASU on its consolidated financial statements.</w:t>
      </w:r>
    </w:p>
    <w:p>
      <w:pPr>
        <w:spacing w:after="0" w:line="140" w:lineRule="exact"/>
        <w:rPr>
          <w:sz w:val="20"/>
          <w:szCs w:val="20"/>
          <w:color w:val="auto"/>
        </w:rPr>
      </w:pPr>
    </w:p>
    <w:p>
      <w:pPr>
        <w:ind w:right="80" w:firstLine="517"/>
        <w:spacing w:after="0" w:line="265" w:lineRule="auto"/>
        <w:rPr>
          <w:sz w:val="20"/>
          <w:szCs w:val="20"/>
          <w:color w:val="auto"/>
        </w:rPr>
      </w:pPr>
      <w:r>
        <w:rPr>
          <w:rFonts w:ascii="Times New Roman" w:cs="Times New Roman" w:eastAsia="Times New Roman" w:hAnsi="Times New Roman"/>
          <w:sz w:val="14"/>
          <w:szCs w:val="14"/>
          <w:color w:val="auto"/>
        </w:rPr>
        <w:t xml:space="preserve">In August 2018, the FASB issued ASU No. 2018-13, </w:t>
      </w:r>
      <w:r>
        <w:rPr>
          <w:rFonts w:ascii="Times New Roman" w:cs="Times New Roman" w:eastAsia="Times New Roman" w:hAnsi="Times New Roman"/>
          <w:sz w:val="14"/>
          <w:szCs w:val="14"/>
          <w:i w:val="1"/>
          <w:iCs w:val="1"/>
          <w:color w:val="auto"/>
        </w:rPr>
        <w:t>Fair Value Measurement (Topic 820): Disclosure Framework—Changes to the Disclosure Requirements for Fair Value Measurement</w:t>
      </w:r>
      <w:r>
        <w:rPr>
          <w:rFonts w:ascii="Times New Roman" w:cs="Times New Roman" w:eastAsia="Times New Roman" w:hAnsi="Times New Roman"/>
          <w:sz w:val="14"/>
          <w:szCs w:val="14"/>
          <w:color w:val="auto"/>
        </w:rPr>
        <w:t xml:space="preserve">. This ASU modifies the disclosure requirements on fair value measurements in Topic 820,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As an emerging growth company as defined in the JOBS Act, the Company has elected to delay adoption of this ASU until February 1, 2020. The Company is currently evaluating the potential impact of this ASU on its consolidated financial statements.</w:t>
      </w:r>
    </w:p>
    <w:p>
      <w:pPr>
        <w:spacing w:after="0" w:line="140" w:lineRule="exact"/>
        <w:rPr>
          <w:sz w:val="20"/>
          <w:szCs w:val="20"/>
          <w:color w:val="auto"/>
        </w:rPr>
      </w:pPr>
    </w:p>
    <w:p>
      <w:pPr>
        <w:ind w:right="60" w:firstLine="517"/>
        <w:spacing w:after="0" w:line="267" w:lineRule="auto"/>
        <w:rPr>
          <w:sz w:val="20"/>
          <w:szCs w:val="20"/>
          <w:color w:val="auto"/>
        </w:rPr>
      </w:pPr>
      <w:r>
        <w:rPr>
          <w:rFonts w:ascii="Times New Roman" w:cs="Times New Roman" w:eastAsia="Times New Roman" w:hAnsi="Times New Roman"/>
          <w:sz w:val="14"/>
          <w:szCs w:val="14"/>
          <w:color w:val="auto"/>
        </w:rPr>
        <w:t xml:space="preserve">In August 2018, the FASB issued ASU No. 2018-15, </w:t>
      </w:r>
      <w:r>
        <w:rPr>
          <w:rFonts w:ascii="Times New Roman" w:cs="Times New Roman" w:eastAsia="Times New Roman" w:hAnsi="Times New Roman"/>
          <w:sz w:val="14"/>
          <w:szCs w:val="14"/>
          <w:i w:val="1"/>
          <w:iCs w:val="1"/>
          <w:color w:val="auto"/>
        </w:rPr>
        <w:t>Intangibles—Goodwill and Other—Internal-Use Software (Subtopic 350-40): Customer’s Accounting for Implementation Costs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Incurred in a Cloud Computing Arrangement That Is a Service Contract (</w:t>
      </w:r>
      <w:r>
        <w:rPr>
          <w:rFonts w:ascii="Times New Roman" w:cs="Times New Roman" w:eastAsia="Times New Roman" w:hAnsi="Times New Roman"/>
          <w:sz w:val="14"/>
          <w:szCs w:val="14"/>
          <w:color w:val="auto"/>
        </w:rPr>
        <w:t>a consensus of the FASB Emerging Issues Task Force). This ASU aligns the requirements for capitalizing implementation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costs incurred in a hosting arrangement that is a service contract with the requirements for capitalizing implementation costs incurred to develop or obtain internal use software. As an emerging growth company defined in the JOBS Act, the Company has elected to delay adoption of this ASU until February 1, 2021. Entities can choose to adopt this ASU prospectively or retrospectively. The Company is currently evaluating the potential impact of this ASU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3. Fair Value Measurements and Marketable Securities</w:t>
      </w:r>
    </w:p>
    <w:p>
      <w:pPr>
        <w:spacing w:after="0" w:line="186" w:lineRule="exact"/>
        <w:rPr>
          <w:sz w:val="20"/>
          <w:szCs w:val="20"/>
          <w:color w:val="auto"/>
        </w:rPr>
      </w:pPr>
    </w:p>
    <w:p>
      <w:pPr>
        <w:ind w:firstLine="517"/>
        <w:spacing w:after="0" w:line="266" w:lineRule="auto"/>
        <w:rPr>
          <w:sz w:val="20"/>
          <w:szCs w:val="20"/>
          <w:color w:val="auto"/>
        </w:rPr>
      </w:pPr>
      <w:r>
        <w:rPr>
          <w:rFonts w:ascii="Times New Roman" w:cs="Times New Roman" w:eastAsia="Times New Roman" w:hAnsi="Times New Roman"/>
          <w:sz w:val="14"/>
          <w:szCs w:val="14"/>
          <w:color w:val="auto"/>
        </w:rPr>
        <w:t>The Company follows ASC 820</w:t>
      </w:r>
      <w:r>
        <w:rPr>
          <w:rFonts w:ascii="Times New Roman" w:cs="Times New Roman" w:eastAsia="Times New Roman" w:hAnsi="Times New Roman"/>
          <w:sz w:val="14"/>
          <w:szCs w:val="14"/>
          <w:i w:val="1"/>
          <w:iCs w:val="1"/>
          <w:color w:val="auto"/>
        </w:rPr>
        <w:t>, Fair Value Measurements</w:t>
      </w:r>
      <w:r>
        <w:rPr>
          <w:rFonts w:ascii="Times New Roman" w:cs="Times New Roman" w:eastAsia="Times New Roman" w:hAnsi="Times New Roman"/>
          <w:sz w:val="14"/>
          <w:szCs w:val="14"/>
          <w:color w:val="auto"/>
        </w:rPr>
        <w:t>, with respect to marketable securities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w:t>
      </w:r>
    </w:p>
    <w:p>
      <w:pPr>
        <w:spacing w:after="0" w:line="3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hierarchy is broken down into three levels as follows: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1 Assets and liabilities whose values are based on unadjusted quoted market prices for identical assets and liabilities in active markets</w:t>
      </w:r>
    </w:p>
    <w:p>
      <w:pPr>
        <w:spacing w:after="0" w:line="25" w:lineRule="exact"/>
        <w:rPr>
          <w:sz w:val="20"/>
          <w:szCs w:val="20"/>
          <w:color w:val="auto"/>
        </w:rPr>
      </w:pPr>
    </w:p>
    <w:p>
      <w:pPr>
        <w:ind w:left="520" w:right="240"/>
        <w:spacing w:after="0" w:line="274" w:lineRule="auto"/>
        <w:rPr>
          <w:sz w:val="20"/>
          <w:szCs w:val="20"/>
          <w:color w:val="auto"/>
        </w:rPr>
      </w:pPr>
      <w:r>
        <w:rPr>
          <w:rFonts w:ascii="Times New Roman" w:cs="Times New Roman" w:eastAsia="Times New Roman" w:hAnsi="Times New Roman"/>
          <w:sz w:val="14"/>
          <w:szCs w:val="14"/>
          <w:color w:val="auto"/>
        </w:rPr>
        <w:t>Level 2 Assets and liabilities whose values are based on quoted prices in markets that are not active or inputs that are observable for substantially the full term of the asset or liability Level 3 Assets and liabilities whose values are based on prices or valuation techniques that require inputs that are both unobservable and significant to the overall fair value measurement</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Categorization within the valuation hierarchy is based upon the lowest level of input that is significant to the fair value measurement.</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fair value hierarchy for its financial assets and liabilities that are measured at fair value on a recurring basis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October 31, 2019</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January 31, 2019</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152"/>
        </w:trPr>
        <w:tc>
          <w:tcPr>
            <w:tcW w:w="3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6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6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8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80" w:type="dxa"/>
            <w:vAlign w:val="bottom"/>
          </w:tcPr>
          <w:p>
            <w:pPr>
              <w:spacing w:after="0"/>
              <w:rPr>
                <w:sz w:val="13"/>
                <w:szCs w:val="13"/>
                <w:color w:val="auto"/>
              </w:rPr>
            </w:pPr>
          </w:p>
        </w:tc>
        <w:tc>
          <w:tcPr>
            <w:tcW w:w="70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2"/>
        </w:trPr>
        <w:tc>
          <w:tcPr>
            <w:tcW w:w="38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r>
      <w:tr>
        <w:trPr>
          <w:trHeight w:val="16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50"/>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Cash equivalents </w:t>
            </w:r>
            <w:r>
              <w:rPr>
                <w:rFonts w:ascii="Times New Roman" w:cs="Times New Roman" w:eastAsia="Times New Roman" w:hAnsi="Times New Roman"/>
                <w:sz w:val="5"/>
                <w:szCs w:val="5"/>
                <w:color w:val="auto"/>
              </w:rPr>
              <w:t>(1)</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3"/>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Money market funds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693,258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693,258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42,132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42,132</w:t>
            </w:r>
          </w:p>
        </w:tc>
      </w:tr>
      <w:tr>
        <w:trPr>
          <w:trHeight w:val="157"/>
        </w:trPr>
        <w:tc>
          <w:tcPr>
            <w:tcW w:w="3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Corporate debt securities</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8,598</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8,598</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27,941</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27,941</w:t>
            </w:r>
          </w:p>
        </w:tc>
      </w:tr>
      <w:tr>
        <w:trPr>
          <w:trHeight w:val="157"/>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cash equivalents</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693,258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8,598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701,856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42,132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27,941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70,073</w:t>
            </w:r>
          </w:p>
        </w:tc>
      </w:tr>
      <w:tr>
        <w:trPr>
          <w:trHeight w:val="137"/>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Marketable securities</w:t>
            </w: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r>
      <w:tr>
        <w:trPr>
          <w:trHeight w:val="166"/>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Corporate debt securities</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76,154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76,154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91,796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91,796</w:t>
            </w:r>
          </w:p>
        </w:tc>
      </w:tr>
      <w:tr>
        <w:trPr>
          <w:trHeight w:val="157"/>
        </w:trPr>
        <w:tc>
          <w:tcPr>
            <w:tcW w:w="3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U.S. treasury securities</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13,929</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13,929</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11,451</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11,451</w:t>
            </w:r>
          </w:p>
        </w:tc>
      </w:tr>
      <w:tr>
        <w:trPr>
          <w:trHeight w:val="152"/>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marketable securities</w:t>
            </w: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13,929</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76,154</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90,083</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11,451</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91,796</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103,247</w:t>
            </w:r>
          </w:p>
        </w:tc>
      </w:tr>
      <w:tr>
        <w:trPr>
          <w:trHeight w:val="157"/>
        </w:trPr>
        <w:tc>
          <w:tcPr>
            <w:tcW w:w="38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Total assets</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707,187</w:t>
            </w:r>
          </w:p>
        </w:tc>
        <w:tc>
          <w:tcPr>
            <w:tcW w:w="10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84,752</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791,939</w:t>
            </w:r>
          </w:p>
        </w:tc>
        <w:tc>
          <w:tcPr>
            <w:tcW w:w="10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53,583</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119,737</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173,320</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23"/>
        </w:trPr>
        <w:tc>
          <w:tcPr>
            <w:tcW w:w="384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1"/>
                <w:szCs w:val="11"/>
                <w:b w:val="1"/>
                <w:bCs w:val="1"/>
                <w:color w:val="auto"/>
              </w:rPr>
              <w:t>Liability</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57"/>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Contingent consideration related to business combinations </w:t>
            </w:r>
            <w:r>
              <w:rPr>
                <w:rFonts w:ascii="Times New Roman" w:cs="Times New Roman" w:eastAsia="Times New Roman" w:hAnsi="Times New Roman"/>
                <w:sz w:val="5"/>
                <w:szCs w:val="5"/>
                <w:color w:val="auto"/>
              </w:rPr>
              <w:t>(2)</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474</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474</w:t>
            </w:r>
          </w:p>
        </w:tc>
      </w:tr>
      <w:tr>
        <w:trPr>
          <w:trHeight w:val="16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Redeemable convertible preferred stock warrant liability </w:t>
            </w:r>
            <w:r>
              <w:rPr>
                <w:rFonts w:ascii="Times New Roman" w:cs="Times New Roman" w:eastAsia="Times New Roman" w:hAnsi="Times New Roman"/>
                <w:sz w:val="5"/>
                <w:szCs w:val="5"/>
                <w:color w:val="auto"/>
              </w:rPr>
              <w:t>(3)</w:t>
            </w: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4,537</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4,537</w:t>
            </w:r>
          </w:p>
        </w:tc>
      </w:tr>
      <w:tr>
        <w:trPr>
          <w:trHeight w:val="157"/>
        </w:trPr>
        <w:tc>
          <w:tcPr>
            <w:tcW w:w="38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Total liabilities</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5,011</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5,011</w:t>
            </w:r>
          </w:p>
        </w:tc>
      </w:tr>
      <w:tr>
        <w:trPr>
          <w:trHeight w:val="20"/>
        </w:trPr>
        <w:tc>
          <w:tcPr>
            <w:tcW w:w="3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w:t>
      </w:r>
    </w:p>
    <w:p>
      <w:pPr>
        <w:spacing w:after="0" w:line="186" w:lineRule="exact"/>
        <w:rPr>
          <w:sz w:val="20"/>
          <w:szCs w:val="20"/>
          <w:color w:val="auto"/>
        </w:rPr>
      </w:pPr>
    </w:p>
    <w:p>
      <w:pPr>
        <w:ind w:left="520" w:hanging="514"/>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“Cash and cash equivalents” on the condensed consolidated balance sheets.</w:t>
      </w:r>
    </w:p>
    <w:p>
      <w:pPr>
        <w:spacing w:after="0" w:line="183" w:lineRule="exact"/>
        <w:rPr>
          <w:rFonts w:ascii="Times New Roman" w:cs="Times New Roman" w:eastAsia="Times New Roman" w:hAnsi="Times New Roman"/>
          <w:sz w:val="14"/>
          <w:szCs w:val="14"/>
          <w:color w:val="auto"/>
        </w:rPr>
      </w:pPr>
    </w:p>
    <w:p>
      <w:pPr>
        <w:ind w:left="520" w:right="80" w:hanging="514"/>
        <w:spacing w:after="0" w:line="266" w:lineRule="auto"/>
        <w:tabs>
          <w:tab w:leader="none" w:pos="51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contingent consideration consists of development milestone payments. The fair value of the contingent consideration was estimated by developing the risk-adjusted discounted value as well as discounted probability-weighted expected payments. That measure is based on Level 3 inputs which are significant inputs that are not observable in the market. Key assumptions at the acquisition date included (a) a discount rate range of 3%-3.02% and (b) three probability-adjusted milestone payments, each $0.2 million. As of January 31, 2019, the first milestone payment of $0.2 million had been made. During the three months ended April 30, 2019, the remaining milestones were deemed not probable of being paid and the remaining contingent consideration of $0.5 million was written off to Other income (expense), net.</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20"/>
          </w:cols>
          <w:pgMar w:left="220" w:top="125" w:right="25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hanging="514"/>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prior to the closing of the IPO on June 14, 2019, the redeemable convertible preferred stock warrants converted into 336,386 warrants to purchase Class B common stock on</w:t>
      </w:r>
    </w:p>
    <w:p>
      <w:pPr>
        <w:spacing w:after="0" w:line="25" w:lineRule="exact"/>
        <w:rPr>
          <w:rFonts w:ascii="Times New Roman" w:cs="Times New Roman" w:eastAsia="Times New Roman" w:hAnsi="Times New Roman"/>
          <w:sz w:val="14"/>
          <w:szCs w:val="14"/>
          <w:color w:val="auto"/>
        </w:rPr>
      </w:pPr>
    </w:p>
    <w:p>
      <w:pPr>
        <w:ind w:left="520" w:right="20"/>
        <w:spacing w:after="0" w:line="26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one-to-one basis. The redeemable convertible preferred stock warrant liability was reclassified to additional paid-in capital. Within the same month, the Company received notice from the holders of 336,386 warrants as to their intentions to exercise the warrants for shares of common stock of the Company. Such shares were settled via net settlement method, which was elected by the holders to reduce the number of shares issued upon exercise to reflect net settlement of the exercise price, resulting in the issuance of 322,278 shares of the Company’s common stock.</w:t>
      </w:r>
    </w:p>
    <w:p>
      <w:pPr>
        <w:spacing w:after="0" w:line="142"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transfers between the levels of the fair value hierarchy during the three and nine months ended October 31, 2019 or October 31, 2018.</w:t>
      </w:r>
    </w:p>
    <w:p>
      <w:pPr>
        <w:spacing w:after="0" w:line="184" w:lineRule="exact"/>
        <w:rPr>
          <w:sz w:val="20"/>
          <w:szCs w:val="20"/>
          <w:color w:val="auto"/>
        </w:rPr>
      </w:pPr>
    </w:p>
    <w:p>
      <w:pPr>
        <w:ind w:right="60" w:firstLine="517"/>
        <w:spacing w:after="0" w:line="269" w:lineRule="auto"/>
        <w:rPr>
          <w:sz w:val="20"/>
          <w:szCs w:val="20"/>
          <w:color w:val="auto"/>
        </w:rPr>
      </w:pPr>
      <w:r>
        <w:rPr>
          <w:rFonts w:ascii="Times New Roman" w:cs="Times New Roman" w:eastAsia="Times New Roman" w:hAnsi="Times New Roman"/>
          <w:sz w:val="14"/>
          <w:szCs w:val="14"/>
          <w:color w:val="auto"/>
        </w:rPr>
        <w:t>At October 31, 2019 and January 31, 2019, the amortized cost of the Company’s cash equivalents and marketable securities approximated their fair value and there were no material realized or unrealized gains or losses, either individually or in the aggregate. In addition, the securities that had been in continuous unrealized loss position per security type and in aggregate are not material as of October 31, 2019 and January 31, 2019. There were no impairments considered “other-than-temporary” as it is more likely than not the Company will hold the securities until maturity or a recovery of the cost basis.</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remaining contractual maturities of marketable securities as of October 31, 2019 and January 31, 2019 were less than one year.</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summarizes the changes in the redeemable convertible preferred stock warrant liability, which is classified as a Level 3 instrument:</w:t>
      </w:r>
    </w:p>
    <w:p>
      <w:pPr>
        <w:sectPr>
          <w:pgSz w:w="11900" w:h="16838" w:orient="portrait"/>
          <w:cols w:equalWidth="0" w:num="1">
            <w:col w:w="11460"/>
          </w:cols>
          <w:pgMar w:left="220" w:top="125" w:right="219" w:bottom="1440" w:gutter="0" w:footer="0" w:header="0"/>
        </w:sectPr>
      </w:pPr>
    </w:p>
    <w:p>
      <w:pPr>
        <w:spacing w:after="0" w:line="5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20955</wp:posOffset>
            </wp:positionV>
            <wp:extent cx="170370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03705" cy="6985"/>
                    </a:xfrm>
                    <a:prstGeom prst="rect">
                      <a:avLst/>
                    </a:prstGeom>
                    <a:noFill/>
                  </pic:spPr>
                </pic:pic>
              </a:graphicData>
            </a:graphic>
          </wp:anchor>
        </w:drawing>
      </w:r>
    </w:p>
    <w:p>
      <w:pPr>
        <w:spacing w:after="0" w:line="26" w:lineRule="exact"/>
        <w:rPr>
          <w:sz w:val="20"/>
          <w:szCs w:val="20"/>
          <w:color w:val="auto"/>
        </w:rPr>
      </w:pPr>
    </w:p>
    <w:p>
      <w:pPr>
        <w:ind w:left="6480"/>
        <w:spacing w:after="0"/>
        <w:tabs>
          <w:tab w:leader="none" w:pos="7840" w:val="left"/>
        </w:tabs>
        <w:rPr>
          <w:sz w:val="20"/>
          <w:szCs w:val="20"/>
          <w:color w:val="auto"/>
        </w:rPr>
      </w:pPr>
      <w:r>
        <w:rPr>
          <w:rFonts w:ascii="Times New Roman" w:cs="Times New Roman" w:eastAsia="Times New Roman" w:hAnsi="Times New Roman"/>
          <w:sz w:val="11"/>
          <w:szCs w:val="11"/>
          <w:b w:val="1"/>
          <w:bCs w:val="1"/>
          <w:color w:val="auto"/>
        </w:rPr>
        <w:t>2019</w:t>
      </w:r>
      <w:r>
        <w:rPr>
          <w:sz w:val="20"/>
          <w:szCs w:val="20"/>
          <w:color w:val="auto"/>
        </w:rPr>
        <w:tab/>
      </w:r>
      <w:r>
        <w:rPr>
          <w:rFonts w:ascii="Times New Roman" w:cs="Times New Roman" w:eastAsia="Times New Roman" w:hAnsi="Times New Roman"/>
          <w:sz w:val="11"/>
          <w:szCs w:val="11"/>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20955</wp:posOffset>
            </wp:positionV>
            <wp:extent cx="170370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03705" cy="6985"/>
                    </a:xfrm>
                    <a:prstGeom prst="rect">
                      <a:avLst/>
                    </a:prstGeom>
                    <a:noFill/>
                  </pic:spPr>
                </pic:pic>
              </a:graphicData>
            </a:graphic>
          </wp:anchor>
        </w:drawing>
      </w:r>
    </w:p>
    <w:p>
      <w:pPr>
        <w:spacing w:after="0" w:line="2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20955</wp:posOffset>
            </wp:positionV>
            <wp:extent cx="172466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24660" cy="6985"/>
                    </a:xfrm>
                    <a:prstGeom prst="rect">
                      <a:avLst/>
                    </a:prstGeom>
                    <a:noFill/>
                  </pic:spPr>
                </pic:pic>
              </a:graphicData>
            </a:graphic>
          </wp:anchor>
        </w:drawing>
      </w:r>
    </w:p>
    <w:p>
      <w:pPr>
        <w:spacing w:after="0" w:line="26"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1"/>
          <w:szCs w:val="11"/>
          <w:b w:val="1"/>
          <w:bCs w:val="1"/>
          <w:color w:val="auto"/>
        </w:rPr>
        <w:t>2019</w:t>
      </w:r>
      <w:r>
        <w:rPr>
          <w:sz w:val="20"/>
          <w:szCs w:val="20"/>
          <w:color w:val="auto"/>
        </w:rPr>
        <w:tab/>
      </w:r>
      <w:r>
        <w:rPr>
          <w:rFonts w:ascii="Times New Roman" w:cs="Times New Roman" w:eastAsia="Times New Roman" w:hAnsi="Times New Roman"/>
          <w:sz w:val="11"/>
          <w:szCs w:val="11"/>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20955</wp:posOffset>
            </wp:positionV>
            <wp:extent cx="172466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24660" cy="6985"/>
                    </a:xfrm>
                    <a:prstGeom prst="rect">
                      <a:avLst/>
                    </a:prstGeom>
                    <a:noFill/>
                  </pic:spPr>
                </pic:pic>
              </a:graphicData>
            </a:graphic>
          </wp:anchor>
        </w:drawing>
      </w:r>
    </w:p>
    <w:p>
      <w:pPr>
        <w:spacing w:after="0" w:line="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44" w:lineRule="exact"/>
        <w:rPr>
          <w:sz w:val="20"/>
          <w:szCs w:val="20"/>
          <w:color w:val="auto"/>
        </w:rPr>
      </w:pPr>
    </w:p>
    <w:p>
      <w:pPr>
        <w:sectPr>
          <w:pgSz w:w="11900" w:h="16838" w:orient="portrait"/>
          <w:cols w:equalWidth="0" w:num="2">
            <w:col w:w="8540" w:space="720"/>
            <w:col w:w="2200"/>
          </w:cols>
          <w:pgMar w:left="220" w:top="125" w:right="21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5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3,016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4,537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961</w:t>
            </w:r>
          </w:p>
        </w:tc>
      </w:tr>
      <w:tr>
        <w:trPr>
          <w:trHeight w:val="179"/>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resulting from change in fair value recognized in the condensed consolidated statements</w:t>
            </w: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6"/>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operations</w:t>
            </w:r>
          </w:p>
        </w:tc>
        <w:tc>
          <w:tcPr>
            <w:tcW w:w="560" w:type="dxa"/>
            <w:vAlign w:val="bottom"/>
          </w:tcPr>
          <w:p>
            <w:pPr>
              <w:spacing w:after="0"/>
              <w:rPr>
                <w:sz w:val="16"/>
                <w:szCs w:val="16"/>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880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2,935</w:t>
            </w:r>
          </w:p>
        </w:tc>
      </w:tr>
      <w:tr>
        <w:trPr>
          <w:trHeight w:val="23"/>
        </w:trPr>
        <w:tc>
          <w:tcPr>
            <w:tcW w:w="5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liability for redeemable convertible preferred stock warrants to additional paid-in</w:t>
            </w:r>
          </w:p>
        </w:tc>
        <w:tc>
          <w:tcPr>
            <w:tcW w:w="5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9"/>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upon initial public offering</w:t>
            </w:r>
          </w:p>
        </w:tc>
        <w:tc>
          <w:tcPr>
            <w:tcW w:w="5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(10,559)</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3,896</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3,896</w:t>
            </w:r>
          </w:p>
        </w:tc>
      </w:tr>
      <w:tr>
        <w:trPr>
          <w:trHeight w:val="20"/>
        </w:trPr>
        <w:tc>
          <w:tcPr>
            <w:tcW w:w="5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right="20" w:firstLine="517"/>
        <w:spacing w:after="0" w:line="268" w:lineRule="auto"/>
        <w:rPr>
          <w:sz w:val="20"/>
          <w:szCs w:val="20"/>
          <w:color w:val="auto"/>
        </w:rPr>
      </w:pPr>
      <w:r>
        <w:rPr>
          <w:rFonts w:ascii="Times New Roman" w:cs="Times New Roman" w:eastAsia="Times New Roman" w:hAnsi="Times New Roman"/>
          <w:sz w:val="14"/>
          <w:szCs w:val="14"/>
          <w:color w:val="auto"/>
        </w:rPr>
        <w:t>The fair value of the redeemable convertible preferred stock warrant liability was estimated using the Black-Scholes option-pricing model and was based on significant inputs not observable in the market, and therefore was classified as a Level 3 instrument. The inputs include the Company’s preferred stock price, expected stock price volatility, risk-free interest rate, and contractual term. No loss and a loss of $0.9 million was recorded as a component of Other income (expense), net, relating to the final remeasurement of the redeemable convertible preferred stock warrant liability during the three months ended October 31, 2019 and October 31, 2018, respectively, and a loss of $6.0 million and $2.9 million during the nine months ended October 31, 2019 and October 31, 2018, respectively.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4. Balance Sheet Components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Prepaid Expenses and Other Current Assets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Prepaid expenses and other current assets consisted of the following: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8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October 31,</w:t>
            </w:r>
          </w:p>
        </w:tc>
        <w:tc>
          <w:tcPr>
            <w:tcW w:w="320" w:type="dxa"/>
            <w:vAlign w:val="bottom"/>
          </w:tcPr>
          <w:p>
            <w:pPr>
              <w:spacing w:after="0"/>
              <w:rPr>
                <w:sz w:val="10"/>
                <w:szCs w:val="10"/>
                <w:color w:val="auto"/>
              </w:rPr>
            </w:pPr>
          </w:p>
        </w:tc>
        <w:tc>
          <w:tcPr>
            <w:tcW w:w="980" w:type="dxa"/>
            <w:vAlign w:val="bottom"/>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January 31,</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2019</w:t>
            </w:r>
          </w:p>
        </w:tc>
        <w:tc>
          <w:tcPr>
            <w:tcW w:w="0" w:type="dxa"/>
            <w:vAlign w:val="bottom"/>
          </w:tcPr>
          <w:p>
            <w:pPr>
              <w:spacing w:after="0"/>
              <w:rPr>
                <w:sz w:val="1"/>
                <w:szCs w:val="1"/>
                <w:color w:val="auto"/>
              </w:rPr>
            </w:pPr>
          </w:p>
        </w:tc>
      </w:tr>
      <w:tr>
        <w:trPr>
          <w:trHeight w:val="152"/>
        </w:trPr>
        <w:tc>
          <w:tcPr>
            <w:tcW w:w="40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4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20,515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5,982</w:t>
            </w:r>
          </w:p>
        </w:tc>
        <w:tc>
          <w:tcPr>
            <w:tcW w:w="0" w:type="dxa"/>
            <w:vAlign w:val="bottom"/>
          </w:tcPr>
          <w:p>
            <w:pPr>
              <w:spacing w:after="0"/>
              <w:rPr>
                <w:sz w:val="1"/>
                <w:szCs w:val="1"/>
                <w:color w:val="auto"/>
              </w:rPr>
            </w:pPr>
          </w:p>
        </w:tc>
      </w:tr>
      <w:tr>
        <w:trPr>
          <w:trHeight w:val="19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software licenses</w:t>
            </w:r>
          </w:p>
        </w:tc>
        <w:tc>
          <w:tcPr>
            <w:tcW w:w="4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14,793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8,408</w:t>
            </w:r>
          </w:p>
        </w:tc>
        <w:tc>
          <w:tcPr>
            <w:tcW w:w="0" w:type="dxa"/>
            <w:vAlign w:val="bottom"/>
          </w:tcPr>
          <w:p>
            <w:pPr>
              <w:spacing w:after="0"/>
              <w:rPr>
                <w:sz w:val="1"/>
                <w:szCs w:val="1"/>
                <w:color w:val="auto"/>
              </w:rPr>
            </w:pPr>
          </w:p>
        </w:tc>
      </w:tr>
      <w:tr>
        <w:trPr>
          <w:trHeight w:val="23"/>
        </w:trPr>
        <w:tc>
          <w:tcPr>
            <w:tcW w:w="4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46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2,606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1,105</w:t>
            </w:r>
          </w:p>
        </w:tc>
        <w:tc>
          <w:tcPr>
            <w:tcW w:w="0" w:type="dxa"/>
            <w:vAlign w:val="bottom"/>
          </w:tcPr>
          <w:p>
            <w:pPr>
              <w:spacing w:after="0"/>
              <w:rPr>
                <w:sz w:val="1"/>
                <w:szCs w:val="1"/>
                <w:color w:val="auto"/>
              </w:rPr>
            </w:pPr>
          </w:p>
        </w:tc>
      </w:tr>
      <w:tr>
        <w:trPr>
          <w:trHeight w:val="19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hosting services</w:t>
            </w:r>
          </w:p>
        </w:tc>
        <w:tc>
          <w:tcPr>
            <w:tcW w:w="4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2,915</w:t>
            </w:r>
          </w:p>
        </w:tc>
        <w:tc>
          <w:tcPr>
            <w:tcW w:w="0" w:type="dxa"/>
            <w:vAlign w:val="bottom"/>
          </w:tcPr>
          <w:p>
            <w:pPr>
              <w:spacing w:after="0"/>
              <w:rPr>
                <w:sz w:val="1"/>
                <w:szCs w:val="1"/>
                <w:color w:val="auto"/>
              </w:rPr>
            </w:pPr>
          </w:p>
        </w:tc>
      </w:tr>
      <w:tr>
        <w:trPr>
          <w:trHeight w:val="23"/>
        </w:trPr>
        <w:tc>
          <w:tcPr>
            <w:tcW w:w="408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37,914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18,410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bottom w:val="single" w:sz="8" w:color="CCEEFF"/>
            </w:tcBorders>
            <w:vMerge w:val="restart"/>
          </w:tcPr>
          <w:p>
            <w:pPr>
              <w:jc w:val="right"/>
              <w:ind w:right="2868"/>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408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4080" w:type="dxa"/>
            <w:vAlign w:val="bottom"/>
            <w:tcBorders>
              <w:bottom w:val="single" w:sz="8" w:color="9A9A9A"/>
            </w:tcBorders>
          </w:tcPr>
          <w:p>
            <w:pPr>
              <w:spacing w:after="0"/>
              <w:rPr>
                <w:sz w:val="7"/>
                <w:szCs w:val="7"/>
                <w:color w:val="auto"/>
              </w:rPr>
            </w:pPr>
          </w:p>
        </w:tc>
        <w:tc>
          <w:tcPr>
            <w:tcW w:w="46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-26035</wp:posOffset>
            </wp:positionV>
            <wp:extent cx="3238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type w:val="continuous"/>
        </w:sectPr>
      </w:pPr>
    </w:p>
    <w:bookmarkStart w:id="26" w:name="page27"/>
    <w:bookmarkEnd w:id="2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Property and equipment, net consisted of the following: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October 31,</w:t>
            </w:r>
          </w:p>
        </w:tc>
        <w:tc>
          <w:tcPr>
            <w:tcW w:w="320" w:type="dxa"/>
            <w:vAlign w:val="bottom"/>
          </w:tcPr>
          <w:p>
            <w:pPr>
              <w:spacing w:after="0"/>
              <w:rPr>
                <w:sz w:val="11"/>
                <w:szCs w:val="11"/>
                <w:color w:val="auto"/>
              </w:rPr>
            </w:pP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January 31,</w:t>
            </w:r>
          </w:p>
        </w:tc>
      </w:tr>
      <w:tr>
        <w:trPr>
          <w:trHeight w:val="155"/>
        </w:trPr>
        <w:tc>
          <w:tcPr>
            <w:tcW w:w="87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52"/>
        </w:trPr>
        <w:tc>
          <w:tcPr>
            <w:tcW w:w="8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3"/>
                <w:szCs w:val="13"/>
                <w:color w:val="auto"/>
              </w:rPr>
            </w:pPr>
          </w:p>
        </w:tc>
      </w:tr>
      <w:tr>
        <w:trPr>
          <w:trHeight w:val="200"/>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Data center and other computer equipment</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67,764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44,735</w:t>
            </w:r>
          </w:p>
        </w:tc>
      </w:tr>
      <w:tr>
        <w:trPr>
          <w:trHeight w:val="193"/>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internal-use software</w:t>
            </w:r>
          </w:p>
        </w:tc>
        <w:tc>
          <w:tcPr>
            <w:tcW w:w="240" w:type="dxa"/>
            <w:vAlign w:val="bottom"/>
          </w:tcPr>
          <w:p>
            <w:pPr>
              <w:spacing w:after="0"/>
              <w:rPr>
                <w:sz w:val="16"/>
                <w:szCs w:val="16"/>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27,928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22,209</w:t>
            </w:r>
          </w:p>
        </w:tc>
      </w:tr>
      <w:tr>
        <w:trPr>
          <w:trHeight w:val="23"/>
        </w:trPr>
        <w:tc>
          <w:tcPr>
            <w:tcW w:w="8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10,313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10,011</w:t>
            </w:r>
          </w:p>
        </w:tc>
      </w:tr>
      <w:tr>
        <w:trPr>
          <w:trHeight w:val="193"/>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Purchased software</w:t>
            </w:r>
          </w:p>
        </w:tc>
        <w:tc>
          <w:tcPr>
            <w:tcW w:w="240" w:type="dxa"/>
            <w:vAlign w:val="bottom"/>
          </w:tcPr>
          <w:p>
            <w:pPr>
              <w:spacing w:after="0"/>
              <w:rPr>
                <w:sz w:val="16"/>
                <w:szCs w:val="16"/>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2,557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1,460</w:t>
            </w:r>
          </w:p>
        </w:tc>
      </w:tr>
      <w:tr>
        <w:trPr>
          <w:trHeight w:val="23"/>
        </w:trPr>
        <w:tc>
          <w:tcPr>
            <w:tcW w:w="8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equipment</w:t>
            </w: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3,883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2,553</w:t>
            </w:r>
          </w:p>
        </w:tc>
      </w:tr>
      <w:tr>
        <w:trPr>
          <w:trHeight w:val="193"/>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in process</w:t>
            </w:r>
          </w:p>
        </w:tc>
        <w:tc>
          <w:tcPr>
            <w:tcW w:w="240" w:type="dxa"/>
            <w:vAlign w:val="bottom"/>
          </w:tcPr>
          <w:p>
            <w:pPr>
              <w:spacing w:after="0"/>
              <w:rPr>
                <w:sz w:val="16"/>
                <w:szCs w:val="16"/>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59,739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19,455</w:t>
            </w:r>
          </w:p>
        </w:tc>
      </w:tr>
      <w:tr>
        <w:trPr>
          <w:trHeight w:val="23"/>
        </w:trPr>
        <w:tc>
          <w:tcPr>
            <w:tcW w:w="8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6"/>
        </w:trPr>
        <w:tc>
          <w:tcPr>
            <w:tcW w:w="87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172,184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100,423</w:t>
            </w:r>
          </w:p>
        </w:tc>
      </w:tr>
      <w:tr>
        <w:trPr>
          <w:trHeight w:val="193"/>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40" w:type="dxa"/>
            <w:vAlign w:val="bottom"/>
          </w:tcPr>
          <w:p>
            <w:pPr>
              <w:spacing w:after="0"/>
              <w:rPr>
                <w:sz w:val="16"/>
                <w:szCs w:val="16"/>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(42,680)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(26,688)</w:t>
            </w:r>
          </w:p>
        </w:tc>
      </w:tr>
      <w:tr>
        <w:trPr>
          <w:trHeight w:val="23"/>
        </w:trPr>
        <w:tc>
          <w:tcPr>
            <w:tcW w:w="8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1"/>
        </w:trPr>
        <w:tc>
          <w:tcPr>
            <w:tcW w:w="8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129,504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73,735</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right="500" w:firstLine="517"/>
        <w:spacing w:after="0" w:line="294" w:lineRule="auto"/>
        <w:rPr>
          <w:sz w:val="20"/>
          <w:szCs w:val="20"/>
          <w:color w:val="auto"/>
        </w:rPr>
      </w:pPr>
      <w:r>
        <w:rPr>
          <w:rFonts w:ascii="Times New Roman" w:cs="Times New Roman" w:eastAsia="Times New Roman" w:hAnsi="Times New Roman"/>
          <w:sz w:val="14"/>
          <w:szCs w:val="14"/>
          <w:color w:val="auto"/>
        </w:rPr>
        <w:t>Construction in process mainly includes data center equipment purchased that has not yet been placed in service. As of October 31, 2019, $57.0 million of data center equipment was purchased but not yet been placed into service.</w:t>
      </w:r>
    </w:p>
    <w:p>
      <w:pPr>
        <w:spacing w:after="0" w:line="123" w:lineRule="exact"/>
        <w:rPr>
          <w:sz w:val="20"/>
          <w:szCs w:val="20"/>
          <w:color w:val="auto"/>
        </w:rPr>
      </w:pPr>
    </w:p>
    <w:p>
      <w:pPr>
        <w:ind w:right="20" w:firstLine="517"/>
        <w:spacing w:after="0" w:line="294" w:lineRule="auto"/>
        <w:rPr>
          <w:sz w:val="20"/>
          <w:szCs w:val="20"/>
          <w:color w:val="auto"/>
        </w:rPr>
      </w:pPr>
      <w:r>
        <w:rPr>
          <w:rFonts w:ascii="Times New Roman" w:cs="Times New Roman" w:eastAsia="Times New Roman" w:hAnsi="Times New Roman"/>
          <w:sz w:val="14"/>
          <w:szCs w:val="14"/>
          <w:color w:val="auto"/>
        </w:rPr>
        <w:t>Depreciation and amortization expense of property and equipment was $5.8 million and $3.8 million during the three months ended October 31, 2019 and October 31, 2018, respectively, and $16.0 million and $10.2 million during the nine months ended October 31, 2019 and October 31, 2018, respectively.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 Net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Total intangible assets, net consisted of the following: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October 31,</w:t>
            </w:r>
          </w:p>
        </w:tc>
        <w:tc>
          <w:tcPr>
            <w:tcW w:w="320" w:type="dxa"/>
            <w:vAlign w:val="bottom"/>
          </w:tcPr>
          <w:p>
            <w:pPr>
              <w:spacing w:after="0"/>
              <w:rPr>
                <w:sz w:val="11"/>
                <w:szCs w:val="11"/>
                <w:color w:val="auto"/>
              </w:rPr>
            </w:pPr>
          </w:p>
        </w:tc>
        <w:tc>
          <w:tcPr>
            <w:tcW w:w="980" w:type="dxa"/>
            <w:vAlign w:val="bottom"/>
            <w:vMerge w:val="restart"/>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January 31,</w:t>
            </w:r>
          </w:p>
        </w:tc>
        <w:tc>
          <w:tcPr>
            <w:tcW w:w="10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0" w:type="dxa"/>
            <w:vAlign w:val="bottom"/>
          </w:tcPr>
          <w:p>
            <w:pPr>
              <w:spacing w:after="0"/>
              <w:rPr>
                <w:sz w:val="1"/>
                <w:szCs w:val="1"/>
                <w:color w:val="auto"/>
              </w:rPr>
            </w:pPr>
          </w:p>
        </w:tc>
      </w:tr>
      <w:tr>
        <w:trPr>
          <w:trHeight w:val="119"/>
        </w:trPr>
        <w:tc>
          <w:tcPr>
            <w:tcW w:w="7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Remaining Useful</w:t>
            </w:r>
          </w:p>
        </w:tc>
        <w:tc>
          <w:tcPr>
            <w:tcW w:w="0" w:type="dxa"/>
            <w:vAlign w:val="bottom"/>
          </w:tcPr>
          <w:p>
            <w:pPr>
              <w:spacing w:after="0"/>
              <w:rPr>
                <w:sz w:val="1"/>
                <w:szCs w:val="1"/>
                <w:color w:val="auto"/>
              </w:rPr>
            </w:pPr>
          </w:p>
        </w:tc>
      </w:tr>
      <w:tr>
        <w:trPr>
          <w:trHeight w:val="155"/>
        </w:trPr>
        <w:tc>
          <w:tcPr>
            <w:tcW w:w="7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Life</w:t>
            </w:r>
          </w:p>
        </w:tc>
        <w:tc>
          <w:tcPr>
            <w:tcW w:w="0" w:type="dxa"/>
            <w:vAlign w:val="bottom"/>
          </w:tcPr>
          <w:p>
            <w:pPr>
              <w:spacing w:after="0"/>
              <w:rPr>
                <w:sz w:val="1"/>
                <w:szCs w:val="1"/>
                <w:color w:val="auto"/>
              </w:rPr>
            </w:pPr>
          </w:p>
        </w:tc>
      </w:tr>
      <w:tr>
        <w:trPr>
          <w:trHeight w:val="152"/>
        </w:trPr>
        <w:tc>
          <w:tcPr>
            <w:tcW w:w="7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months)</w:t>
            </w:r>
          </w:p>
        </w:tc>
        <w:tc>
          <w:tcPr>
            <w:tcW w:w="0" w:type="dxa"/>
            <w:vAlign w:val="bottom"/>
          </w:tcPr>
          <w:p>
            <w:pPr>
              <w:spacing w:after="0"/>
              <w:rPr>
                <w:sz w:val="1"/>
                <w:szCs w:val="1"/>
                <w:color w:val="auto"/>
              </w:rPr>
            </w:pPr>
          </w:p>
        </w:tc>
      </w:tr>
      <w:tr>
        <w:trPr>
          <w:trHeight w:val="20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1,248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1,269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3"/>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220" w:type="dxa"/>
            <w:vAlign w:val="bottom"/>
          </w:tcPr>
          <w:p>
            <w:pPr>
              <w:spacing w:after="0"/>
              <w:rPr>
                <w:sz w:val="16"/>
                <w:szCs w:val="16"/>
                <w:color w:val="auto"/>
              </w:rPr>
            </w:pP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632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3"/>
        </w:trPr>
        <w:tc>
          <w:tcPr>
            <w:tcW w:w="7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Non-compete agreement</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126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4"/>
        </w:trPr>
        <w:tc>
          <w:tcPr>
            <w:tcW w:w="7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1,986</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amortization</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(1,349)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(979)</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right="60" w:firstLine="517"/>
        <w:spacing w:after="0" w:line="275" w:lineRule="auto"/>
        <w:rPr>
          <w:sz w:val="20"/>
          <w:szCs w:val="20"/>
          <w:color w:val="auto"/>
        </w:rPr>
      </w:pPr>
      <w:r>
        <w:rPr>
          <w:rFonts w:ascii="Times New Roman" w:cs="Times New Roman" w:eastAsia="Times New Roman" w:hAnsi="Times New Roman"/>
          <w:sz w:val="14"/>
          <w:szCs w:val="14"/>
          <w:color w:val="auto"/>
        </w:rPr>
        <w:t>Amortization of developed technology, customer relationships, and non-compete agreement are recorded within cost of revenue, sales and marketing expense, and research and development expense, respectively, in the condensed consolidated statements of operations. Amortization expense of intangible assets was $0.1 million during both the three months ended October 31, 2019 and October 31, 2018, and $0.4 million during both the nine months ended October 31, 2019 and October 31, 2018.</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estimated aggregate future amortization expense of intangible assets as of October 31, 2019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9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20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2020 (remaining three months)</w:t>
            </w:r>
          </w:p>
        </w:tc>
        <w:tc>
          <w:tcPr>
            <w:tcW w:w="64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93"/>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2021</w:t>
            </w:r>
          </w:p>
        </w:tc>
        <w:tc>
          <w:tcPr>
            <w:tcW w:w="6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23"/>
        </w:trPr>
        <w:tc>
          <w:tcPr>
            <w:tcW w:w="39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2022</w:t>
            </w:r>
          </w:p>
        </w:tc>
        <w:tc>
          <w:tcPr>
            <w:tcW w:w="6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93"/>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2023</w:t>
            </w:r>
          </w:p>
        </w:tc>
        <w:tc>
          <w:tcPr>
            <w:tcW w:w="6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3"/>
        </w:trPr>
        <w:tc>
          <w:tcPr>
            <w:tcW w:w="39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2024</w:t>
            </w:r>
          </w:p>
        </w:tc>
        <w:tc>
          <w:tcPr>
            <w:tcW w:w="6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amortization expense</w:t>
            </w:r>
          </w:p>
        </w:tc>
        <w:tc>
          <w:tcPr>
            <w:tcW w:w="6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220" w:type="dxa"/>
            <w:vAlign w:val="bottom"/>
            <w:vMerge w:val="restart"/>
          </w:tcPr>
          <w:p>
            <w:pPr>
              <w:jc w:val="right"/>
              <w:ind w:right="4268"/>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392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3920" w:type="dxa"/>
            <w:vAlign w:val="bottom"/>
            <w:tcBorders>
              <w:bottom w:val="single" w:sz="8" w:color="9A9A9A"/>
            </w:tcBorders>
          </w:tcPr>
          <w:p>
            <w:pPr>
              <w:spacing w:after="0"/>
              <w:rPr>
                <w:sz w:val="7"/>
                <w:szCs w:val="7"/>
                <w:color w:val="auto"/>
              </w:rPr>
            </w:pPr>
          </w:p>
        </w:tc>
        <w:tc>
          <w:tcPr>
            <w:tcW w:w="6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-26035</wp:posOffset>
            </wp:positionV>
            <wp:extent cx="3238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developed technology, customer relationships, and non-compete agreement assets are being amortized over 3 years, 5 years, and 3 years, respectively.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Accrued Expenses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Accrued expenses consisted of the following: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October 31,</w:t>
            </w:r>
          </w:p>
        </w:tc>
        <w:tc>
          <w:tcPr>
            <w:tcW w:w="320" w:type="dxa"/>
            <w:vAlign w:val="bottom"/>
          </w:tcPr>
          <w:p>
            <w:pPr>
              <w:spacing w:after="0"/>
              <w:rPr>
                <w:sz w:val="11"/>
                <w:szCs w:val="11"/>
                <w:color w:val="auto"/>
              </w:rPr>
            </w:pPr>
          </w:p>
        </w:tc>
        <w:tc>
          <w:tcPr>
            <w:tcW w:w="980" w:type="dxa"/>
            <w:vAlign w:val="bottom"/>
          </w:tcPr>
          <w:p>
            <w:pPr>
              <w:jc w:val="center"/>
              <w:ind w:right="253"/>
              <w:spacing w:after="0"/>
              <w:rPr>
                <w:sz w:val="20"/>
                <w:szCs w:val="20"/>
                <w:color w:val="auto"/>
              </w:rPr>
            </w:pPr>
            <w:r>
              <w:rPr>
                <w:rFonts w:ascii="Times New Roman" w:cs="Times New Roman" w:eastAsia="Times New Roman" w:hAnsi="Times New Roman"/>
                <w:sz w:val="11"/>
                <w:szCs w:val="11"/>
                <w:b w:val="1"/>
                <w:bCs w:val="1"/>
                <w:color w:val="auto"/>
              </w:rPr>
              <w:t>January 31,</w:t>
            </w:r>
          </w:p>
        </w:tc>
        <w:tc>
          <w:tcPr>
            <w:tcW w:w="0" w:type="dxa"/>
            <w:vAlign w:val="bottom"/>
          </w:tcPr>
          <w:p>
            <w:pPr>
              <w:spacing w:after="0"/>
              <w:rPr>
                <w:sz w:val="1"/>
                <w:szCs w:val="1"/>
                <w:color w:val="auto"/>
              </w:rPr>
            </w:pPr>
          </w:p>
        </w:tc>
      </w:tr>
      <w:tr>
        <w:trPr>
          <w:trHeight w:val="155"/>
        </w:trPr>
        <w:tc>
          <w:tcPr>
            <w:tcW w:w="87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rPr>
              <w:t>2019</w:t>
            </w:r>
          </w:p>
        </w:tc>
        <w:tc>
          <w:tcPr>
            <w:tcW w:w="0" w:type="dxa"/>
            <w:vAlign w:val="bottom"/>
          </w:tcPr>
          <w:p>
            <w:pPr>
              <w:spacing w:after="0"/>
              <w:rPr>
                <w:sz w:val="1"/>
                <w:szCs w:val="1"/>
                <w:color w:val="auto"/>
              </w:rPr>
            </w:pPr>
          </w:p>
        </w:tc>
      </w:tr>
      <w:tr>
        <w:trPr>
          <w:trHeight w:val="152"/>
        </w:trPr>
        <w:tc>
          <w:tcPr>
            <w:tcW w:w="8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Web hosting services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13,141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12,224</w:t>
            </w:r>
          </w:p>
        </w:tc>
        <w:tc>
          <w:tcPr>
            <w:tcW w:w="0" w:type="dxa"/>
            <w:vAlign w:val="bottom"/>
          </w:tcPr>
          <w:p>
            <w:pPr>
              <w:spacing w:after="0"/>
              <w:rPr>
                <w:sz w:val="1"/>
                <w:szCs w:val="1"/>
                <w:color w:val="auto"/>
              </w:rPr>
            </w:pPr>
          </w:p>
        </w:tc>
      </w:tr>
      <w:tr>
        <w:trPr>
          <w:trHeight w:val="193"/>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accrued expenses</w:t>
            </w:r>
          </w:p>
        </w:tc>
        <w:tc>
          <w:tcPr>
            <w:tcW w:w="240" w:type="dxa"/>
            <w:vAlign w:val="bottom"/>
          </w:tcPr>
          <w:p>
            <w:pPr>
              <w:spacing w:after="0"/>
              <w:rPr>
                <w:sz w:val="16"/>
                <w:szCs w:val="16"/>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12,154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13,275</w:t>
            </w:r>
          </w:p>
        </w:tc>
        <w:tc>
          <w:tcPr>
            <w:tcW w:w="0" w:type="dxa"/>
            <w:vAlign w:val="bottom"/>
          </w:tcPr>
          <w:p>
            <w:pPr>
              <w:spacing w:after="0"/>
              <w:rPr>
                <w:sz w:val="1"/>
                <w:szCs w:val="1"/>
                <w:color w:val="auto"/>
              </w:rPr>
            </w:pPr>
          </w:p>
        </w:tc>
      </w:tr>
      <w:tr>
        <w:trPr>
          <w:trHeight w:val="23"/>
        </w:trPr>
        <w:tc>
          <w:tcPr>
            <w:tcW w:w="8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purchases of property and equipment</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4,165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7,042</w:t>
            </w:r>
          </w:p>
        </w:tc>
        <w:tc>
          <w:tcPr>
            <w:tcW w:w="0" w:type="dxa"/>
            <w:vAlign w:val="bottom"/>
          </w:tcPr>
          <w:p>
            <w:pPr>
              <w:spacing w:after="0"/>
              <w:rPr>
                <w:sz w:val="1"/>
                <w:szCs w:val="1"/>
                <w:color w:val="auto"/>
              </w:rPr>
            </w:pPr>
          </w:p>
        </w:tc>
      </w:tr>
      <w:tr>
        <w:trPr>
          <w:trHeight w:val="205"/>
        </w:trPr>
        <w:tc>
          <w:tcPr>
            <w:tcW w:w="8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29,460</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32,541</w:t>
            </w:r>
          </w:p>
        </w:tc>
        <w:tc>
          <w:tcPr>
            <w:tcW w:w="0" w:type="dxa"/>
            <w:vAlign w:val="bottom"/>
          </w:tcPr>
          <w:p>
            <w:pPr>
              <w:spacing w:after="0"/>
              <w:rPr>
                <w:sz w:val="1"/>
                <w:szCs w:val="1"/>
                <w:color w:val="auto"/>
              </w:rPr>
            </w:pPr>
          </w:p>
        </w:tc>
      </w:tr>
      <w:tr>
        <w:trPr>
          <w:trHeight w:val="20"/>
        </w:trPr>
        <w:tc>
          <w:tcPr>
            <w:tcW w:w="87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Accrued Payroll and Benefits</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8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Accrued payroll and benefits consisted of the following:</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8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October 31,</w:t>
            </w:r>
          </w:p>
        </w:tc>
        <w:tc>
          <w:tcPr>
            <w:tcW w:w="320" w:type="dxa"/>
            <w:vAlign w:val="bottom"/>
          </w:tcPr>
          <w:p>
            <w:pPr>
              <w:spacing w:after="0"/>
              <w:rPr>
                <w:sz w:val="12"/>
                <w:szCs w:val="12"/>
                <w:color w:val="auto"/>
              </w:rPr>
            </w:pPr>
          </w:p>
        </w:tc>
        <w:tc>
          <w:tcPr>
            <w:tcW w:w="980" w:type="dxa"/>
            <w:vAlign w:val="bottom"/>
          </w:tcPr>
          <w:p>
            <w:pPr>
              <w:jc w:val="center"/>
              <w:ind w:right="253"/>
              <w:spacing w:after="0"/>
              <w:rPr>
                <w:sz w:val="20"/>
                <w:szCs w:val="20"/>
                <w:color w:val="auto"/>
              </w:rPr>
            </w:pPr>
            <w:r>
              <w:rPr>
                <w:rFonts w:ascii="Times New Roman" w:cs="Times New Roman" w:eastAsia="Times New Roman" w:hAnsi="Times New Roman"/>
                <w:sz w:val="11"/>
                <w:szCs w:val="11"/>
                <w:b w:val="1"/>
                <w:bCs w:val="1"/>
                <w:color w:val="auto"/>
              </w:rPr>
              <w:t>January 31,</w:t>
            </w:r>
          </w:p>
        </w:tc>
        <w:tc>
          <w:tcPr>
            <w:tcW w:w="0" w:type="dxa"/>
            <w:vAlign w:val="bottom"/>
          </w:tcPr>
          <w:p>
            <w:pPr>
              <w:spacing w:after="0"/>
              <w:rPr>
                <w:sz w:val="1"/>
                <w:szCs w:val="1"/>
                <w:color w:val="auto"/>
              </w:rPr>
            </w:pPr>
          </w:p>
        </w:tc>
      </w:tr>
      <w:tr>
        <w:trPr>
          <w:trHeight w:val="155"/>
        </w:trPr>
        <w:tc>
          <w:tcPr>
            <w:tcW w:w="87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rPr>
              <w:t>2019</w:t>
            </w:r>
          </w:p>
        </w:tc>
        <w:tc>
          <w:tcPr>
            <w:tcW w:w="0" w:type="dxa"/>
            <w:vAlign w:val="bottom"/>
          </w:tcPr>
          <w:p>
            <w:pPr>
              <w:spacing w:after="0"/>
              <w:rPr>
                <w:sz w:val="1"/>
                <w:szCs w:val="1"/>
                <w:color w:val="auto"/>
              </w:rPr>
            </w:pPr>
          </w:p>
        </w:tc>
      </w:tr>
      <w:tr>
        <w:trPr>
          <w:trHeight w:val="152"/>
        </w:trPr>
        <w:tc>
          <w:tcPr>
            <w:tcW w:w="8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commissions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15,290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9,499</w:t>
            </w:r>
          </w:p>
        </w:tc>
        <w:tc>
          <w:tcPr>
            <w:tcW w:w="0" w:type="dxa"/>
            <w:vAlign w:val="bottom"/>
          </w:tcPr>
          <w:p>
            <w:pPr>
              <w:spacing w:after="0"/>
              <w:rPr>
                <w:sz w:val="1"/>
                <w:szCs w:val="1"/>
                <w:color w:val="auto"/>
              </w:rPr>
            </w:pPr>
          </w:p>
        </w:tc>
      </w:tr>
      <w:tr>
        <w:trPr>
          <w:trHeight w:val="193"/>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240" w:type="dxa"/>
            <w:vAlign w:val="bottom"/>
          </w:tcPr>
          <w:p>
            <w:pPr>
              <w:spacing w:after="0"/>
              <w:rPr>
                <w:sz w:val="16"/>
                <w:szCs w:val="16"/>
                <w:color w:val="auto"/>
              </w:rPr>
            </w:pP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10,236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bonuses</w:t>
            </w: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6,299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5,459</w:t>
            </w:r>
          </w:p>
        </w:tc>
        <w:tc>
          <w:tcPr>
            <w:tcW w:w="0" w:type="dxa"/>
            <w:vAlign w:val="bottom"/>
          </w:tcPr>
          <w:p>
            <w:pPr>
              <w:spacing w:after="0"/>
              <w:rPr>
                <w:sz w:val="1"/>
                <w:szCs w:val="1"/>
                <w:color w:val="auto"/>
              </w:rPr>
            </w:pPr>
          </w:p>
        </w:tc>
      </w:tr>
      <w:tr>
        <w:trPr>
          <w:trHeight w:val="193"/>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payroll and related expenses</w:t>
            </w:r>
          </w:p>
        </w:tc>
        <w:tc>
          <w:tcPr>
            <w:tcW w:w="240" w:type="dxa"/>
            <w:vAlign w:val="bottom"/>
          </w:tcPr>
          <w:p>
            <w:pPr>
              <w:spacing w:after="0"/>
              <w:rPr>
                <w:sz w:val="16"/>
                <w:szCs w:val="16"/>
                <w:color w:val="auto"/>
              </w:rPr>
            </w:pP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5,080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4,326</w:t>
            </w:r>
          </w:p>
        </w:tc>
        <w:tc>
          <w:tcPr>
            <w:tcW w:w="0" w:type="dxa"/>
            <w:vAlign w:val="bottom"/>
          </w:tcPr>
          <w:p>
            <w:pPr>
              <w:spacing w:after="0"/>
              <w:rPr>
                <w:sz w:val="1"/>
                <w:szCs w:val="1"/>
                <w:color w:val="auto"/>
              </w:rPr>
            </w:pPr>
          </w:p>
        </w:tc>
      </w:tr>
      <w:tr>
        <w:trPr>
          <w:trHeight w:val="23"/>
        </w:trPr>
        <w:tc>
          <w:tcPr>
            <w:tcW w:w="8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8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36,905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19,284</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5. Secured Revolving Credit Facility</w:t>
      </w:r>
    </w:p>
    <w:p>
      <w:pPr>
        <w:spacing w:after="0" w:line="188" w:lineRule="exact"/>
        <w:rPr>
          <w:sz w:val="20"/>
          <w:szCs w:val="20"/>
          <w:color w:val="auto"/>
        </w:rPr>
      </w:pPr>
    </w:p>
    <w:p>
      <w:pPr>
        <w:ind w:right="80" w:firstLine="517"/>
        <w:spacing w:after="0" w:line="261" w:lineRule="auto"/>
        <w:rPr>
          <w:sz w:val="20"/>
          <w:szCs w:val="20"/>
          <w:color w:val="auto"/>
        </w:rPr>
      </w:pPr>
      <w:r>
        <w:rPr>
          <w:rFonts w:ascii="Times New Roman" w:cs="Times New Roman" w:eastAsia="Times New Roman" w:hAnsi="Times New Roman"/>
          <w:sz w:val="14"/>
          <w:szCs w:val="14"/>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 The Company also has the option to request an incremental facility of up to an additional $75.0 million from one or more of the lenders under the Credit Agreement. The amount the Company may borrow under the Credit Agreement may not exceed the lesser of $150.0 million or the Company’s ordinary course recurring subscription revenue for the most recent month, as determined under the Credit Agreement, multiplied by a number that is (i) 6, for the first year after entry into the Credit Agreement; (ii) 5, for the second year after entry into the Credit Agreement; and (iii) 4, thereafter. Under the terms of the Credit Agreement, revolving loans may be either Eurodollar Loans or ABR Loans. Outstanding Eurodollar Loans incur interest at the Eurodollar Rate, which is defined in the Credit Agreement as LIBOR (or any successor thereto), plus a margin between 2.50% and 3.00%, depending on usage. Outstanding ABR Loans incur interest at the highest of (a) the Prime Rate, as published by the Wall Street Journal, (b) the federal funds rate in effect for such day plus 0.50%, and (c) the Eurodollar Rate plus 1.00%, in each case plus a margin between 1.50% and 2.00%, depending on usage. The Company will be charged a commitment fee of 0.2% to 0.3% per year for committed but unused amounts. The Credit Agreement will terminate on April 19, 2022.</w:t>
      </w:r>
    </w:p>
    <w:p>
      <w:pPr>
        <w:spacing w:after="0" w:line="149" w:lineRule="exact"/>
        <w:rPr>
          <w:sz w:val="20"/>
          <w:szCs w:val="20"/>
          <w:color w:val="auto"/>
        </w:rPr>
      </w:pPr>
    </w:p>
    <w:p>
      <w:pPr>
        <w:ind w:right="80" w:firstLine="517"/>
        <w:spacing w:after="0" w:line="263" w:lineRule="auto"/>
        <w:rPr>
          <w:sz w:val="20"/>
          <w:szCs w:val="20"/>
          <w:color w:val="auto"/>
        </w:rPr>
      </w:pPr>
      <w:r>
        <w:rPr>
          <w:rFonts w:ascii="Times New Roman" w:cs="Times New Roman" w:eastAsia="Times New Roman" w:hAnsi="Times New Roman"/>
          <w:sz w:val="14"/>
          <w:szCs w:val="14"/>
          <w:color w:val="auto"/>
        </w:rPr>
        <w:t>The Credit Agreement is collateralized by substantially all of the Company’s current and future property, rights, and assets, including, but not limited to, cash, goods, equipment, contractual rights, financial assets, and intangible assets of the Company and its subsidiaries. The Credit Agreement contains covenants limiting the ability to, among other things, dispose of assets, undergo a change in control, merge or consolidate, make acquisitions, incur debt, incur liens, pay dividends, repurchase stock, and make investments, in each case subject to certain exceptions. The Credit Agreement also contains financial covenants requiring the Company to maintain the year-over-year growth rate of its ordinary course recurring subscription revenue above specified rates and to maintain minimum liquidity at specified levels. The Company was in compliance with the financial covenants as of October 31, 2019. The Credit Agreement contains events of default that include, among others, non-payment of principal, interest, or fees, breach of covenants, inaccuracy of representations and warranties, cross defaults to certain other indebtedness, bankruptcy and insolvency events, and material judgments.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 amounts were outstanding under the Credit Agreement as of October 31, 2019.</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6. Income Taxes</w:t>
      </w:r>
    </w:p>
    <w:p>
      <w:pPr>
        <w:spacing w:after="0" w:line="188" w:lineRule="exact"/>
        <w:rPr>
          <w:sz w:val="20"/>
          <w:szCs w:val="20"/>
          <w:color w:val="auto"/>
        </w:rPr>
      </w:pPr>
    </w:p>
    <w:p>
      <w:pPr>
        <w:ind w:right="40" w:firstLine="517"/>
        <w:spacing w:after="0" w:line="266" w:lineRule="auto"/>
        <w:rPr>
          <w:sz w:val="20"/>
          <w:szCs w:val="20"/>
          <w:color w:val="auto"/>
        </w:rPr>
      </w:pPr>
      <w:r>
        <w:rPr>
          <w:rFonts w:ascii="Times New Roman" w:cs="Times New Roman" w:eastAsia="Times New Roman" w:hAnsi="Times New Roman"/>
          <w:sz w:val="14"/>
          <w:szCs w:val="14"/>
          <w:color w:val="auto"/>
        </w:rPr>
        <w:t>The Company recognized an income tax expense of $0.4 million and $0.5 million for the three months ended October 31, 2019 and October 31, 2018, respectively and $1.7 million and $1.0 million for the nine months ended October 31, 2019 and 2018, respectively. The tax expense for the three and nine months ended October 31, 2019 was primarily attributable to pre-tax foreign earnings. The Company’s effective tax rates of (1.24)% and (1.28)% for the three months ended October 31, 2019 and October 31, 2018, respectively, and (1.48)% and (0.94)% for the nine months ended October 31, 2019 and October 31, 2018, respectively, differ from the U.S. statutory tax rate primarily due to valuation allowance recorded against domestic losses and the tax rate differences between the United States and foreign countries.</w:t>
      </w:r>
    </w:p>
    <w:p>
      <w:pPr>
        <w:spacing w:after="0" w:line="142"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The Company has a full valuation allowance on its U.S. federal and state deferred tax assets. As a result, consistent with the prior year, the Company is unable to record a tax benefit on these losses because of uncertainty of future profitability.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7. Redeemable Convertible Preferred Stock</w:t>
      </w:r>
    </w:p>
    <w:p>
      <w:pPr>
        <w:spacing w:after="0" w:line="188" w:lineRule="exact"/>
        <w:rPr>
          <w:sz w:val="20"/>
          <w:szCs w:val="20"/>
          <w:color w:val="auto"/>
        </w:rPr>
      </w:pPr>
    </w:p>
    <w:p>
      <w:pPr>
        <w:ind w:right="20" w:firstLine="517"/>
        <w:spacing w:after="0" w:line="275" w:lineRule="auto"/>
        <w:rPr>
          <w:sz w:val="20"/>
          <w:szCs w:val="20"/>
          <w:color w:val="auto"/>
        </w:rPr>
      </w:pPr>
      <w:r>
        <w:rPr>
          <w:rFonts w:ascii="Times New Roman" w:cs="Times New Roman" w:eastAsia="Times New Roman" w:hAnsi="Times New Roman"/>
          <w:sz w:val="14"/>
          <w:szCs w:val="14"/>
          <w:color w:val="auto"/>
        </w:rPr>
        <w:t>Upon the close of the Company’s IPO on June 14, 2019, all shares of convertible preferred stock then outstanding, totaling 131,267,586 shares, were automatically converted into an equivalent number of shares of Class B common stock on a one-to-one basis and the carrying value, totaling $557.9 million, was reclassified into Class B common stock and additional paid-in capital on the condensed consolidated balance sheet.</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authorized, issued, and outstanding redeemable convertible preferred stock of the Company as of January 31, 2019:</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restart"/>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Issue Price</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60" w:type="dxa"/>
            <w:vAlign w:val="bottom"/>
          </w:tcPr>
          <w:p>
            <w:pPr>
              <w:spacing w:after="0"/>
              <w:rPr>
                <w:sz w:val="11"/>
                <w:szCs w:val="11"/>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Net</w:t>
            </w:r>
          </w:p>
        </w:tc>
        <w:tc>
          <w:tcPr>
            <w:tcW w:w="220" w:type="dxa"/>
            <w:vAlign w:val="bottom"/>
          </w:tcPr>
          <w:p>
            <w:pPr>
              <w:spacing w:after="0"/>
              <w:rPr>
                <w:sz w:val="11"/>
                <w:szCs w:val="11"/>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Liquidation</w:t>
            </w:r>
          </w:p>
        </w:tc>
        <w:tc>
          <w:tcPr>
            <w:tcW w:w="220" w:type="dxa"/>
            <w:vAlign w:val="bottom"/>
          </w:tcPr>
          <w:p>
            <w:pPr>
              <w:spacing w:after="0"/>
              <w:rPr>
                <w:sz w:val="11"/>
                <w:szCs w:val="11"/>
                <w:color w:val="auto"/>
              </w:rPr>
            </w:pPr>
          </w:p>
        </w:tc>
        <w:tc>
          <w:tcPr>
            <w:tcW w:w="1100" w:type="dxa"/>
            <w:vAlign w:val="bottom"/>
            <w:vMerge w:val="restart"/>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Redemption</w:t>
            </w:r>
          </w:p>
        </w:tc>
        <w:tc>
          <w:tcPr>
            <w:tcW w:w="0" w:type="dxa"/>
            <w:vAlign w:val="bottom"/>
          </w:tcPr>
          <w:p>
            <w:pPr>
              <w:spacing w:after="0"/>
              <w:rPr>
                <w:sz w:val="1"/>
                <w:szCs w:val="1"/>
                <w:color w:val="auto"/>
              </w:rPr>
            </w:pPr>
          </w:p>
        </w:tc>
      </w:tr>
      <w:tr>
        <w:trPr>
          <w:trHeight w:val="119"/>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Class</w:t>
            </w:r>
          </w:p>
        </w:tc>
        <w:tc>
          <w:tcPr>
            <w:tcW w:w="24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40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Issued and</w:t>
            </w:r>
          </w:p>
        </w:tc>
        <w:tc>
          <w:tcPr>
            <w:tcW w:w="260" w:type="dxa"/>
            <w:vAlign w:val="bottom"/>
          </w:tcPr>
          <w:p>
            <w:pPr>
              <w:spacing w:after="0"/>
              <w:rPr>
                <w:sz w:val="10"/>
                <w:szCs w:val="10"/>
                <w:color w:val="auto"/>
              </w:rPr>
            </w:pPr>
          </w:p>
        </w:tc>
        <w:tc>
          <w:tcPr>
            <w:tcW w:w="1140" w:type="dxa"/>
            <w:vAlign w:val="bottom"/>
            <w:gridSpan w:val="2"/>
          </w:tcPr>
          <w:p>
            <w:pPr>
              <w:jc w:val="center"/>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1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Authorized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26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22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Preference</w:t>
            </w:r>
          </w:p>
        </w:tc>
        <w:tc>
          <w:tcPr>
            <w:tcW w:w="220" w:type="dxa"/>
            <w:vAlign w:val="bottom"/>
          </w:tcPr>
          <w:p>
            <w:pPr>
              <w:spacing w:after="0"/>
              <w:rPr>
                <w:sz w:val="13"/>
                <w:szCs w:val="13"/>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52"/>
        </w:trPr>
        <w:tc>
          <w:tcPr>
            <w:tcW w:w="3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0" w:type="dxa"/>
            <w:vAlign w:val="bottom"/>
            <w:tcBorders>
              <w:top w:val="single" w:sz="8" w:color="auto"/>
            </w:tcBorders>
            <w:gridSpan w:val="5"/>
          </w:tcPr>
          <w:p>
            <w:pPr>
              <w:ind w:left="420"/>
              <w:spacing w:after="0"/>
              <w:rPr>
                <w:sz w:val="20"/>
                <w:szCs w:val="20"/>
                <w:color w:val="auto"/>
              </w:rPr>
            </w:pPr>
            <w:r>
              <w:rPr>
                <w:rFonts w:ascii="Times New Roman" w:cs="Times New Roman" w:eastAsia="Times New Roman" w:hAnsi="Times New Roman"/>
                <w:sz w:val="11"/>
                <w:szCs w:val="11"/>
                <w:b w:val="1"/>
                <w:bCs w:val="1"/>
                <w:color w:val="auto"/>
              </w:rPr>
              <w:t>(in thousands, except per share values)</w:t>
            </w: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A-1</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0.50000</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52,300</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52,300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76,325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52,300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623,678</w:t>
            </w:r>
          </w:p>
        </w:tc>
        <w:tc>
          <w:tcPr>
            <w:tcW w:w="0" w:type="dxa"/>
            <w:vAlign w:val="bottom"/>
          </w:tcPr>
          <w:p>
            <w:pPr>
              <w:spacing w:after="0"/>
              <w:rPr>
                <w:sz w:val="1"/>
                <w:szCs w:val="1"/>
                <w:color w:val="auto"/>
              </w:rPr>
            </w:pPr>
          </w:p>
        </w:tc>
      </w:tr>
      <w:tr>
        <w:trPr>
          <w:trHeight w:val="19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Series B</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1.40500</w:t>
            </w:r>
          </w:p>
        </w:tc>
        <w:tc>
          <w:tcPr>
            <w:tcW w:w="12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21,523</w:t>
            </w:r>
          </w:p>
        </w:tc>
        <w:tc>
          <w:tcPr>
            <w:tcW w:w="100" w:type="dxa"/>
            <w:vAlign w:val="bottom"/>
          </w:tcPr>
          <w:p>
            <w:pPr>
              <w:spacing w:after="0"/>
              <w:rPr>
                <w:sz w:val="16"/>
                <w:szCs w:val="16"/>
                <w:color w:val="auto"/>
              </w:rPr>
            </w:pP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21,352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44,320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254,623</w:t>
            </w:r>
          </w:p>
        </w:tc>
        <w:tc>
          <w:tcPr>
            <w:tcW w:w="0" w:type="dxa"/>
            <w:vAlign w:val="bottom"/>
          </w:tcPr>
          <w:p>
            <w:pPr>
              <w:spacing w:after="0"/>
              <w:rPr>
                <w:sz w:val="1"/>
                <w:szCs w:val="1"/>
                <w:color w:val="auto"/>
              </w:rPr>
            </w:pPr>
          </w:p>
        </w:tc>
      </w:tr>
      <w:tr>
        <w:trPr>
          <w:trHeight w:val="23"/>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C</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4.52972</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22,275</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22,077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99,900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263,765</w:t>
            </w:r>
          </w:p>
        </w:tc>
        <w:tc>
          <w:tcPr>
            <w:tcW w:w="0" w:type="dxa"/>
            <w:vAlign w:val="bottom"/>
          </w:tcPr>
          <w:p>
            <w:pPr>
              <w:spacing w:after="0"/>
              <w:rPr>
                <w:sz w:val="1"/>
                <w:szCs w:val="1"/>
                <w:color w:val="auto"/>
              </w:rPr>
            </w:pPr>
          </w:p>
        </w:tc>
      </w:tr>
      <w:tr>
        <w:trPr>
          <w:trHeight w:val="19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Series D</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5.69153</w:t>
            </w:r>
          </w:p>
        </w:tc>
        <w:tc>
          <w:tcPr>
            <w:tcW w:w="12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17,570</w:t>
            </w:r>
          </w:p>
        </w:tc>
        <w:tc>
          <w:tcPr>
            <w:tcW w:w="100" w:type="dxa"/>
            <w:vAlign w:val="bottom"/>
          </w:tcPr>
          <w:p>
            <w:pPr>
              <w:spacing w:after="0"/>
              <w:rPr>
                <w:sz w:val="16"/>
                <w:szCs w:val="16"/>
                <w:color w:val="auto"/>
              </w:rPr>
            </w:pP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17,570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99,845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211,631</w:t>
            </w:r>
          </w:p>
        </w:tc>
        <w:tc>
          <w:tcPr>
            <w:tcW w:w="0" w:type="dxa"/>
            <w:vAlign w:val="bottom"/>
          </w:tcPr>
          <w:p>
            <w:pPr>
              <w:spacing w:after="0"/>
              <w:rPr>
                <w:sz w:val="1"/>
                <w:szCs w:val="1"/>
                <w:color w:val="auto"/>
              </w:rPr>
            </w:pPr>
          </w:p>
        </w:tc>
      </w:tr>
      <w:tr>
        <w:trPr>
          <w:trHeight w:val="23"/>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D-1</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5.69153</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5,394</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5,394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30,626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30,700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64,607</w:t>
            </w:r>
          </w:p>
        </w:tc>
        <w:tc>
          <w:tcPr>
            <w:tcW w:w="0" w:type="dxa"/>
            <w:vAlign w:val="bottom"/>
          </w:tcPr>
          <w:p>
            <w:pPr>
              <w:spacing w:after="0"/>
              <w:rPr>
                <w:sz w:val="1"/>
                <w:szCs w:val="1"/>
                <w:color w:val="auto"/>
              </w:rPr>
            </w:pPr>
          </w:p>
        </w:tc>
      </w:tr>
      <w:tr>
        <w:trPr>
          <w:trHeight w:val="19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Series 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16.46136</w:t>
            </w:r>
          </w:p>
        </w:tc>
        <w:tc>
          <w:tcPr>
            <w:tcW w:w="12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18,357</w:t>
            </w:r>
          </w:p>
        </w:tc>
        <w:tc>
          <w:tcPr>
            <w:tcW w:w="100" w:type="dxa"/>
            <w:vAlign w:val="bottom"/>
          </w:tcPr>
          <w:p>
            <w:pPr>
              <w:spacing w:after="0"/>
              <w:rPr>
                <w:sz w:val="16"/>
                <w:szCs w:val="16"/>
                <w:color w:val="auto"/>
              </w:rPr>
            </w:pP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12,575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206,896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207,000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207,000</w:t>
            </w:r>
          </w:p>
        </w:tc>
        <w:tc>
          <w:tcPr>
            <w:tcW w:w="0" w:type="dxa"/>
            <w:vAlign w:val="bottom"/>
          </w:tcPr>
          <w:p>
            <w:pPr>
              <w:spacing w:after="0"/>
              <w:rPr>
                <w:sz w:val="1"/>
                <w:szCs w:val="1"/>
                <w:color w:val="auto"/>
              </w:rPr>
            </w:pPr>
          </w:p>
        </w:tc>
      </w:tr>
      <w:tr>
        <w:trPr>
          <w:trHeight w:val="23"/>
        </w:trPr>
        <w:tc>
          <w:tcPr>
            <w:tcW w:w="3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137,419</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131,268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557,912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545,000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1,625,304</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8. Common Stock</w:t>
      </w:r>
    </w:p>
    <w:p>
      <w:pPr>
        <w:spacing w:after="0" w:line="188" w:lineRule="exact"/>
        <w:rPr>
          <w:sz w:val="20"/>
          <w:szCs w:val="20"/>
          <w:color w:val="auto"/>
        </w:rPr>
      </w:pPr>
    </w:p>
    <w:p>
      <w:pPr>
        <w:ind w:right="40" w:firstLine="517"/>
        <w:spacing w:after="0" w:line="266" w:lineRule="auto"/>
        <w:rPr>
          <w:sz w:val="20"/>
          <w:szCs w:val="20"/>
          <w:color w:val="auto"/>
        </w:rPr>
      </w:pPr>
      <w:r>
        <w:rPr>
          <w:rFonts w:ascii="Times New Roman" w:cs="Times New Roman" w:eastAsia="Times New Roman" w:hAnsi="Times New Roman"/>
          <w:sz w:val="14"/>
          <w:szCs w:val="14"/>
          <w:color w:val="auto"/>
        </w:rPr>
        <w:t>In connection with the IPO, on June 14, 2019, the Company filed an Amended and Restated Certificate of Incorporation which authorizes the issuance of 2,000,000,000 shares of Class A common stock with a par value of $0.0005 per share, 300,000,000 shares of Class B common stock with a par value of $0.0005 per share, and 100,000,000 shares of undesignated preferred stock with a par value of $0.0005 per share. The rights of the holders of Class A common stock and Class B common stock are identical, except with respect to voting and conversion rights. Each share of Class A common stock is entitled to one vote per share. Each share of Class B common stock is entitled to ten votes per share and is convertible into one share of Class A common stock. Class A and Class B common stockholders are not entitled to receive dividends unless declared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9. Stock-Based Compensation</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Stock Incentive Plan</w:t>
      </w:r>
    </w:p>
    <w:p>
      <w:pPr>
        <w:spacing w:after="0" w:line="188" w:lineRule="exact"/>
        <w:rPr>
          <w:sz w:val="20"/>
          <w:szCs w:val="20"/>
          <w:color w:val="auto"/>
        </w:rPr>
      </w:pPr>
    </w:p>
    <w:p>
      <w:pPr>
        <w:ind w:right="100" w:firstLine="517"/>
        <w:spacing w:after="0" w:line="266" w:lineRule="auto"/>
        <w:rPr>
          <w:sz w:val="20"/>
          <w:szCs w:val="20"/>
          <w:color w:val="auto"/>
        </w:rPr>
      </w:pPr>
      <w:r>
        <w:rPr>
          <w:rFonts w:ascii="Times New Roman" w:cs="Times New Roman" w:eastAsia="Times New Roman" w:hAnsi="Times New Roman"/>
          <w:sz w:val="14"/>
          <w:szCs w:val="14"/>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and performance-based restricted stock units. A total of 8,750,000 shares of Class A common stock were initially available for issuance under the 2019 Plan. The Company’s compensation committee administers the 2019 Plan. The number of shares of our common stock available for issuance under the 2019 Plan is subject to an annual increase on the first day of each fiscal year beginning on February 1, 2020, equal to the lesser of: (i) two percent (2.0%) of outstanding shares of the Company’s capital stock as of the last day of the immediately preceding fiscal year or (ii) such other amount as our board of directors may determine.</w:t>
      </w:r>
    </w:p>
    <w:p>
      <w:pPr>
        <w:spacing w:after="0" w:line="142" w:lineRule="exact"/>
        <w:rPr>
          <w:sz w:val="20"/>
          <w:szCs w:val="20"/>
          <w:color w:val="auto"/>
        </w:rPr>
      </w:pPr>
    </w:p>
    <w:p>
      <w:pPr>
        <w:ind w:right="140" w:firstLine="517"/>
        <w:spacing w:after="0" w:line="275" w:lineRule="auto"/>
        <w:rPr>
          <w:sz w:val="20"/>
          <w:szCs w:val="20"/>
          <w:color w:val="auto"/>
        </w:rPr>
      </w:pPr>
      <w:r>
        <w:rPr>
          <w:rFonts w:ascii="Times New Roman" w:cs="Times New Roman" w:eastAsia="Times New Roman" w:hAnsi="Times New Roman"/>
          <w:sz w:val="14"/>
          <w:szCs w:val="14"/>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or terminate or are forfeited or repurchased under the 2011 Plan will be automatically transferred to the 2019 Plan.</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188" w:lineRule="exact"/>
        <w:rPr>
          <w:sz w:val="20"/>
          <w:szCs w:val="20"/>
          <w:color w:val="auto"/>
        </w:rPr>
      </w:pPr>
    </w:p>
    <w:p>
      <w:pPr>
        <w:ind w:right="60" w:firstLine="517"/>
        <w:spacing w:after="0" w:line="269" w:lineRule="auto"/>
        <w:rPr>
          <w:sz w:val="20"/>
          <w:szCs w:val="20"/>
          <w:color w:val="auto"/>
        </w:rPr>
      </w:pPr>
      <w:r>
        <w:rPr>
          <w:rFonts w:ascii="Times New Roman" w:cs="Times New Roman" w:eastAsia="Times New Roman" w:hAnsi="Times New Roman"/>
          <w:sz w:val="14"/>
          <w:szCs w:val="14"/>
          <w:color w:val="auto"/>
        </w:rPr>
        <w:t>The Company records compensation expense for employee stock options based on the estimated fair value of the options on the date of grant using the Black-Scholes option-pricing model with the assumptions included in the table below. The expected term represents the period that the Company’s share-based awards are expected to be outstanding. The expected term assumptions were determined based on the vesting terms, exercise terms, and contractual lives of the options. The expected stock price volatility is based upon comparable public company data. The risk-free rate is based on the U.S. Treasury yield curve in effect at the time of grant for the estimated option life.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fair value of each option was estimated on the date of grant using the following assumptions during the period: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7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3440" w:type="dxa"/>
            <w:vAlign w:val="bottom"/>
            <w:tcBorders>
              <w:bottom w:val="single" w:sz="8" w:color="auto"/>
            </w:tcBorders>
            <w:gridSpan w:val="3"/>
          </w:tcPr>
          <w:p>
            <w:pPr>
              <w:jc w:val="right"/>
              <w:ind w:right="851"/>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r>
      <w:tr>
        <w:trPr>
          <w:trHeight w:val="152"/>
        </w:trPr>
        <w:tc>
          <w:tcPr>
            <w:tcW w:w="3720" w:type="dxa"/>
            <w:vAlign w:val="bottom"/>
          </w:tcPr>
          <w:p>
            <w:pPr>
              <w:spacing w:after="0"/>
              <w:rPr>
                <w:sz w:val="13"/>
                <w:szCs w:val="13"/>
                <w:color w:val="auto"/>
              </w:rPr>
            </w:pPr>
          </w:p>
        </w:tc>
        <w:tc>
          <w:tcPr>
            <w:tcW w:w="5940" w:type="dxa"/>
            <w:vAlign w:val="bottom"/>
            <w:gridSpan w:val="2"/>
          </w:tcPr>
          <w:p>
            <w:pPr>
              <w:jc w:val="right"/>
              <w:ind w:right="635"/>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3"/>
                <w:szCs w:val="13"/>
                <w:color w:val="auto"/>
              </w:rPr>
            </w:pPr>
          </w:p>
        </w:tc>
        <w:tc>
          <w:tcPr>
            <w:tcW w:w="1700" w:type="dxa"/>
            <w:vAlign w:val="bottom"/>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89"/>
        </w:trPr>
        <w:tc>
          <w:tcPr>
            <w:tcW w:w="37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5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6.05 - 7.52</w:t>
            </w:r>
          </w:p>
        </w:tc>
      </w:tr>
      <w:tr>
        <w:trPr>
          <w:trHeight w:val="215"/>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5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 - 2.4%</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- 3.1%</w:t>
            </w: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5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 - 37.9%</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 - 38.9%</w:t>
            </w:r>
          </w:p>
        </w:tc>
      </w:tr>
      <w:tr>
        <w:trPr>
          <w:trHeight w:val="214"/>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43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819"/>
        </w:trPr>
        <w:tc>
          <w:tcPr>
            <w:tcW w:w="3720" w:type="dxa"/>
            <w:vAlign w:val="bottom"/>
          </w:tcPr>
          <w:p>
            <w:pPr>
              <w:spacing w:after="0"/>
              <w:rPr>
                <w:sz w:val="24"/>
                <w:szCs w:val="24"/>
                <w:color w:val="auto"/>
              </w:rPr>
            </w:pPr>
          </w:p>
        </w:tc>
        <w:tc>
          <w:tcPr>
            <w:tcW w:w="4300" w:type="dxa"/>
            <w:vAlign w:val="bottom"/>
          </w:tcPr>
          <w:p>
            <w:pPr>
              <w:jc w:val="right"/>
              <w:ind w:right="2151"/>
              <w:spacing w:after="0"/>
              <w:rPr>
                <w:sz w:val="20"/>
                <w:szCs w:val="20"/>
                <w:color w:val="auto"/>
              </w:rPr>
            </w:pPr>
            <w:r>
              <w:rPr>
                <w:rFonts w:ascii="Times New Roman" w:cs="Times New Roman" w:eastAsia="Times New Roman" w:hAnsi="Times New Roman"/>
                <w:sz w:val="14"/>
                <w:szCs w:val="14"/>
                <w:color w:val="auto"/>
              </w:rPr>
              <w:t>30</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89"/>
        </w:trPr>
        <w:tc>
          <w:tcPr>
            <w:tcW w:w="3720" w:type="dxa"/>
            <w:vAlign w:val="bottom"/>
            <w:tcBorders>
              <w:bottom w:val="single" w:sz="8" w:color="9A9A9A"/>
            </w:tcBorders>
          </w:tcPr>
          <w:p>
            <w:pPr>
              <w:spacing w:after="0"/>
              <w:rPr>
                <w:sz w:val="7"/>
                <w:szCs w:val="7"/>
                <w:color w:val="auto"/>
              </w:rPr>
            </w:pPr>
          </w:p>
        </w:tc>
        <w:tc>
          <w:tcPr>
            <w:tcW w:w="43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-26035</wp:posOffset>
            </wp:positionV>
            <wp:extent cx="3238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is a summary of stock option activity for the nine months ended October 31, 2019:</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74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0" w:type="dxa"/>
            <w:vAlign w:val="bottom"/>
          </w:tcPr>
          <w:p>
            <w:pPr>
              <w:spacing w:after="0"/>
              <w:rPr>
                <w:sz w:val="1"/>
                <w:szCs w:val="1"/>
                <w:color w:val="auto"/>
              </w:rPr>
            </w:pPr>
          </w:p>
        </w:tc>
      </w:tr>
      <w:tr>
        <w:trPr>
          <w:trHeight w:val="119"/>
        </w:trPr>
        <w:tc>
          <w:tcPr>
            <w:tcW w:w="874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jc w:val="center"/>
              <w:ind w:right="71"/>
              <w:spacing w:after="0" w:line="119" w:lineRule="exact"/>
              <w:rPr>
                <w:sz w:val="20"/>
                <w:szCs w:val="20"/>
                <w:color w:val="auto"/>
              </w:rPr>
            </w:pPr>
            <w:r>
              <w:rPr>
                <w:rFonts w:ascii="Times New Roman" w:cs="Times New Roman" w:eastAsia="Times New Roman" w:hAnsi="Times New Roman"/>
                <w:sz w:val="11"/>
                <w:szCs w:val="11"/>
                <w:b w:val="1"/>
                <w:bCs w:val="1"/>
                <w:color w:val="auto"/>
              </w:rPr>
              <w:t>Exercise Price</w:t>
            </w:r>
          </w:p>
        </w:tc>
        <w:tc>
          <w:tcPr>
            <w:tcW w:w="0" w:type="dxa"/>
            <w:vAlign w:val="bottom"/>
          </w:tcPr>
          <w:p>
            <w:pPr>
              <w:spacing w:after="0"/>
              <w:rPr>
                <w:sz w:val="1"/>
                <w:szCs w:val="1"/>
                <w:color w:val="auto"/>
              </w:rPr>
            </w:pPr>
          </w:p>
        </w:tc>
      </w:tr>
      <w:tr>
        <w:trPr>
          <w:trHeight w:val="155"/>
        </w:trPr>
        <w:tc>
          <w:tcPr>
            <w:tcW w:w="874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0" w:type="dxa"/>
            <w:vAlign w:val="bottom"/>
          </w:tcPr>
          <w:p>
            <w:pPr>
              <w:spacing w:after="0"/>
              <w:rPr>
                <w:sz w:val="1"/>
                <w:szCs w:val="1"/>
                <w:color w:val="auto"/>
              </w:rPr>
            </w:pPr>
          </w:p>
        </w:tc>
      </w:tr>
      <w:tr>
        <w:trPr>
          <w:trHeight w:val="152"/>
        </w:trPr>
        <w:tc>
          <w:tcPr>
            <w:tcW w:w="87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 at January 31, 2019</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26,535</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193"/>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880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14.65</w:t>
            </w:r>
          </w:p>
        </w:tc>
        <w:tc>
          <w:tcPr>
            <w:tcW w:w="0" w:type="dxa"/>
            <w:vAlign w:val="bottom"/>
          </w:tcPr>
          <w:p>
            <w:pPr>
              <w:spacing w:after="0"/>
              <w:rPr>
                <w:sz w:val="1"/>
                <w:szCs w:val="1"/>
                <w:color w:val="auto"/>
              </w:rPr>
            </w:pPr>
          </w:p>
        </w:tc>
      </w:tr>
      <w:tr>
        <w:trPr>
          <w:trHeight w:val="23"/>
        </w:trPr>
        <w:tc>
          <w:tcPr>
            <w:tcW w:w="8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(706)</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93"/>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Canceled</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(509)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23"/>
        </w:trPr>
        <w:tc>
          <w:tcPr>
            <w:tcW w:w="87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 at April 30, 2019</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26,200</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84"/>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3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168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34.00</w:t>
            </w:r>
          </w:p>
        </w:tc>
        <w:tc>
          <w:tcPr>
            <w:tcW w:w="0" w:type="dxa"/>
            <w:vAlign w:val="bottom"/>
          </w:tcPr>
          <w:p>
            <w:pPr>
              <w:spacing w:after="0"/>
              <w:rPr>
                <w:sz w:val="1"/>
                <w:szCs w:val="1"/>
                <w:color w:val="auto"/>
              </w:rPr>
            </w:pPr>
          </w:p>
        </w:tc>
      </w:tr>
      <w:tr>
        <w:trPr>
          <w:trHeight w:val="23"/>
        </w:trPr>
        <w:tc>
          <w:tcPr>
            <w:tcW w:w="8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(4,776)</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193"/>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Canceled</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(325)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23"/>
        </w:trPr>
        <w:tc>
          <w:tcPr>
            <w:tcW w:w="87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 at July 31, 2019</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21,267</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184"/>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3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(286)</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93"/>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Canceled</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(280)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7.40</w:t>
            </w:r>
          </w:p>
        </w:tc>
        <w:tc>
          <w:tcPr>
            <w:tcW w:w="0" w:type="dxa"/>
            <w:vAlign w:val="bottom"/>
          </w:tcPr>
          <w:p>
            <w:pPr>
              <w:spacing w:after="0"/>
              <w:rPr>
                <w:sz w:val="1"/>
                <w:szCs w:val="1"/>
                <w:color w:val="auto"/>
              </w:rPr>
            </w:pPr>
          </w:p>
        </w:tc>
      </w:tr>
      <w:tr>
        <w:trPr>
          <w:trHeight w:val="23"/>
        </w:trPr>
        <w:tc>
          <w:tcPr>
            <w:tcW w:w="8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 at October 31, 2019</w:t>
            </w: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20,701</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4.55</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Options vested and expected to vest at October 31, 2019</w:t>
            </w:r>
          </w:p>
        </w:tc>
        <w:tc>
          <w:tcPr>
            <w:tcW w:w="13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20,701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4.55</w:t>
            </w:r>
          </w:p>
        </w:tc>
        <w:tc>
          <w:tcPr>
            <w:tcW w:w="0" w:type="dxa"/>
            <w:vAlign w:val="bottom"/>
          </w:tcPr>
          <w:p>
            <w:pPr>
              <w:spacing w:after="0"/>
              <w:rPr>
                <w:sz w:val="1"/>
                <w:szCs w:val="1"/>
                <w:color w:val="auto"/>
              </w:rPr>
            </w:pP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exercisable at October 31, 2019</w:t>
            </w: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11,871</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Options exercisable include 982,200 options that were unvested as of October 31, 2019.</w:t>
      </w:r>
    </w:p>
    <w:p>
      <w:pPr>
        <w:spacing w:after="0" w:line="184" w:lineRule="exact"/>
        <w:rPr>
          <w:sz w:val="20"/>
          <w:szCs w:val="20"/>
          <w:color w:val="auto"/>
        </w:rPr>
      </w:pPr>
    </w:p>
    <w:p>
      <w:pPr>
        <w:ind w:right="340" w:firstLine="517"/>
        <w:spacing w:after="0" w:line="294" w:lineRule="auto"/>
        <w:rPr>
          <w:sz w:val="20"/>
          <w:szCs w:val="20"/>
          <w:color w:val="auto"/>
        </w:rPr>
      </w:pPr>
      <w:r>
        <w:rPr>
          <w:rFonts w:ascii="Times New Roman" w:cs="Times New Roman" w:eastAsia="Times New Roman" w:hAnsi="Times New Roman"/>
          <w:sz w:val="14"/>
          <w:szCs w:val="14"/>
          <w:color w:val="auto"/>
        </w:rPr>
        <w:t>The aggregate intrinsic value of options vested and exercisable was $608.9 million and $181.1 million as of October 31, 2019 and January 31, 2019, respectively. The weighted-average remaining contractual term of options vested and exercisable was 6.4 years and 7.1 years as of October 31, 2019 and January 31, 2019, respectively.</w:t>
      </w:r>
    </w:p>
    <w:p>
      <w:pPr>
        <w:spacing w:after="0" w:line="123" w:lineRule="exact"/>
        <w:rPr>
          <w:sz w:val="20"/>
          <w:szCs w:val="20"/>
          <w:color w:val="auto"/>
        </w:rPr>
      </w:pPr>
    </w:p>
    <w:p>
      <w:pPr>
        <w:ind w:right="100" w:firstLine="517"/>
        <w:spacing w:after="0" w:line="269" w:lineRule="auto"/>
        <w:rPr>
          <w:sz w:val="20"/>
          <w:szCs w:val="20"/>
          <w:color w:val="auto"/>
        </w:rPr>
      </w:pPr>
      <w:r>
        <w:rPr>
          <w:rFonts w:ascii="Times New Roman" w:cs="Times New Roman" w:eastAsia="Times New Roman" w:hAnsi="Times New Roman"/>
          <w:sz w:val="14"/>
          <w:szCs w:val="14"/>
          <w:color w:val="auto"/>
        </w:rPr>
        <w:t>No options were granted for the three months ended October 31, 2019. The weighted-average grant date fair values of all options granted was $5.81 per share during the three months ended October 31, 2018. The weighted-average grant date fair values of all options granted was $9.51 and $5.59 per share during the nine months ended October 31, 2019 and October 31, 2018, respectively. The total intrinsic value of all options exercised was $17.3 million and $13.4 million during the three months ended October 31, 2019 and October 31, 2018, respectively, and $107.0 million and $21.0 million during the nine months ended October 31, 2019 and October 31, 2018, respectively.</w:t>
      </w:r>
    </w:p>
    <w:p>
      <w:pPr>
        <w:spacing w:after="0" w:line="140" w:lineRule="exact"/>
        <w:rPr>
          <w:sz w:val="20"/>
          <w:szCs w:val="20"/>
          <w:color w:val="auto"/>
        </w:rPr>
      </w:pPr>
    </w:p>
    <w:p>
      <w:pPr>
        <w:ind w:right="160" w:firstLine="517"/>
        <w:spacing w:after="0" w:line="275" w:lineRule="auto"/>
        <w:rPr>
          <w:sz w:val="20"/>
          <w:szCs w:val="20"/>
          <w:color w:val="auto"/>
        </w:rPr>
      </w:pPr>
      <w:r>
        <w:rPr>
          <w:rFonts w:ascii="Times New Roman" w:cs="Times New Roman" w:eastAsia="Times New Roman" w:hAnsi="Times New Roman"/>
          <w:sz w:val="14"/>
          <w:szCs w:val="14"/>
          <w:color w:val="auto"/>
        </w:rPr>
        <w:t>The aggregate intrinsic value of stock options outstanding as of October 31, 2019 and January 31, 2019 was $939.0 million and $286.1 million, respectively, which represents the excess of the fair value of the Company’s common stock over the exercise price of the options multiplied by the number of options outstanding. The weighted-average remaining contractual term of stock options outstanding was 7.3 years and 7.9 years as of October 31, 2019 and January 31, 2019, respectively.</w:t>
      </w:r>
    </w:p>
    <w:p>
      <w:pPr>
        <w:spacing w:after="0" w:line="136" w:lineRule="exact"/>
        <w:rPr>
          <w:sz w:val="20"/>
          <w:szCs w:val="20"/>
          <w:color w:val="auto"/>
        </w:rPr>
      </w:pPr>
    </w:p>
    <w:p>
      <w:pPr>
        <w:ind w:right="20" w:firstLine="517"/>
        <w:spacing w:after="0" w:line="275" w:lineRule="auto"/>
        <w:rPr>
          <w:sz w:val="20"/>
          <w:szCs w:val="20"/>
          <w:color w:val="auto"/>
        </w:rPr>
      </w:pPr>
      <w:r>
        <w:rPr>
          <w:rFonts w:ascii="Times New Roman" w:cs="Times New Roman" w:eastAsia="Times New Roman" w:hAnsi="Times New Roman"/>
          <w:sz w:val="14"/>
          <w:szCs w:val="14"/>
          <w:color w:val="auto"/>
        </w:rPr>
        <w:t>Total unrecognized stock-based compensation expense related to unvested options was $39.1 million as of October 31, 2019. This expense is expected to be amortized on a straight-line basis over a weighted-average vesting period of 2.3 years. Total unrecognized stock-based compensation expense related to unvested options was $45.8 million as of January 31, 2019. This expense is expected to be amortized on a straight-line basis over a weighted-average vesting period of 3.4 years.</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Early Exercise of Employee Options</w:t>
      </w:r>
    </w:p>
    <w:p>
      <w:pPr>
        <w:spacing w:after="0" w:line="188" w:lineRule="exact"/>
        <w:rPr>
          <w:sz w:val="20"/>
          <w:szCs w:val="20"/>
          <w:color w:val="auto"/>
        </w:rPr>
      </w:pPr>
    </w:p>
    <w:p>
      <w:pPr>
        <w:ind w:firstLine="517"/>
        <w:spacing w:after="0" w:line="264" w:lineRule="auto"/>
        <w:rPr>
          <w:sz w:val="20"/>
          <w:szCs w:val="20"/>
          <w:color w:val="auto"/>
        </w:rPr>
      </w:pPr>
      <w:r>
        <w:rPr>
          <w:rFonts w:ascii="Times New Roman" w:cs="Times New Roman" w:eastAsia="Times New Roman" w:hAnsi="Times New Roman"/>
          <w:sz w:val="14"/>
          <w:szCs w:val="14"/>
          <w:color w:val="auto"/>
        </w:rPr>
        <w:t>The 2011 Stock Plan allows for the early exercise of stock options for certain individuals as determined by the Board of Directors. The consideration received for an early exercise of an option is a deposit of the exercise price and the related dollar amount is recorded as a liability for early exercise of unvested stock options in the condensed consolidated balance sheets. This liability is reclassified to additional paid-in capital as the awards vest. If a stock option is early exercised, the unvested shares may be repurchased by the Company in case of employment termination or for any reason, including death and disability, at the price paid by the purchaser for such shares. There were no issued shares of common stock related to early exercised stock options for the three months ended October 31, 2019. During the nine months ended October 31, 2019, the Company issued 1,037,356 shares of common stock related to early exercised stock options. As of October 31, 2019, the number of shares of common stock related to early exercised stock options subject to repurchase was 1,127,811 shares for $9.6 million. As of January 31, 2019, the number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4"/>
          <w:szCs w:val="14"/>
          <w:color w:val="auto"/>
        </w:rPr>
        <w:t>of shares of common stock related to early exercised stock options subject to repurchase was 545,941 shares for $1.2 million. Common stock purchased pursuant to an early exercise of stock options is not deemed to be outstanding for accounting purposes until those shares vest. The Company includes unvested shares subject to repurchase in the number of shares outstanding on the statement of redeemable convertible preferred stock and stockholders’ equity (deficit).</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p>
      <w:pPr>
        <w:spacing w:after="0" w:line="188" w:lineRule="exact"/>
        <w:rPr>
          <w:sz w:val="20"/>
          <w:szCs w:val="20"/>
          <w:color w:val="auto"/>
        </w:rPr>
      </w:pPr>
    </w:p>
    <w:p>
      <w:pPr>
        <w:ind w:firstLine="517"/>
        <w:spacing w:after="0" w:line="262" w:lineRule="auto"/>
        <w:rPr>
          <w:sz w:val="20"/>
          <w:szCs w:val="20"/>
          <w:color w:val="auto"/>
        </w:rPr>
      </w:pPr>
      <w:r>
        <w:rPr>
          <w:rFonts w:ascii="Times New Roman" w:cs="Times New Roman" w:eastAsia="Times New Roman" w:hAnsi="Times New Roman"/>
          <w:sz w:val="14"/>
          <w:szCs w:val="14"/>
          <w:color w:val="auto"/>
        </w:rPr>
        <w:t>Beginning in September 2018, the Company began issuing RSUs to certain employees. These RSUs include a service-based vesting condition and a performance-based vesting condition. The service-based vesting condition is generally satisfied based on one of three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beginning on December 20, 2018, subject to continued service, or (iii) vesting in eight equal quarterly installments beginning on December 20, 2022, subject to continued service. The performance-based vesting condition is satisfied on the earlier of (i) a change in control, in which the consideration paid to holders of shares is either cash, publicly traded securities, or a combination thereof, or (ii) the first Company vest date to occur following the expiration of the lock-up period upon an IPO, subject to continued service through such change in control or lock-up expiration, as applicable. None of the RSUs vest unless the performance-based vesting condition is satisfied. Upon the completion of the IPO, the performance-based vesting condition was met and the Company recognized $17.3 million of deferred expense related to RSUs as of that date in its condensed consolidated statement of operations.</w:t>
      </w:r>
    </w:p>
    <w:p>
      <w:pPr>
        <w:spacing w:after="0" w:line="318" w:lineRule="exact"/>
        <w:rPr>
          <w:sz w:val="20"/>
          <w:szCs w:val="20"/>
          <w:color w:val="auto"/>
        </w:rPr>
      </w:pPr>
    </w:p>
    <w:p>
      <w:pPr>
        <w:ind w:firstLine="517"/>
        <w:spacing w:after="0" w:line="268" w:lineRule="auto"/>
        <w:rPr>
          <w:sz w:val="20"/>
          <w:szCs w:val="20"/>
          <w:color w:val="auto"/>
        </w:rPr>
      </w:pPr>
      <w:r>
        <w:rPr>
          <w:rFonts w:ascii="Times New Roman" w:cs="Times New Roman" w:eastAsia="Times New Roman" w:hAnsi="Times New Roman"/>
          <w:sz w:val="14"/>
          <w:szCs w:val="14"/>
          <w:color w:val="auto"/>
        </w:rPr>
        <w:t>Expense for RSUs that have a service-based condition only are being amortized on a straight-line basis. Expense for RSUs that have both a service-based and a performance-based condition are being amortized under the accelerated attribution method. Total unrecognized stock-based compensation expense related to unvested RSUs was $137.5 million as of October 31, 2019. This expense is expected to be amortized (subject to acceleration or straight-line basis) over a weighted-average vesting period of 2.3 years. Total unrecognized stock-based compensation expense related to unvested restricted stock units was $51.9 million as of January 31, 2019. This expense is expected to be amortized on an accelerated attribution method over a weighted-average vesting period of 2.2 years.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Performance-based Stock Units</w:t>
      </w:r>
    </w:p>
    <w:p>
      <w:pPr>
        <w:spacing w:after="0" w:line="188" w:lineRule="exact"/>
        <w:rPr>
          <w:sz w:val="20"/>
          <w:szCs w:val="20"/>
          <w:color w:val="auto"/>
        </w:rPr>
      </w:pPr>
    </w:p>
    <w:p>
      <w:pPr>
        <w:ind w:right="160" w:firstLine="517"/>
        <w:spacing w:after="0" w:line="253" w:lineRule="auto"/>
        <w:rPr>
          <w:sz w:val="20"/>
          <w:szCs w:val="20"/>
          <w:color w:val="auto"/>
        </w:rPr>
      </w:pPr>
      <w:r>
        <w:rPr>
          <w:rFonts w:ascii="Times New Roman" w:cs="Times New Roman" w:eastAsia="Times New Roman" w:hAnsi="Times New Roman"/>
          <w:sz w:val="14"/>
          <w:szCs w:val="14"/>
          <w:color w:val="auto"/>
        </w:rPr>
        <w:t>Performance-based stock units (“PSUs”) granted under the 2019 Plan are subject to a performance-based vesting condition. PSUs generally vest over a four-year period based on the achievement of specified performance targets for the fiscal year ended January 31, 2020 and subject to continued service through the applicable vesting dates. The compensation cost is recognized over the requisite service period when it is probable that the performance condition will be satisfied. Based on the extent to which the performance targets are achieved, shares ultimately awarded may range from 80% to 100% of the target award amount. If the performance targets are below 80%, no shares will be awarded.</w:t>
      </w:r>
    </w:p>
    <w:p>
      <w:pPr>
        <w:spacing w:after="0" w:line="140" w:lineRule="exact"/>
        <w:rPr>
          <w:sz w:val="20"/>
          <w:szCs w:val="20"/>
          <w:color w:val="auto"/>
        </w:rPr>
      </w:pPr>
    </w:p>
    <w:p>
      <w:pPr>
        <w:ind w:right="300" w:firstLine="517"/>
        <w:spacing w:after="0" w:line="294" w:lineRule="auto"/>
        <w:rPr>
          <w:sz w:val="20"/>
          <w:szCs w:val="20"/>
          <w:color w:val="auto"/>
        </w:rPr>
      </w:pPr>
      <w:r>
        <w:rPr>
          <w:rFonts w:ascii="Times New Roman" w:cs="Times New Roman" w:eastAsia="Times New Roman" w:hAnsi="Times New Roman"/>
          <w:sz w:val="14"/>
          <w:szCs w:val="14"/>
          <w:color w:val="auto"/>
        </w:rPr>
        <w:t>Expense for PSUs are being amortized under the accelerated attribution method. Total unrecognized stock-based compensation expense related to unvested PSUs was $3.5 million as of October 31, 2019. This expense is expected to be amortized over a weighted-average vesting period of 1.9 years.</w:t>
      </w: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00"/>
          </w:cols>
          <w:pgMar w:left="220" w:top="125" w:right="27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is a summary of RSU and PSU activities for the nine months ended October 31, 2019:</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7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9"/>
        </w:trPr>
        <w:tc>
          <w:tcPr>
            <w:tcW w:w="8740" w:type="dxa"/>
            <w:vAlign w:val="bottom"/>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center"/>
              <w:ind w:right="131"/>
              <w:spacing w:after="0" w:line="119" w:lineRule="exact"/>
              <w:rPr>
                <w:sz w:val="20"/>
                <w:szCs w:val="20"/>
                <w:color w:val="auto"/>
              </w:rPr>
            </w:pPr>
            <w:r>
              <w:rPr>
                <w:rFonts w:ascii="Times New Roman" w:cs="Times New Roman" w:eastAsia="Times New Roman" w:hAnsi="Times New Roman"/>
                <w:sz w:val="11"/>
                <w:szCs w:val="11"/>
                <w:b w:val="1"/>
                <w:bCs w:val="1"/>
                <w:color w:val="auto"/>
              </w:rPr>
              <w:t>Average Grant</w:t>
            </w:r>
          </w:p>
        </w:tc>
        <w:tc>
          <w:tcPr>
            <w:tcW w:w="0" w:type="dxa"/>
            <w:vAlign w:val="bottom"/>
          </w:tcPr>
          <w:p>
            <w:pPr>
              <w:spacing w:after="0"/>
              <w:rPr>
                <w:sz w:val="1"/>
                <w:szCs w:val="1"/>
                <w:color w:val="auto"/>
              </w:rPr>
            </w:pPr>
          </w:p>
        </w:tc>
      </w:tr>
      <w:tr>
        <w:trPr>
          <w:trHeight w:val="119"/>
        </w:trPr>
        <w:tc>
          <w:tcPr>
            <w:tcW w:w="874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center"/>
              <w:ind w:right="111"/>
              <w:spacing w:after="0" w:line="119" w:lineRule="exact"/>
              <w:rPr>
                <w:sz w:val="20"/>
                <w:szCs w:val="20"/>
                <w:color w:val="auto"/>
              </w:rPr>
            </w:pPr>
            <w:r>
              <w:rPr>
                <w:rFonts w:ascii="Times New Roman" w:cs="Times New Roman" w:eastAsia="Times New Roman" w:hAnsi="Times New Roman"/>
                <w:sz w:val="11"/>
                <w:szCs w:val="11"/>
                <w:b w:val="1"/>
                <w:bCs w:val="1"/>
                <w:color w:val="auto"/>
              </w:rPr>
              <w:t>Date Fair Value</w:t>
            </w:r>
          </w:p>
        </w:tc>
        <w:tc>
          <w:tcPr>
            <w:tcW w:w="0" w:type="dxa"/>
            <w:vAlign w:val="bottom"/>
          </w:tcPr>
          <w:p>
            <w:pPr>
              <w:spacing w:after="0"/>
              <w:rPr>
                <w:sz w:val="1"/>
                <w:szCs w:val="1"/>
                <w:color w:val="auto"/>
              </w:rPr>
            </w:pPr>
          </w:p>
        </w:tc>
      </w:tr>
      <w:tr>
        <w:trPr>
          <w:trHeight w:val="155"/>
        </w:trPr>
        <w:tc>
          <w:tcPr>
            <w:tcW w:w="874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0" w:type="dxa"/>
            <w:vAlign w:val="bottom"/>
          </w:tcPr>
          <w:p>
            <w:pPr>
              <w:spacing w:after="0"/>
              <w:rPr>
                <w:sz w:val="1"/>
                <w:szCs w:val="1"/>
                <w:color w:val="auto"/>
              </w:rPr>
            </w:pPr>
          </w:p>
        </w:tc>
      </w:tr>
      <w:tr>
        <w:trPr>
          <w:trHeight w:val="152"/>
        </w:trPr>
        <w:tc>
          <w:tcPr>
            <w:tcW w:w="87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RSUs and PSUs outstanding at January 31, 2019</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4,059</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12.66</w:t>
            </w:r>
          </w:p>
        </w:tc>
        <w:tc>
          <w:tcPr>
            <w:tcW w:w="0" w:type="dxa"/>
            <w:vAlign w:val="bottom"/>
          </w:tcPr>
          <w:p>
            <w:pPr>
              <w:spacing w:after="0"/>
              <w:rPr>
                <w:sz w:val="1"/>
                <w:szCs w:val="1"/>
                <w:color w:val="auto"/>
              </w:rPr>
            </w:pPr>
          </w:p>
        </w:tc>
      </w:tr>
      <w:tr>
        <w:trPr>
          <w:trHeight w:val="193"/>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853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18.32</w:t>
            </w:r>
          </w:p>
        </w:tc>
        <w:tc>
          <w:tcPr>
            <w:tcW w:w="0" w:type="dxa"/>
            <w:vAlign w:val="bottom"/>
          </w:tcPr>
          <w:p>
            <w:pPr>
              <w:spacing w:after="0"/>
              <w:rPr>
                <w:sz w:val="1"/>
                <w:szCs w:val="1"/>
                <w:color w:val="auto"/>
              </w:rPr>
            </w:pPr>
          </w:p>
        </w:tc>
      </w:tr>
      <w:tr>
        <w:trPr>
          <w:trHeight w:val="23"/>
        </w:trPr>
        <w:tc>
          <w:tcPr>
            <w:tcW w:w="8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(159)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12.62</w:t>
            </w:r>
          </w:p>
        </w:tc>
        <w:tc>
          <w:tcPr>
            <w:tcW w:w="0" w:type="dxa"/>
            <w:vAlign w:val="bottom"/>
          </w:tcPr>
          <w:p>
            <w:pPr>
              <w:spacing w:after="0"/>
              <w:rPr>
                <w:sz w:val="1"/>
                <w:szCs w:val="1"/>
                <w:color w:val="auto"/>
              </w:rPr>
            </w:pPr>
          </w:p>
        </w:tc>
      </w:tr>
      <w:tr>
        <w:trPr>
          <w:trHeight w:val="23"/>
        </w:trPr>
        <w:tc>
          <w:tcPr>
            <w:tcW w:w="87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RSUs and PSUs outstanding at April 30, 2019</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4,753</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13.33</w:t>
            </w:r>
          </w:p>
        </w:tc>
        <w:tc>
          <w:tcPr>
            <w:tcW w:w="0" w:type="dxa"/>
            <w:vAlign w:val="bottom"/>
          </w:tcPr>
          <w:p>
            <w:pPr>
              <w:spacing w:after="0"/>
              <w:rPr>
                <w:sz w:val="1"/>
                <w:szCs w:val="1"/>
                <w:color w:val="auto"/>
              </w:rPr>
            </w:pPr>
          </w:p>
        </w:tc>
      </w:tr>
      <w:tr>
        <w:trPr>
          <w:trHeight w:val="184"/>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3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1,014</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41.35</w:t>
            </w:r>
          </w:p>
        </w:tc>
        <w:tc>
          <w:tcPr>
            <w:tcW w:w="0" w:type="dxa"/>
            <w:vAlign w:val="bottom"/>
          </w:tcPr>
          <w:p>
            <w:pPr>
              <w:spacing w:after="0"/>
              <w:rPr>
                <w:sz w:val="1"/>
                <w:szCs w:val="1"/>
                <w:color w:val="auto"/>
              </w:rPr>
            </w:pPr>
          </w:p>
        </w:tc>
      </w:tr>
      <w:tr>
        <w:trPr>
          <w:trHeight w:val="23"/>
        </w:trPr>
        <w:tc>
          <w:tcPr>
            <w:tcW w:w="8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(38)</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20.59</w:t>
            </w:r>
          </w:p>
        </w:tc>
        <w:tc>
          <w:tcPr>
            <w:tcW w:w="0" w:type="dxa"/>
            <w:vAlign w:val="bottom"/>
          </w:tcPr>
          <w:p>
            <w:pPr>
              <w:spacing w:after="0"/>
              <w:rPr>
                <w:sz w:val="1"/>
                <w:szCs w:val="1"/>
                <w:color w:val="auto"/>
              </w:rPr>
            </w:pPr>
          </w:p>
        </w:tc>
      </w:tr>
      <w:tr>
        <w:trPr>
          <w:trHeight w:val="23"/>
        </w:trPr>
        <w:tc>
          <w:tcPr>
            <w:tcW w:w="87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RSUs and PSUs outstanding at July 31, 2019</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5,729</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18.61</w:t>
            </w:r>
          </w:p>
        </w:tc>
        <w:tc>
          <w:tcPr>
            <w:tcW w:w="0" w:type="dxa"/>
            <w:vAlign w:val="bottom"/>
          </w:tcPr>
          <w:p>
            <w:pPr>
              <w:spacing w:after="0"/>
              <w:rPr>
                <w:sz w:val="1"/>
                <w:szCs w:val="1"/>
                <w:color w:val="auto"/>
              </w:rPr>
            </w:pPr>
          </w:p>
        </w:tc>
      </w:tr>
      <w:tr>
        <w:trPr>
          <w:trHeight w:val="184"/>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3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1,224</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59.93</w:t>
            </w:r>
          </w:p>
        </w:tc>
        <w:tc>
          <w:tcPr>
            <w:tcW w:w="0" w:type="dxa"/>
            <w:vAlign w:val="bottom"/>
          </w:tcPr>
          <w:p>
            <w:pPr>
              <w:spacing w:after="0"/>
              <w:rPr>
                <w:sz w:val="1"/>
                <w:szCs w:val="1"/>
                <w:color w:val="auto"/>
              </w:rPr>
            </w:pPr>
          </w:p>
        </w:tc>
      </w:tr>
      <w:tr>
        <w:trPr>
          <w:trHeight w:val="23"/>
        </w:trPr>
        <w:tc>
          <w:tcPr>
            <w:tcW w:w="8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(44)</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32.20</w:t>
            </w:r>
          </w:p>
        </w:tc>
        <w:tc>
          <w:tcPr>
            <w:tcW w:w="0" w:type="dxa"/>
            <w:vAlign w:val="bottom"/>
          </w:tcPr>
          <w:p>
            <w:pPr>
              <w:spacing w:after="0"/>
              <w:rPr>
                <w:sz w:val="1"/>
                <w:szCs w:val="1"/>
                <w:color w:val="auto"/>
              </w:rPr>
            </w:pPr>
          </w:p>
        </w:tc>
      </w:tr>
      <w:tr>
        <w:trPr>
          <w:trHeight w:val="23"/>
        </w:trPr>
        <w:tc>
          <w:tcPr>
            <w:tcW w:w="87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RSUs and PSUs outstanding at October 31, 2019</w:t>
            </w: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6,909</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25.84</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RSUs and PSUs expected to vest at October 31, 2019</w:t>
            </w:r>
          </w:p>
        </w:tc>
        <w:tc>
          <w:tcPr>
            <w:tcW w:w="13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6,909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25.84</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188" w:lineRule="exact"/>
        <w:rPr>
          <w:sz w:val="20"/>
          <w:szCs w:val="20"/>
          <w:color w:val="auto"/>
        </w:rPr>
      </w:pPr>
    </w:p>
    <w:p>
      <w:pPr>
        <w:ind w:right="100" w:firstLine="517"/>
        <w:spacing w:after="0" w:line="266" w:lineRule="auto"/>
        <w:rPr>
          <w:sz w:val="20"/>
          <w:szCs w:val="20"/>
          <w:color w:val="auto"/>
        </w:rPr>
      </w:pPr>
      <w:r>
        <w:rPr>
          <w:rFonts w:ascii="Times New Roman" w:cs="Times New Roman" w:eastAsia="Times New Roman" w:hAnsi="Times New Roman"/>
          <w:sz w:val="14"/>
          <w:szCs w:val="14"/>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outstanding shares of the Company’s capital stock as of the last day of the immediately preceding fiscal year or (ii) such other amount as its board of directors may determine.</w:t>
      </w:r>
    </w:p>
    <w:p>
      <w:pPr>
        <w:spacing w:after="0" w:line="142" w:lineRule="exact"/>
        <w:rPr>
          <w:sz w:val="20"/>
          <w:szCs w:val="20"/>
          <w:color w:val="auto"/>
        </w:rPr>
      </w:pPr>
    </w:p>
    <w:p>
      <w:pPr>
        <w:ind w:right="100" w:firstLine="517"/>
        <w:spacing w:after="0" w:line="275" w:lineRule="auto"/>
        <w:rPr>
          <w:sz w:val="20"/>
          <w:szCs w:val="20"/>
          <w:color w:val="auto"/>
        </w:rPr>
      </w:pPr>
      <w:r>
        <w:rPr>
          <w:rFonts w:ascii="Times New Roman" w:cs="Times New Roman" w:eastAsia="Times New Roman" w:hAnsi="Times New Roman"/>
          <w:sz w:val="14"/>
          <w:szCs w:val="14"/>
          <w:color w:val="auto"/>
        </w:rPr>
        <w:t>The ESPP provides for consecutive offering periods that will typically have a duration of approximately 24 months in length and is comprised of four purchase periods of approximately six months in length. The offering periods are scheduled to start on the first trading day on or after June 11 and December 11 of each year. The first offering period commenced on June 11, 2019 and is scheduled to end on the first trading day on or before June 10, 2021.</w:t>
      </w:r>
    </w:p>
    <w:p>
      <w:pPr>
        <w:spacing w:after="0" w:line="136" w:lineRule="exact"/>
        <w:rPr>
          <w:sz w:val="20"/>
          <w:szCs w:val="20"/>
          <w:color w:val="auto"/>
        </w:rPr>
      </w:pPr>
    </w:p>
    <w:p>
      <w:pPr>
        <w:ind w:right="20" w:firstLine="517"/>
        <w:spacing w:after="0" w:line="266" w:lineRule="auto"/>
        <w:rPr>
          <w:sz w:val="20"/>
          <w:szCs w:val="20"/>
          <w:color w:val="auto"/>
        </w:rPr>
      </w:pPr>
      <w:r>
        <w:rPr>
          <w:rFonts w:ascii="Times New Roman" w:cs="Times New Roman" w:eastAsia="Times New Roman" w:hAnsi="Times New Roman"/>
          <w:sz w:val="14"/>
          <w:szCs w:val="14"/>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shall be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w:t>
      </w:r>
    </w:p>
    <w:p>
      <w:pPr>
        <w:spacing w:after="0" w:line="142" w:lineRule="exact"/>
        <w:rPr>
          <w:sz w:val="20"/>
          <w:szCs w:val="20"/>
          <w:color w:val="auto"/>
        </w:rPr>
      </w:pPr>
    </w:p>
    <w:p>
      <w:pPr>
        <w:ind w:right="80" w:firstLine="517"/>
        <w:spacing w:after="0" w:line="275" w:lineRule="auto"/>
        <w:rPr>
          <w:sz w:val="20"/>
          <w:szCs w:val="20"/>
          <w:color w:val="auto"/>
        </w:rPr>
      </w:pPr>
      <w:r>
        <w:rPr>
          <w:rFonts w:ascii="Times New Roman" w:cs="Times New Roman" w:eastAsia="Times New Roman" w:hAnsi="Times New Roman"/>
          <w:sz w:val="14"/>
          <w:szCs w:val="14"/>
          <w:color w:val="auto"/>
        </w:rPr>
        <w:t>Employee payroll contributions ultimately used to purchase shares are reclassified to stockholders’ equity on the purchase date. ESPP employee payroll contributions accrued at October 31, 2019 totaled $10.2 million and are included within accrued compensation in the condensed consolidated balance sheets. The Company recorded stock-based compensation of $4.0 million and $6.3 million during the three and nine months ended October 31, 2019 in connection with the ESPP.</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 w:firstLine="517"/>
        <w:spacing w:after="0" w:line="285" w:lineRule="auto"/>
        <w:rPr>
          <w:sz w:val="20"/>
          <w:szCs w:val="20"/>
          <w:color w:val="auto"/>
        </w:rPr>
      </w:pPr>
      <w:r>
        <w:rPr>
          <w:rFonts w:ascii="Times New Roman" w:cs="Times New Roman" w:eastAsia="Times New Roman" w:hAnsi="Times New Roman"/>
          <w:sz w:val="14"/>
          <w:szCs w:val="14"/>
          <w:color w:val="auto"/>
        </w:rPr>
        <w:t>The fair value of the share purchase rights granted under the ESPP during the nine months ended October 31, 2019 was estimated on the date of grant using the Black-Scholes option pricing model with the following assumptions:</w:t>
      </w:r>
    </w:p>
    <w:p>
      <w:pPr>
        <w:spacing w:after="0" w:line="1" w:lineRule="exact"/>
        <w:rPr>
          <w:sz w:val="20"/>
          <w:szCs w:val="20"/>
          <w:color w:val="auto"/>
        </w:rPr>
      </w:pPr>
    </w:p>
    <w:p>
      <w:pPr>
        <w:jc w:val="center"/>
        <w:ind w:left="9640"/>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6122035</wp:posOffset>
            </wp:positionH>
            <wp:positionV relativeFrom="paragraph">
              <wp:posOffset>20955</wp:posOffset>
            </wp:positionV>
            <wp:extent cx="114935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6" w:lineRule="exact"/>
        <w:rPr>
          <w:sz w:val="20"/>
          <w:szCs w:val="20"/>
          <w:color w:val="auto"/>
        </w:rPr>
      </w:pPr>
    </w:p>
    <w:p>
      <w:pPr>
        <w:jc w:val="center"/>
        <w:ind w:left="9640"/>
        <w:spacing w:after="0"/>
        <w:rPr>
          <w:sz w:val="20"/>
          <w:szCs w:val="20"/>
          <w:color w:val="auto"/>
        </w:rPr>
      </w:pPr>
      <w:r>
        <w:rPr>
          <w:rFonts w:ascii="Times New Roman" w:cs="Times New Roman" w:eastAsia="Times New Roman" w:hAnsi="Times New Roman"/>
          <w:sz w:val="11"/>
          <w:szCs w:val="11"/>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726757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137160"/>
                    </a:xfrm>
                    <a:prstGeom prst="rect">
                      <a:avLst/>
                    </a:prstGeom>
                    <a:noFill/>
                  </pic:spPr>
                </pic:pic>
              </a:graphicData>
            </a:graphic>
          </wp:anchor>
        </w:drawing>
        <w:drawing>
          <wp:anchor simplePos="0" relativeHeight="251657728" behindDoc="1" locked="0" layoutInCell="0" allowOverlap="1">
            <wp:simplePos x="0" y="0"/>
            <wp:positionH relativeFrom="column">
              <wp:posOffset>6122035</wp:posOffset>
            </wp:positionH>
            <wp:positionV relativeFrom="paragraph">
              <wp:posOffset>20955</wp:posOffset>
            </wp:positionV>
            <wp:extent cx="114935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Expected term (in years)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726757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Expected stock price volatility</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Dividend yield</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Stock-based compensation expense included in the condensed consolidated statements of operations is as follows:</w:t>
      </w:r>
    </w:p>
    <w:p>
      <w:pPr>
        <w:spacing w:after="0" w:line="50"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20955</wp:posOffset>
            </wp:positionV>
            <wp:extent cx="169037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90370" cy="6985"/>
                    </a:xfrm>
                    <a:prstGeom prst="rect">
                      <a:avLst/>
                    </a:prstGeom>
                    <a:noFill/>
                  </pic:spPr>
                </pic:pic>
              </a:graphicData>
            </a:graphic>
          </wp:anchor>
        </w:drawing>
      </w:r>
    </w:p>
    <w:p>
      <w:pPr>
        <w:spacing w:after="0" w:line="26" w:lineRule="exact"/>
        <w:rPr>
          <w:sz w:val="20"/>
          <w:szCs w:val="20"/>
          <w:color w:val="auto"/>
        </w:rPr>
      </w:pPr>
    </w:p>
    <w:p>
      <w:pPr>
        <w:ind w:left="6340"/>
        <w:spacing w:after="0"/>
        <w:tabs>
          <w:tab w:leader="none" w:pos="7700" w:val="left"/>
        </w:tabs>
        <w:rPr>
          <w:sz w:val="20"/>
          <w:szCs w:val="20"/>
          <w:color w:val="auto"/>
        </w:rPr>
      </w:pPr>
      <w:r>
        <w:rPr>
          <w:rFonts w:ascii="Times New Roman" w:cs="Times New Roman" w:eastAsia="Times New Roman" w:hAnsi="Times New Roman"/>
          <w:sz w:val="11"/>
          <w:szCs w:val="11"/>
          <w:b w:val="1"/>
          <w:bCs w:val="1"/>
          <w:color w:val="auto"/>
        </w:rPr>
        <w:t>2019</w:t>
      </w:r>
      <w:r>
        <w:rPr>
          <w:sz w:val="20"/>
          <w:szCs w:val="20"/>
          <w:color w:val="auto"/>
        </w:rPr>
        <w:tab/>
      </w:r>
      <w:r>
        <w:rPr>
          <w:rFonts w:ascii="Times New Roman" w:cs="Times New Roman" w:eastAsia="Times New Roman" w:hAnsi="Times New Roman"/>
          <w:sz w:val="11"/>
          <w:szCs w:val="11"/>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20955</wp:posOffset>
            </wp:positionV>
            <wp:extent cx="169037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90370" cy="6985"/>
                    </a:xfrm>
                    <a:prstGeom prst="rect">
                      <a:avLst/>
                    </a:prstGeom>
                    <a:noFill/>
                  </pic:spPr>
                </pic:pic>
              </a:graphicData>
            </a:graphic>
          </wp:anchor>
        </w:drawing>
      </w:r>
    </w:p>
    <w:p>
      <w:pPr>
        <w:spacing w:after="0" w:line="2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0.5 - 2.0</w:t>
      </w:r>
    </w:p>
    <w:p>
      <w:pPr>
        <w:spacing w:after="0" w:line="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1.9 - 2.2%</w:t>
      </w:r>
    </w:p>
    <w:p>
      <w:pPr>
        <w:spacing w:after="0" w:line="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33.0 - 35.7%</w:t>
      </w:r>
    </w:p>
    <w:p>
      <w:pPr>
        <w:spacing w:after="0" w:line="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20955</wp:posOffset>
            </wp:positionV>
            <wp:extent cx="166306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63065" cy="6985"/>
                    </a:xfrm>
                    <a:prstGeom prst="rect">
                      <a:avLst/>
                    </a:prstGeom>
                    <a:noFill/>
                  </pic:spPr>
                </pic:pic>
              </a:graphicData>
            </a:graphic>
          </wp:anchor>
        </w:drawing>
      </w:r>
    </w:p>
    <w:p>
      <w:pPr>
        <w:spacing w:after="0" w:line="2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1"/>
          <w:szCs w:val="11"/>
          <w:b w:val="1"/>
          <w:bCs w:val="1"/>
          <w:color w:val="auto"/>
        </w:rPr>
        <w:t>2019</w:t>
      </w:r>
      <w:r>
        <w:rPr>
          <w:sz w:val="20"/>
          <w:szCs w:val="20"/>
          <w:color w:val="auto"/>
        </w:rPr>
        <w:tab/>
      </w:r>
      <w:r>
        <w:rPr>
          <w:rFonts w:ascii="Times New Roman" w:cs="Times New Roman" w:eastAsia="Times New Roman" w:hAnsi="Times New Roman"/>
          <w:sz w:val="11"/>
          <w:szCs w:val="11"/>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20955</wp:posOffset>
            </wp:positionV>
            <wp:extent cx="166306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63065" cy="6985"/>
                    </a:xfrm>
                    <a:prstGeom prst="rect">
                      <a:avLst/>
                    </a:prstGeom>
                    <a:noFill/>
                  </pic:spPr>
                </pic:pic>
              </a:graphicData>
            </a:graphic>
          </wp:anchor>
        </w:drawing>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44" w:lineRule="exact"/>
        <w:rPr>
          <w:sz w:val="20"/>
          <w:szCs w:val="20"/>
          <w:color w:val="auto"/>
        </w:rPr>
      </w:pPr>
    </w:p>
    <w:p>
      <w:pPr>
        <w:sectPr>
          <w:pgSz w:w="11900" w:h="16838" w:orient="portrait"/>
          <w:cols w:equalWidth="0" w:num="2">
            <w:col w:w="8380" w:space="720"/>
            <w:col w:w="2360"/>
          </w:cols>
          <w:pgMar w:left="220" w:top="125" w:right="21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cost of revenue</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1,666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3,164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533</w:t>
            </w:r>
          </w:p>
        </w:tc>
      </w:tr>
      <w:tr>
        <w:trPr>
          <w:trHeight w:val="193"/>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services cost of revenue</w:t>
            </w:r>
          </w:p>
        </w:tc>
        <w:tc>
          <w:tcPr>
            <w:tcW w:w="40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1,531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156</w:t>
            </w:r>
          </w:p>
        </w:tc>
      </w:tr>
      <w:tr>
        <w:trPr>
          <w:trHeight w:val="23"/>
        </w:trPr>
        <w:tc>
          <w:tcPr>
            <w:tcW w:w="5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4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7,355</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2,137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15,511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3,941</w:t>
            </w:r>
          </w:p>
        </w:tc>
      </w:tr>
      <w:tr>
        <w:trPr>
          <w:trHeight w:val="193"/>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40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4,696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6,245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10,353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7,232</w:t>
            </w:r>
          </w:p>
        </w:tc>
      </w:tr>
      <w:tr>
        <w:trPr>
          <w:trHeight w:val="23"/>
        </w:trPr>
        <w:tc>
          <w:tcPr>
            <w:tcW w:w="5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7,465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4,643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25,018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5,541</w:t>
            </w:r>
          </w:p>
        </w:tc>
      </w:tr>
      <w:tr>
        <w:trPr>
          <w:trHeight w:val="206"/>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21,966</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13,460</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55,577</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17,403</w:t>
            </w:r>
          </w:p>
        </w:tc>
      </w:tr>
      <w:tr>
        <w:trPr>
          <w:trHeight w:val="20"/>
        </w:trPr>
        <w:tc>
          <w:tcPr>
            <w:tcW w:w="5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10. Revenue, Deferred Revenue and Remaining Performance Obligations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revenue from contracts by type of customer: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5"/>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r>
      <w:tr>
        <w:trPr>
          <w:trHeight w:val="152"/>
        </w:trPr>
        <w:tc>
          <w:tcPr>
            <w:tcW w:w="20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82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823"/>
              <w:spacing w:after="0"/>
              <w:rPr>
                <w:sz w:val="20"/>
                <w:szCs w:val="20"/>
                <w:color w:val="auto"/>
              </w:rPr>
            </w:pPr>
            <w:r>
              <w:rPr>
                <w:rFonts w:ascii="Times New Roman" w:cs="Times New Roman" w:eastAsia="Times New Roman" w:hAnsi="Times New Roman"/>
                <w:sz w:val="11"/>
                <w:szCs w:val="11"/>
                <w:b w:val="1"/>
                <w:bCs w:val="1"/>
                <w:color w:val="auto"/>
              </w:rPr>
              <w:t>2018</w:t>
            </w:r>
          </w:p>
        </w:tc>
        <w:tc>
          <w:tcPr>
            <w:tcW w:w="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2019</w:t>
            </w: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823"/>
              <w:spacing w:after="0"/>
              <w:rPr>
                <w:sz w:val="20"/>
                <w:szCs w:val="20"/>
                <w:color w:val="auto"/>
              </w:rPr>
            </w:pPr>
            <w:r>
              <w:rPr>
                <w:rFonts w:ascii="Times New Roman" w:cs="Times New Roman" w:eastAsia="Times New Roman" w:hAnsi="Times New Roman"/>
                <w:sz w:val="11"/>
                <w:szCs w:val="11"/>
                <w:b w:val="1"/>
                <w:bCs w:val="1"/>
                <w:color w:val="auto"/>
              </w:rPr>
              <w:t>2018</w:t>
            </w:r>
          </w:p>
        </w:tc>
        <w:tc>
          <w:tcPr>
            <w:tcW w:w="160" w:type="dxa"/>
            <w:vAlign w:val="bottom"/>
            <w:tcBorders>
              <w:bottom w:val="single" w:sz="8" w:color="auto"/>
            </w:tcBorders>
          </w:tcPr>
          <w:p>
            <w:pPr>
              <w:spacing w:after="0"/>
              <w:rPr>
                <w:sz w:val="13"/>
                <w:szCs w:val="13"/>
                <w:color w:val="auto"/>
              </w:rPr>
            </w:pPr>
          </w:p>
        </w:tc>
      </w:tr>
      <w:tr>
        <w:trPr>
          <w:trHeight w:val="152"/>
        </w:trPr>
        <w:tc>
          <w:tcPr>
            <w:tcW w:w="20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 Revenue</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 Revenue</w:t>
            </w:r>
          </w:p>
        </w:tc>
        <w:tc>
          <w:tcPr>
            <w:tcW w:w="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 Revenue</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 Revenue</w:t>
            </w:r>
          </w:p>
        </w:tc>
        <w:tc>
          <w:tcPr>
            <w:tcW w:w="160" w:type="dxa"/>
            <w:vAlign w:val="bottom"/>
            <w:tcBorders>
              <w:bottom w:val="single" w:sz="8" w:color="auto"/>
            </w:tcBorders>
          </w:tcPr>
          <w:p>
            <w:pPr>
              <w:spacing w:after="0"/>
              <w:rPr>
                <w:sz w:val="13"/>
                <w:szCs w:val="13"/>
                <w:color w:val="auto"/>
              </w:rPr>
            </w:pPr>
          </w:p>
        </w:tc>
      </w:tr>
      <w:tr>
        <w:trPr>
          <w:trHeight w:val="152"/>
        </w:trPr>
        <w:tc>
          <w:tcPr>
            <w:tcW w:w="2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5"/>
          </w:tcPr>
          <w:p>
            <w:pPr>
              <w:jc w:val="right"/>
              <w:ind w:right="117"/>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5"/>
          </w:tcPr>
          <w:p>
            <w:pPr>
              <w:jc w:val="right"/>
              <w:ind w:right="117"/>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9"/>
        </w:trPr>
        <w:tc>
          <w:tcPr>
            <w:tcW w:w="2020" w:type="dxa"/>
            <w:vAlign w:val="bottom"/>
            <w:tcBorders>
              <w:bottom w:val="single" w:sz="8" w:color="CCEEFF"/>
            </w:tcBorders>
            <w:shd w:val="clear" w:color="auto" w:fill="CCEEFF"/>
          </w:tcPr>
          <w:p>
            <w:pPr>
              <w:jc w:val="center"/>
              <w:ind w:right="1035"/>
              <w:spacing w:after="0"/>
              <w:rPr>
                <w:sz w:val="20"/>
                <w:szCs w:val="20"/>
                <w:color w:val="auto"/>
              </w:rPr>
            </w:pPr>
            <w:r>
              <w:rPr>
                <w:rFonts w:ascii="Times New Roman" w:cs="Times New Roman" w:eastAsia="Times New Roman" w:hAnsi="Times New Roman"/>
                <w:sz w:val="13"/>
                <w:szCs w:val="13"/>
                <w:color w:val="auto"/>
                <w:w w:val="98"/>
              </w:rPr>
              <w:t>Channel Partners</w:t>
            </w: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88,255</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46,525</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223,152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116,619</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8"/>
        </w:trPr>
        <w:tc>
          <w:tcPr>
            <w:tcW w:w="2020" w:type="dxa"/>
            <w:vAlign w:val="bottom"/>
          </w:tcPr>
          <w:p>
            <w:pPr>
              <w:jc w:val="center"/>
              <w:ind w:right="1015"/>
              <w:spacing w:after="0"/>
              <w:rPr>
                <w:sz w:val="20"/>
                <w:szCs w:val="20"/>
                <w:color w:val="auto"/>
              </w:rPr>
            </w:pPr>
            <w:r>
              <w:rPr>
                <w:rFonts w:ascii="Times New Roman" w:cs="Times New Roman" w:eastAsia="Times New Roman" w:hAnsi="Times New Roman"/>
                <w:sz w:val="13"/>
                <w:szCs w:val="13"/>
                <w:color w:val="auto"/>
                <w:w w:val="98"/>
              </w:rPr>
              <w:t>Direct Customers</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36,864</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19,854</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106,152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52,750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7"/>
        </w:trPr>
        <w:tc>
          <w:tcPr>
            <w:tcW w:w="2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13"/>
        </w:trPr>
        <w:tc>
          <w:tcPr>
            <w:tcW w:w="2020" w:type="dxa"/>
            <w:vAlign w:val="bottom"/>
            <w:shd w:val="clear" w:color="auto" w:fill="CCEEFF"/>
          </w:tcPr>
          <w:p>
            <w:pPr>
              <w:jc w:val="center"/>
              <w:ind w:right="1055"/>
              <w:spacing w:after="0"/>
              <w:rPr>
                <w:sz w:val="20"/>
                <w:szCs w:val="20"/>
                <w:color w:val="auto"/>
              </w:rPr>
            </w:pPr>
            <w:r>
              <w:rPr>
                <w:rFonts w:ascii="Times New Roman" w:cs="Times New Roman" w:eastAsia="Times New Roman" w:hAnsi="Times New Roman"/>
                <w:sz w:val="13"/>
                <w:szCs w:val="13"/>
                <w:color w:val="auto"/>
                <w:w w:val="97"/>
              </w:rPr>
              <w:t>Total revenue</w:t>
            </w: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125,119</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66,379</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329,304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169,369</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right="20" w:firstLine="517"/>
        <w:spacing w:after="0" w:line="269" w:lineRule="auto"/>
        <w:rPr>
          <w:sz w:val="20"/>
          <w:szCs w:val="20"/>
          <w:color w:val="auto"/>
        </w:rPr>
      </w:pPr>
      <w:r>
        <w:rPr>
          <w:rFonts w:ascii="Times New Roman" w:cs="Times New Roman" w:eastAsia="Times New Roman" w:hAnsi="Times New Roman"/>
          <w:sz w:val="14"/>
          <w:szCs w:val="14"/>
          <w:color w:val="auto"/>
        </w:rPr>
        <w:t>The Company uses channel partners to complement direct sales and marketing efforts. The partners place an order with the Company after negotiating the order directly with an end customer. The partners negotiate pricing with the end customer and in some rare instances are responsible for certain support levels directly with the end customer. The Company’s contract is with the partner and payment to the Company is not contingent on the receipt of payment from the end customer. The Company recognizes the contractual amount charged to the partners as revenue ratably over the term of the arrangement once access to the Company’s solution has been provided to the end customer.</w:t>
      </w:r>
    </w:p>
    <w:p>
      <w:pPr>
        <w:spacing w:after="0" w:line="140" w:lineRule="exact"/>
        <w:rPr>
          <w:sz w:val="20"/>
          <w:szCs w:val="20"/>
          <w:color w:val="auto"/>
        </w:rPr>
      </w:pPr>
    </w:p>
    <w:p>
      <w:pPr>
        <w:ind w:right="300" w:firstLine="517"/>
        <w:spacing w:after="0" w:line="294" w:lineRule="auto"/>
        <w:rPr>
          <w:sz w:val="20"/>
          <w:szCs w:val="20"/>
          <w:color w:val="auto"/>
        </w:rPr>
      </w:pPr>
      <w:r>
        <w:rPr>
          <w:rFonts w:ascii="Times New Roman" w:cs="Times New Roman" w:eastAsia="Times New Roman" w:hAnsi="Times New Roman"/>
          <w:sz w:val="14"/>
          <w:szCs w:val="14"/>
          <w:color w:val="auto"/>
        </w:rPr>
        <w:t>The Company also uses referral partners who refer customers in exchange for a referral fee. The Company negotiates pricing and contracts directly with the end customer. The Company recognizes revenue from the sales to the end customers, ratably over the term of the contract, once access to the Company’s solution has been provided to the end customer.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type w:val="continuous"/>
        </w:sectPr>
      </w:pPr>
    </w:p>
    <w:bookmarkStart w:id="34" w:name="page35"/>
    <w:bookmarkEnd w:id="3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revenue by region based on the shipping address of customers who have contracted to use the Company’s cloud platform:</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9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r>
      <w:tr>
        <w:trPr>
          <w:trHeight w:val="152"/>
        </w:trPr>
        <w:tc>
          <w:tcPr>
            <w:tcW w:w="19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2019</w:t>
            </w: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2018</w:t>
            </w: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2019</w:t>
            </w: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823"/>
              <w:spacing w:after="0"/>
              <w:rPr>
                <w:sz w:val="20"/>
                <w:szCs w:val="20"/>
                <w:color w:val="auto"/>
              </w:rPr>
            </w:pPr>
            <w:r>
              <w:rPr>
                <w:rFonts w:ascii="Times New Roman" w:cs="Times New Roman" w:eastAsia="Times New Roman" w:hAnsi="Times New Roman"/>
                <w:sz w:val="11"/>
                <w:szCs w:val="11"/>
                <w:b w:val="1"/>
                <w:bCs w:val="1"/>
                <w:color w:val="auto"/>
              </w:rPr>
              <w:t>2018</w:t>
            </w:r>
          </w:p>
        </w:tc>
        <w:tc>
          <w:tcPr>
            <w:tcW w:w="160" w:type="dxa"/>
            <w:vAlign w:val="bottom"/>
            <w:tcBorders>
              <w:bottom w:val="single" w:sz="8" w:color="auto"/>
            </w:tcBorders>
          </w:tcPr>
          <w:p>
            <w:pPr>
              <w:spacing w:after="0"/>
              <w:rPr>
                <w:sz w:val="13"/>
                <w:szCs w:val="13"/>
                <w:color w:val="auto"/>
              </w:rPr>
            </w:pPr>
          </w:p>
        </w:tc>
      </w:tr>
      <w:tr>
        <w:trPr>
          <w:trHeight w:val="152"/>
        </w:trPr>
        <w:tc>
          <w:tcPr>
            <w:tcW w:w="19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 Revenue</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 Revenue</w:t>
            </w: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 Revenue</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 Revenue</w:t>
            </w:r>
          </w:p>
        </w:tc>
        <w:tc>
          <w:tcPr>
            <w:tcW w:w="160" w:type="dxa"/>
            <w:vAlign w:val="bottom"/>
            <w:tcBorders>
              <w:bottom w:val="single" w:sz="8" w:color="auto"/>
            </w:tcBorders>
          </w:tcPr>
          <w:p>
            <w:pPr>
              <w:spacing w:after="0"/>
              <w:rPr>
                <w:sz w:val="13"/>
                <w:szCs w:val="13"/>
                <w:color w:val="auto"/>
              </w:rPr>
            </w:pPr>
          </w:p>
        </w:tc>
      </w:tr>
      <w:tr>
        <w:trPr>
          <w:trHeight w:val="152"/>
        </w:trPr>
        <w:tc>
          <w:tcPr>
            <w:tcW w:w="1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gridSpan w:val="7"/>
          </w:tcPr>
          <w:p>
            <w:pPr>
              <w:ind w:left="14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gridSpan w:val="5"/>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0"/>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92,602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50,366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245,055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130,659</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 Middle East, and Africa</w:t>
            </w:r>
          </w:p>
        </w:tc>
        <w:tc>
          <w:tcPr>
            <w:tcW w:w="220" w:type="dxa"/>
            <w:vAlign w:val="bottom"/>
          </w:tcPr>
          <w:p>
            <w:pPr>
              <w:spacing w:after="0"/>
              <w:rPr>
                <w:sz w:val="16"/>
                <w:szCs w:val="16"/>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17,609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8,367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46,029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19,384</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9,985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4,600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24,828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12,262</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6"/>
                <w:szCs w:val="16"/>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4,923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3,046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13,392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7,064</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23"/>
        </w:trPr>
        <w:tc>
          <w:tcPr>
            <w:tcW w:w="1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r>
      <w:tr>
        <w:trPr>
          <w:trHeight w:val="226"/>
        </w:trPr>
        <w:tc>
          <w:tcPr>
            <w:tcW w:w="1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125,119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66,379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329,304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169,369</w:t>
            </w:r>
          </w:p>
        </w:tc>
        <w:tc>
          <w:tcPr>
            <w:tcW w:w="1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 single country other than the United States represented 10% or more of the Company’s total revenue during the three and nine months ended October 31, 2019 and October 31, 2018.</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Contract Balances</w:t>
      </w:r>
    </w:p>
    <w:p>
      <w:pPr>
        <w:spacing w:after="0" w:line="184" w:lineRule="exact"/>
        <w:rPr>
          <w:sz w:val="20"/>
          <w:szCs w:val="20"/>
          <w:color w:val="auto"/>
        </w:rPr>
      </w:pPr>
    </w:p>
    <w:p>
      <w:pPr>
        <w:ind w:right="120" w:firstLine="517"/>
        <w:spacing w:after="0" w:line="275" w:lineRule="auto"/>
        <w:rPr>
          <w:sz w:val="20"/>
          <w:szCs w:val="20"/>
          <w:color w:val="auto"/>
        </w:rPr>
      </w:pPr>
      <w:r>
        <w:rPr>
          <w:rFonts w:ascii="Times New Roman" w:cs="Times New Roman" w:eastAsia="Times New Roman" w:hAnsi="Times New Roman"/>
          <w:sz w:val="14"/>
          <w:szCs w:val="14"/>
          <w:color w:val="auto"/>
        </w:rPr>
        <w:t>Contract liabilities consist of deferred revenue and include payments received in advance of performance under the contract. Such amounts are recognized as revenue over the contractual period. For the three and nine months ended October 31, 2019, the Company recognized revenue of $103.3 million and $203.7 million, respectively, that were included in the corresponding contract liability balance at the beginning of the period.</w:t>
      </w:r>
    </w:p>
    <w:p>
      <w:pPr>
        <w:spacing w:after="0" w:line="136" w:lineRule="exact"/>
        <w:rPr>
          <w:sz w:val="20"/>
          <w:szCs w:val="20"/>
          <w:color w:val="auto"/>
        </w:rPr>
      </w:pPr>
    </w:p>
    <w:p>
      <w:pPr>
        <w:ind w:right="520" w:firstLine="517"/>
        <w:spacing w:after="0" w:line="275" w:lineRule="auto"/>
        <w:rPr>
          <w:sz w:val="20"/>
          <w:szCs w:val="20"/>
          <w:color w:val="auto"/>
        </w:rPr>
      </w:pPr>
      <w:r>
        <w:rPr>
          <w:rFonts w:ascii="Times New Roman" w:cs="Times New Roman" w:eastAsia="Times New Roman" w:hAnsi="Times New Roman"/>
          <w:sz w:val="14"/>
          <w:szCs w:val="14"/>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Changes in deferred revenue for the three and nine months ended October 31, 2019 were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1140" w:type="dxa"/>
            <w:vAlign w:val="bottom"/>
            <w:tcBorders>
              <w:bottom w:val="single" w:sz="8" w:color="auto"/>
            </w:tcBorders>
          </w:tcPr>
          <w:p>
            <w:pPr>
              <w:spacing w:after="0"/>
              <w:rPr>
                <w:sz w:val="13"/>
                <w:szCs w:val="13"/>
                <w:color w:val="auto"/>
              </w:rPr>
            </w:pPr>
          </w:p>
        </w:tc>
      </w:tr>
      <w:tr>
        <w:trPr>
          <w:trHeight w:val="116"/>
        </w:trPr>
        <w:tc>
          <w:tcPr>
            <w:tcW w:w="7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1640" w:type="dxa"/>
            <w:vAlign w:val="bottom"/>
            <w:gridSpan w:val="2"/>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Nine Months Ended October 31,</w:t>
            </w:r>
          </w:p>
        </w:tc>
      </w:tr>
      <w:tr>
        <w:trPr>
          <w:trHeight w:val="155"/>
        </w:trPr>
        <w:tc>
          <w:tcPr>
            <w:tcW w:w="78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91"/>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CCEEFF"/>
            </w:tcBorders>
            <w:shd w:val="clear" w:color="auto" w:fill="CCEEFF"/>
          </w:tcPr>
          <w:p>
            <w:pPr>
              <w:jc w:val="center"/>
              <w:ind w:left="914"/>
              <w:spacing w:after="0"/>
              <w:rPr>
                <w:sz w:val="20"/>
                <w:szCs w:val="20"/>
                <w:color w:val="auto"/>
              </w:rPr>
            </w:pPr>
            <w:r>
              <w:rPr>
                <w:rFonts w:ascii="Times New Roman" w:cs="Times New Roman" w:eastAsia="Times New Roman" w:hAnsi="Times New Roman"/>
                <w:sz w:val="14"/>
                <w:szCs w:val="14"/>
                <w:color w:val="auto"/>
              </w:rPr>
              <w:t>369,762</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center"/>
              <w:ind w:left="291"/>
              <w:spacing w:after="0"/>
              <w:rPr>
                <w:sz w:val="20"/>
                <w:szCs w:val="20"/>
                <w:color w:val="auto"/>
              </w:rPr>
            </w:pPr>
            <w:r>
              <w:rPr>
                <w:rFonts w:ascii="Times New Roman" w:cs="Times New Roman" w:eastAsia="Times New Roman" w:hAnsi="Times New Roman"/>
                <w:sz w:val="14"/>
                <w:szCs w:val="14"/>
                <w:color w:val="auto"/>
              </w:rPr>
              <w:t>290,067</w:t>
            </w:r>
          </w:p>
        </w:tc>
      </w:tr>
      <w:tr>
        <w:trPr>
          <w:trHeight w:val="193"/>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to deferred revenue</w:t>
            </w:r>
          </w:p>
        </w:tc>
        <w:tc>
          <w:tcPr>
            <w:tcW w:w="100" w:type="dxa"/>
            <w:vAlign w:val="bottom"/>
          </w:tcPr>
          <w:p>
            <w:pPr>
              <w:spacing w:after="0"/>
              <w:rPr>
                <w:sz w:val="16"/>
                <w:szCs w:val="16"/>
                <w:color w:val="auto"/>
              </w:rPr>
            </w:pPr>
          </w:p>
        </w:tc>
        <w:tc>
          <w:tcPr>
            <w:tcW w:w="1740" w:type="dxa"/>
            <w:vAlign w:val="bottom"/>
          </w:tcPr>
          <w:p>
            <w:pPr>
              <w:jc w:val="center"/>
              <w:ind w:left="914"/>
              <w:spacing w:after="0"/>
              <w:rPr>
                <w:sz w:val="20"/>
                <w:szCs w:val="20"/>
                <w:color w:val="auto"/>
              </w:rPr>
            </w:pPr>
            <w:r>
              <w:rPr>
                <w:rFonts w:ascii="Times New Roman" w:cs="Times New Roman" w:eastAsia="Times New Roman" w:hAnsi="Times New Roman"/>
                <w:sz w:val="14"/>
                <w:szCs w:val="14"/>
                <w:color w:val="auto"/>
              </w:rPr>
              <w:t>202,996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jc w:val="center"/>
              <w:ind w:left="291"/>
              <w:spacing w:after="0"/>
              <w:rPr>
                <w:sz w:val="20"/>
                <w:szCs w:val="20"/>
                <w:color w:val="auto"/>
              </w:rPr>
            </w:pPr>
            <w:r>
              <w:rPr>
                <w:rFonts w:ascii="Times New Roman" w:cs="Times New Roman" w:eastAsia="Times New Roman" w:hAnsi="Times New Roman"/>
                <w:sz w:val="14"/>
                <w:szCs w:val="14"/>
                <w:color w:val="auto"/>
              </w:rPr>
              <w:t>486,876</w:t>
            </w:r>
          </w:p>
        </w:tc>
      </w:tr>
      <w:tr>
        <w:trPr>
          <w:trHeight w:val="23"/>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Recognition of deferred revenue</w:t>
            </w:r>
          </w:p>
        </w:tc>
        <w:tc>
          <w:tcPr>
            <w:tcW w:w="1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center"/>
              <w:ind w:left="894"/>
              <w:spacing w:after="0"/>
              <w:rPr>
                <w:sz w:val="20"/>
                <w:szCs w:val="20"/>
                <w:color w:val="auto"/>
              </w:rPr>
            </w:pPr>
            <w:r>
              <w:rPr>
                <w:rFonts w:ascii="Times New Roman" w:cs="Times New Roman" w:eastAsia="Times New Roman" w:hAnsi="Times New Roman"/>
                <w:sz w:val="14"/>
                <w:szCs w:val="14"/>
                <w:color w:val="auto"/>
                <w:w w:val="98"/>
              </w:rPr>
              <w:t>(125,119)</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ind w:left="271"/>
              <w:spacing w:after="0"/>
              <w:rPr>
                <w:sz w:val="20"/>
                <w:szCs w:val="20"/>
                <w:color w:val="auto"/>
              </w:rPr>
            </w:pPr>
            <w:r>
              <w:rPr>
                <w:rFonts w:ascii="Times New Roman" w:cs="Times New Roman" w:eastAsia="Times New Roman" w:hAnsi="Times New Roman"/>
                <w:sz w:val="14"/>
                <w:szCs w:val="14"/>
                <w:color w:val="auto"/>
              </w:rPr>
              <w:t>(329,304)</w:t>
            </w:r>
          </w:p>
        </w:tc>
      </w:tr>
      <w:tr>
        <w:trPr>
          <w:trHeight w:val="20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top w:val="single" w:sz="8" w:color="auto"/>
              <w:bottom w:val="single" w:sz="8" w:color="auto"/>
            </w:tcBorders>
          </w:tcPr>
          <w:p>
            <w:pPr>
              <w:jc w:val="center"/>
              <w:ind w:left="914"/>
              <w:spacing w:after="0"/>
              <w:rPr>
                <w:sz w:val="20"/>
                <w:szCs w:val="20"/>
                <w:color w:val="auto"/>
              </w:rPr>
            </w:pPr>
            <w:r>
              <w:rPr>
                <w:rFonts w:ascii="Times New Roman" w:cs="Times New Roman" w:eastAsia="Times New Roman" w:hAnsi="Times New Roman"/>
                <w:sz w:val="14"/>
                <w:szCs w:val="14"/>
                <w:color w:val="auto"/>
              </w:rPr>
              <w:t>447,639</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center"/>
              <w:ind w:left="291"/>
              <w:spacing w:after="0"/>
              <w:rPr>
                <w:sz w:val="20"/>
                <w:szCs w:val="20"/>
                <w:color w:val="auto"/>
              </w:rPr>
            </w:pPr>
            <w:r>
              <w:rPr>
                <w:rFonts w:ascii="Times New Roman" w:cs="Times New Roman" w:eastAsia="Times New Roman" w:hAnsi="Times New Roman"/>
                <w:sz w:val="14"/>
                <w:szCs w:val="14"/>
                <w:color w:val="auto"/>
              </w:rPr>
              <w:t>447,639</w:t>
            </w:r>
          </w:p>
        </w:tc>
      </w:tr>
      <w:tr>
        <w:trPr>
          <w:trHeight w:val="20"/>
        </w:trPr>
        <w:tc>
          <w:tcPr>
            <w:tcW w:w="7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Remaining Performance Obligations</w:t>
      </w:r>
    </w:p>
    <w:p>
      <w:pPr>
        <w:spacing w:after="0" w:line="184" w:lineRule="exact"/>
        <w:rPr>
          <w:sz w:val="20"/>
          <w:szCs w:val="20"/>
          <w:color w:val="auto"/>
        </w:rPr>
      </w:pPr>
    </w:p>
    <w:p>
      <w:pPr>
        <w:ind w:right="80" w:firstLine="517"/>
        <w:spacing w:after="0" w:line="273" w:lineRule="auto"/>
        <w:rPr>
          <w:sz w:val="20"/>
          <w:szCs w:val="20"/>
          <w:color w:val="auto"/>
        </w:rPr>
      </w:pPr>
      <w:r>
        <w:rPr>
          <w:rFonts w:ascii="Times New Roman" w:cs="Times New Roman" w:eastAsia="Times New Roman" w:hAnsi="Times New Roman"/>
          <w:sz w:val="14"/>
          <w:szCs w:val="14"/>
          <w:color w:val="auto"/>
        </w:rPr>
        <w:t>The Company’s subscription contracts with its customers have a typical term of one to three years and most subscription contracts are non-cancelable. Customers typically have the right to terminate their contracts for cause as a result of the Company’s failure to perform. As of October 31, 2019, the aggregate amount of the transaction price allocated to remaining performance obligations was $577.2 million. The Company expects to recognize 71% of the remaining performance obligations in the 12 months following October 31, 2019, with the remainder to be recognized thereafter.</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Costs to Obtain and Fulfill a Contract</w:t>
      </w:r>
    </w:p>
    <w:p>
      <w:pPr>
        <w:spacing w:after="0" w:line="184" w:lineRule="exact"/>
        <w:rPr>
          <w:sz w:val="20"/>
          <w:szCs w:val="20"/>
          <w:color w:val="auto"/>
        </w:rPr>
      </w:pPr>
    </w:p>
    <w:p>
      <w:pPr>
        <w:ind w:right="520" w:firstLine="517"/>
        <w:spacing w:after="0" w:line="294" w:lineRule="auto"/>
        <w:rPr>
          <w:sz w:val="20"/>
          <w:szCs w:val="20"/>
          <w:color w:val="auto"/>
        </w:rPr>
      </w:pPr>
      <w:r>
        <w:rPr>
          <w:rFonts w:ascii="Times New Roman" w:cs="Times New Roman" w:eastAsia="Times New Roman" w:hAnsi="Times New Roman"/>
          <w:sz w:val="14"/>
          <w:szCs w:val="14"/>
          <w:color w:val="auto"/>
        </w:rPr>
        <w:t>The Company capitalizes sales commission and associated payroll taxes paid to internal sales personnel that are incremental to the acquisition of channel partner and direct customer contracts and would not have occurred absent the customer contract. These costs are recorded as deferred contract acquisition costs on the condensed consolidated balance sheet.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60" w:firstLine="517"/>
        <w:spacing w:after="0" w:line="262" w:lineRule="auto"/>
        <w:rPr>
          <w:sz w:val="20"/>
          <w:szCs w:val="20"/>
          <w:color w:val="auto"/>
        </w:rPr>
      </w:pPr>
      <w:r>
        <w:rPr>
          <w:rFonts w:ascii="Times New Roman" w:cs="Times New Roman" w:eastAsia="Times New Roman" w:hAnsi="Times New Roman"/>
          <w:sz w:val="14"/>
          <w:szCs w:val="14"/>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channel partners, paid upon the initial acquisition of a contract or subsequent upsell are amortized over an estimated period of benefit of four years while commissions paid for renewal contracts are amortized over the contractual term of the renewals. Sales commissions associated with professional service contracts are amortized ratably over an estimated period of benefit of six months and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impairment losses of deferred contract acquisition costs during the three and nine months ended October 31, 2019.</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activity of deferred contract acquisition costs: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00" w:type="dxa"/>
            <w:vAlign w:val="bottom"/>
            <w:gridSpan w:val="5"/>
          </w:tcPr>
          <w:p>
            <w:pPr>
              <w:ind w:left="22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420" w:type="dxa"/>
            <w:vAlign w:val="bottom"/>
          </w:tcPr>
          <w:p>
            <w:pPr>
              <w:spacing w:after="0"/>
              <w:rPr>
                <w:sz w:val="13"/>
                <w:szCs w:val="13"/>
                <w:color w:val="auto"/>
              </w:rPr>
            </w:pPr>
          </w:p>
        </w:tc>
        <w:tc>
          <w:tcPr>
            <w:tcW w:w="2300" w:type="dxa"/>
            <w:vAlign w:val="bottom"/>
            <w:gridSpan w:val="4"/>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r>
      <w:tr>
        <w:trPr>
          <w:trHeight w:val="152"/>
        </w:trPr>
        <w:tc>
          <w:tcPr>
            <w:tcW w:w="592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Borders>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52"/>
        </w:trPr>
        <w:tc>
          <w:tcPr>
            <w:tcW w:w="5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3"/>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75,783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24,641</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center"/>
              <w:ind w:left="131"/>
              <w:spacing w:after="0"/>
              <w:rPr>
                <w:sz w:val="20"/>
                <w:szCs w:val="20"/>
                <w:color w:val="auto"/>
              </w:rPr>
            </w:pPr>
            <w:r>
              <w:rPr>
                <w:rFonts w:ascii="Times New Roman" w:cs="Times New Roman" w:eastAsia="Times New Roman" w:hAnsi="Times New Roman"/>
                <w:sz w:val="14"/>
                <w:szCs w:val="14"/>
                <w:color w:val="auto"/>
              </w:rPr>
              <w:t>38,765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22,334</w:t>
            </w:r>
          </w:p>
        </w:tc>
      </w:tr>
      <w:tr>
        <w:trPr>
          <w:trHeight w:val="19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due to adoption of ASU 606</w:t>
            </w:r>
          </w:p>
        </w:tc>
        <w:tc>
          <w:tcPr>
            <w:tcW w:w="30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80" w:type="dxa"/>
            <w:vAlign w:val="bottom"/>
          </w:tcPr>
          <w:p>
            <w:pPr>
              <w:jc w:val="center"/>
              <w:ind w:left="131"/>
              <w:spacing w:after="0"/>
              <w:rPr>
                <w:sz w:val="20"/>
                <w:szCs w:val="20"/>
                <w:color w:val="auto"/>
              </w:rPr>
            </w:pPr>
            <w:r>
              <w:rPr>
                <w:rFonts w:ascii="Times New Roman" w:cs="Times New Roman" w:eastAsia="Times New Roman" w:hAnsi="Times New Roman"/>
                <w:sz w:val="14"/>
                <w:szCs w:val="14"/>
                <w:color w:val="auto"/>
              </w:rPr>
              <w:t>24,306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Capitalization of contract acquisition costs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27,450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13,233</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ind w:left="131"/>
              <w:spacing w:after="0"/>
              <w:rPr>
                <w:sz w:val="20"/>
                <w:szCs w:val="20"/>
                <w:color w:val="auto"/>
              </w:rPr>
            </w:pPr>
            <w:r>
              <w:rPr>
                <w:rFonts w:ascii="Times New Roman" w:cs="Times New Roman" w:eastAsia="Times New Roman" w:hAnsi="Times New Roman"/>
                <w:sz w:val="14"/>
                <w:szCs w:val="14"/>
                <w:color w:val="auto"/>
              </w:rPr>
              <w:t>55,238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27,531</w:t>
            </w:r>
          </w:p>
        </w:tc>
      </w:tr>
      <w:tr>
        <w:trPr>
          <w:trHeight w:val="19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deferred contract acquisition costs</w:t>
            </w:r>
          </w:p>
        </w:tc>
        <w:tc>
          <w:tcPr>
            <w:tcW w:w="300" w:type="dxa"/>
            <w:vAlign w:val="bottom"/>
          </w:tcPr>
          <w:p>
            <w:pPr>
              <w:spacing w:after="0"/>
              <w:rPr>
                <w:sz w:val="16"/>
                <w:szCs w:val="16"/>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(9,049)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(7,321)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(24,125)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(19,312)</w:t>
            </w:r>
          </w:p>
        </w:tc>
      </w:tr>
      <w:tr>
        <w:trPr>
          <w:trHeight w:val="23"/>
        </w:trPr>
        <w:tc>
          <w:tcPr>
            <w:tcW w:w="5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1"/>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94,184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30,553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center"/>
              <w:ind w:left="131"/>
              <w:spacing w:after="0"/>
              <w:rPr>
                <w:sz w:val="20"/>
                <w:szCs w:val="20"/>
                <w:color w:val="auto"/>
              </w:rPr>
            </w:pPr>
            <w:r>
              <w:rPr>
                <w:rFonts w:ascii="Times New Roman" w:cs="Times New Roman" w:eastAsia="Times New Roman" w:hAnsi="Times New Roman"/>
                <w:sz w:val="14"/>
                <w:szCs w:val="14"/>
                <w:color w:val="auto"/>
              </w:rPr>
              <w:t>94,184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30,553</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15"/>
        </w:trPr>
        <w:tc>
          <w:tcPr>
            <w:tcW w:w="5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96"/>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contract acquisition costs, current</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35,924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22,022</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center"/>
              <w:ind w:left="131"/>
              <w:spacing w:after="0"/>
              <w:rPr>
                <w:sz w:val="20"/>
                <w:szCs w:val="20"/>
                <w:color w:val="auto"/>
              </w:rPr>
            </w:pPr>
            <w:r>
              <w:rPr>
                <w:rFonts w:ascii="Times New Roman" w:cs="Times New Roman" w:eastAsia="Times New Roman" w:hAnsi="Times New Roman"/>
                <w:sz w:val="14"/>
                <w:szCs w:val="14"/>
                <w:color w:val="auto"/>
              </w:rPr>
              <w:t>35,924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22,022</w:t>
            </w:r>
          </w:p>
        </w:tc>
      </w:tr>
      <w:tr>
        <w:trPr>
          <w:trHeight w:val="19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contract acquisition costs, noncurrent</w:t>
            </w:r>
          </w:p>
        </w:tc>
        <w:tc>
          <w:tcPr>
            <w:tcW w:w="300" w:type="dxa"/>
            <w:vAlign w:val="bottom"/>
          </w:tcPr>
          <w:p>
            <w:pPr>
              <w:spacing w:after="0"/>
              <w:rPr>
                <w:sz w:val="16"/>
                <w:szCs w:val="16"/>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58,260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8,531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center"/>
              <w:ind w:left="131"/>
              <w:spacing w:after="0"/>
              <w:rPr>
                <w:sz w:val="20"/>
                <w:szCs w:val="20"/>
                <w:color w:val="auto"/>
              </w:rPr>
            </w:pPr>
            <w:r>
              <w:rPr>
                <w:rFonts w:ascii="Times New Roman" w:cs="Times New Roman" w:eastAsia="Times New Roman" w:hAnsi="Times New Roman"/>
                <w:sz w:val="14"/>
                <w:szCs w:val="14"/>
                <w:color w:val="auto"/>
              </w:rPr>
              <w:t>58,260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8,531</w:t>
            </w:r>
          </w:p>
        </w:tc>
      </w:tr>
      <w:tr>
        <w:trPr>
          <w:trHeight w:val="23"/>
        </w:trPr>
        <w:tc>
          <w:tcPr>
            <w:tcW w:w="5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1"/>
        </w:trPr>
        <w:tc>
          <w:tcPr>
            <w:tcW w:w="5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deferred contract acquisition costs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94,184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30,553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center"/>
              <w:ind w:left="131"/>
              <w:spacing w:after="0"/>
              <w:rPr>
                <w:sz w:val="20"/>
                <w:szCs w:val="20"/>
                <w:color w:val="auto"/>
              </w:rPr>
            </w:pPr>
            <w:r>
              <w:rPr>
                <w:rFonts w:ascii="Times New Roman" w:cs="Times New Roman" w:eastAsia="Times New Roman" w:hAnsi="Times New Roman"/>
                <w:sz w:val="14"/>
                <w:szCs w:val="14"/>
                <w:color w:val="auto"/>
              </w:rPr>
              <w:t>94,184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30,553</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11. Commitments and Contingencies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Lease Commitments</w:t>
      </w:r>
    </w:p>
    <w:p>
      <w:pPr>
        <w:spacing w:after="0" w:line="21" w:lineRule="exact"/>
        <w:rPr>
          <w:sz w:val="20"/>
          <w:szCs w:val="20"/>
          <w:color w:val="auto"/>
        </w:rPr>
      </w:pPr>
    </w:p>
    <w:p>
      <w:pPr>
        <w:ind w:right="440" w:firstLine="517"/>
        <w:spacing w:after="0" w:line="239" w:lineRule="auto"/>
        <w:rPr>
          <w:sz w:val="20"/>
          <w:szCs w:val="20"/>
          <w:color w:val="auto"/>
        </w:rPr>
      </w:pPr>
      <w:r>
        <w:rPr>
          <w:rFonts w:ascii="Times New Roman" w:cs="Times New Roman" w:eastAsia="Times New Roman" w:hAnsi="Times New Roman"/>
          <w:sz w:val="14"/>
          <w:szCs w:val="14"/>
          <w:color w:val="auto"/>
        </w:rPr>
        <w:t>The Company leases its office space under various non-cancelable operating lease agreements. Leases expire at various dates through fiscal year 2027. The aggregate future minimum payments under non-cancelable operating leases as of October 31, 2019 were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rPr>
              <w:t>Operating</w:t>
            </w:r>
          </w:p>
        </w:tc>
      </w:tr>
      <w:tr>
        <w:trPr>
          <w:trHeight w:val="155"/>
        </w:trPr>
        <w:tc>
          <w:tcPr>
            <w:tcW w:w="10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rPr>
              <w:t>Leases</w:t>
            </w:r>
          </w:p>
        </w:tc>
      </w:tr>
      <w:tr>
        <w:trPr>
          <w:trHeight w:val="152"/>
        </w:trPr>
        <w:tc>
          <w:tcPr>
            <w:tcW w:w="10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200"/>
        </w:trPr>
        <w:tc>
          <w:tcPr>
            <w:tcW w:w="10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2020 (remaining three months)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2,141</w:t>
            </w:r>
          </w:p>
        </w:tc>
      </w:tr>
      <w:tr>
        <w:trPr>
          <w:trHeight w:val="193"/>
        </w:trPr>
        <w:tc>
          <w:tcPr>
            <w:tcW w:w="10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2021</w:t>
            </w:r>
          </w:p>
        </w:tc>
        <w:tc>
          <w:tcPr>
            <w:tcW w:w="200" w:type="dxa"/>
            <w:vAlign w:val="bottom"/>
          </w:tcPr>
          <w:p>
            <w:pPr>
              <w:spacing w:after="0"/>
              <w:rPr>
                <w:sz w:val="16"/>
                <w:szCs w:val="16"/>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9,121</w:t>
            </w:r>
          </w:p>
        </w:tc>
      </w:tr>
      <w:tr>
        <w:trPr>
          <w:trHeight w:val="23"/>
        </w:trPr>
        <w:tc>
          <w:tcPr>
            <w:tcW w:w="10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2022</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8,868</w:t>
            </w:r>
          </w:p>
        </w:tc>
      </w:tr>
      <w:tr>
        <w:trPr>
          <w:trHeight w:val="193"/>
        </w:trPr>
        <w:tc>
          <w:tcPr>
            <w:tcW w:w="10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2023</w:t>
            </w:r>
          </w:p>
        </w:tc>
        <w:tc>
          <w:tcPr>
            <w:tcW w:w="200" w:type="dxa"/>
            <w:vAlign w:val="bottom"/>
          </w:tcPr>
          <w:p>
            <w:pPr>
              <w:spacing w:after="0"/>
              <w:rPr>
                <w:sz w:val="16"/>
                <w:szCs w:val="16"/>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8,488</w:t>
            </w:r>
          </w:p>
        </w:tc>
      </w:tr>
      <w:tr>
        <w:trPr>
          <w:trHeight w:val="23"/>
        </w:trPr>
        <w:tc>
          <w:tcPr>
            <w:tcW w:w="10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2024</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8,452</w:t>
            </w:r>
          </w:p>
        </w:tc>
      </w:tr>
      <w:tr>
        <w:trPr>
          <w:trHeight w:val="193"/>
        </w:trPr>
        <w:tc>
          <w:tcPr>
            <w:tcW w:w="10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00" w:type="dxa"/>
            <w:vAlign w:val="bottom"/>
          </w:tcPr>
          <w:p>
            <w:pPr>
              <w:spacing w:after="0"/>
              <w:rPr>
                <w:sz w:val="16"/>
                <w:szCs w:val="16"/>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10,441</w:t>
            </w:r>
          </w:p>
        </w:tc>
      </w:tr>
      <w:tr>
        <w:trPr>
          <w:trHeight w:val="23"/>
        </w:trPr>
        <w:tc>
          <w:tcPr>
            <w:tcW w:w="10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1"/>
        </w:trPr>
        <w:tc>
          <w:tcPr>
            <w:tcW w:w="10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47,511</w:t>
            </w:r>
          </w:p>
        </w:tc>
      </w:tr>
      <w:tr>
        <w:trPr>
          <w:trHeight w:val="20"/>
        </w:trPr>
        <w:tc>
          <w:tcPr>
            <w:tcW w:w="10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right="420" w:firstLine="517"/>
        <w:spacing w:after="0" w:line="294" w:lineRule="auto"/>
        <w:rPr>
          <w:sz w:val="20"/>
          <w:szCs w:val="20"/>
          <w:color w:val="auto"/>
        </w:rPr>
      </w:pPr>
      <w:r>
        <w:rPr>
          <w:rFonts w:ascii="Times New Roman" w:cs="Times New Roman" w:eastAsia="Times New Roman" w:hAnsi="Times New Roman"/>
          <w:sz w:val="14"/>
          <w:szCs w:val="14"/>
          <w:color w:val="auto"/>
        </w:rPr>
        <w:t>Rent expense was $3.1 million and $1.8 million during the three months ended October 31, 2019 and October 31, 2018, respectively, and $7.1 million and $5.0 million during the nine months ended October 31, 2019 and October 31, 2018, respectively.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Purchase Obligations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enters into long-term non-cancelable agreements with providers to purchase data center capacity, such as bandwidth and colocation space, for the Company’s cloud platform.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October 31, 2019, the Company is committed to spend $188.5 million on such agreements through 2027. These obligations are included in purchase obligations below.</w:t>
      </w:r>
    </w:p>
    <w:p>
      <w:pPr>
        <w:spacing w:after="0" w:line="170" w:lineRule="exact"/>
        <w:rPr>
          <w:sz w:val="20"/>
          <w:szCs w:val="20"/>
          <w:color w:val="auto"/>
        </w:rPr>
      </w:pPr>
    </w:p>
    <w:p>
      <w:pPr>
        <w:ind w:right="360" w:firstLine="517"/>
        <w:spacing w:after="0" w:line="285" w:lineRule="auto"/>
        <w:rPr>
          <w:sz w:val="20"/>
          <w:szCs w:val="20"/>
          <w:color w:val="auto"/>
        </w:rPr>
      </w:pPr>
      <w:r>
        <w:rPr>
          <w:rFonts w:ascii="Times New Roman" w:cs="Times New Roman" w:eastAsia="Times New Roman" w:hAnsi="Times New Roman"/>
          <w:sz w:val="14"/>
          <w:szCs w:val="14"/>
          <w:color w:val="auto"/>
        </w:rPr>
        <w:t>In the normal course of business, the Company enters into non-cancelable purchase commitments with various parties to purchase products and services such as technology, equipment, office renovations, corporate events, and consulting services. A summary of noncancelable purchase obligations as of October 31, 2019 with expected date of payment is as follows:</w:t>
      </w:r>
    </w:p>
    <w:tbl>
      <w:tblPr>
        <w:tblLayout w:type="fixed"/>
        <w:tblInd w:w="0" w:type="dxa"/>
        <w:tblCellMar>
          <w:top w:w="0" w:type="dxa"/>
          <w:left w:w="0" w:type="dxa"/>
          <w:bottom w:w="0" w:type="dxa"/>
          <w:right w:w="0" w:type="dxa"/>
        </w:tblCellMar>
      </w:tblPr>
      <w:tr>
        <w:trPr>
          <w:trHeight w:val="119"/>
        </w:trPr>
        <w:tc>
          <w:tcPr>
            <w:tcW w:w="10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right"/>
              <w:ind w:right="472"/>
              <w:spacing w:after="0" w:line="120"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10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Commitments</w:t>
            </w:r>
          </w:p>
        </w:tc>
      </w:tr>
      <w:tr>
        <w:trPr>
          <w:trHeight w:val="152"/>
        </w:trPr>
        <w:tc>
          <w:tcPr>
            <w:tcW w:w="10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200"/>
        </w:trPr>
        <w:tc>
          <w:tcPr>
            <w:tcW w:w="10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2020 (remaining three months)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27,077</w:t>
            </w:r>
          </w:p>
        </w:tc>
      </w:tr>
      <w:tr>
        <w:trPr>
          <w:trHeight w:val="193"/>
        </w:trPr>
        <w:tc>
          <w:tcPr>
            <w:tcW w:w="10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2021</w:t>
            </w:r>
          </w:p>
        </w:tc>
        <w:tc>
          <w:tcPr>
            <w:tcW w:w="200" w:type="dxa"/>
            <w:vAlign w:val="bottom"/>
          </w:tcPr>
          <w:p>
            <w:pPr>
              <w:spacing w:after="0"/>
              <w:rPr>
                <w:sz w:val="16"/>
                <w:szCs w:val="16"/>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83,148</w:t>
            </w:r>
          </w:p>
        </w:tc>
      </w:tr>
      <w:tr>
        <w:trPr>
          <w:trHeight w:val="23"/>
        </w:trPr>
        <w:tc>
          <w:tcPr>
            <w:tcW w:w="10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2022</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92,786</w:t>
            </w:r>
          </w:p>
        </w:tc>
      </w:tr>
      <w:tr>
        <w:trPr>
          <w:trHeight w:val="193"/>
        </w:trPr>
        <w:tc>
          <w:tcPr>
            <w:tcW w:w="10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2023</w:t>
            </w:r>
          </w:p>
        </w:tc>
        <w:tc>
          <w:tcPr>
            <w:tcW w:w="200" w:type="dxa"/>
            <w:vAlign w:val="bottom"/>
          </w:tcPr>
          <w:p>
            <w:pPr>
              <w:spacing w:after="0"/>
              <w:rPr>
                <w:sz w:val="16"/>
                <w:szCs w:val="16"/>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10,930</w:t>
            </w:r>
          </w:p>
        </w:tc>
      </w:tr>
      <w:tr>
        <w:trPr>
          <w:trHeight w:val="23"/>
        </w:trPr>
        <w:tc>
          <w:tcPr>
            <w:tcW w:w="10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2024</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8,125</w:t>
            </w:r>
          </w:p>
        </w:tc>
      </w:tr>
      <w:tr>
        <w:trPr>
          <w:trHeight w:val="193"/>
        </w:trPr>
        <w:tc>
          <w:tcPr>
            <w:tcW w:w="10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00" w:type="dxa"/>
            <w:vAlign w:val="bottom"/>
          </w:tcPr>
          <w:p>
            <w:pPr>
              <w:spacing w:after="0"/>
              <w:rPr>
                <w:sz w:val="16"/>
                <w:szCs w:val="16"/>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4,419</w:t>
            </w:r>
          </w:p>
        </w:tc>
      </w:tr>
      <w:tr>
        <w:trPr>
          <w:trHeight w:val="23"/>
        </w:trPr>
        <w:tc>
          <w:tcPr>
            <w:tcW w:w="10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1"/>
        </w:trPr>
        <w:tc>
          <w:tcPr>
            <w:tcW w:w="10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purchase commitments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226,485</w:t>
            </w:r>
          </w:p>
        </w:tc>
      </w:tr>
      <w:tr>
        <w:trPr>
          <w:trHeight w:val="20"/>
        </w:trPr>
        <w:tc>
          <w:tcPr>
            <w:tcW w:w="10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Letters of Credit</w:t>
      </w:r>
    </w:p>
    <w:p>
      <w:pPr>
        <w:spacing w:after="0" w:line="188" w:lineRule="exact"/>
        <w:rPr>
          <w:sz w:val="20"/>
          <w:szCs w:val="20"/>
          <w:color w:val="auto"/>
        </w:rPr>
      </w:pPr>
    </w:p>
    <w:p>
      <w:pPr>
        <w:ind w:right="20" w:firstLine="517"/>
        <w:spacing w:after="0" w:line="287" w:lineRule="auto"/>
        <w:rPr>
          <w:sz w:val="20"/>
          <w:szCs w:val="20"/>
          <w:color w:val="auto"/>
        </w:rPr>
      </w:pPr>
      <w:r>
        <w:rPr>
          <w:rFonts w:ascii="Times New Roman" w:cs="Times New Roman" w:eastAsia="Times New Roman" w:hAnsi="Times New Roman"/>
          <w:sz w:val="14"/>
          <w:szCs w:val="14"/>
          <w:color w:val="auto"/>
        </w:rPr>
        <w:t>As of October 31, 2019 and January 31, 2019, the Company had an unused standby letter of credit for $0.6 million and $0.5 million, respectively, securing its headquarters facility in Sunnyvale, California. As of October 31, 2019 and January 31, 2019, the Company had an unused standby letter of credit for $1.0 million and $0.8 million, respectively, securing its facility in Austin, Texas.</w:t>
      </w:r>
    </w:p>
    <w:p>
      <w:pPr>
        <w:spacing w:after="0" w:line="3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Litigation</w:t>
      </w:r>
    </w:p>
    <w:p>
      <w:pPr>
        <w:spacing w:after="0" w:line="188" w:lineRule="exact"/>
        <w:rPr>
          <w:sz w:val="20"/>
          <w:szCs w:val="20"/>
          <w:color w:val="auto"/>
        </w:rPr>
      </w:pPr>
    </w:p>
    <w:p>
      <w:pPr>
        <w:ind w:firstLine="517"/>
        <w:spacing w:after="0" w:line="246" w:lineRule="auto"/>
        <w:rPr>
          <w:sz w:val="20"/>
          <w:szCs w:val="20"/>
          <w:color w:val="auto"/>
        </w:rPr>
      </w:pPr>
      <w:r>
        <w:rPr>
          <w:rFonts w:ascii="Times New Roman" w:cs="Times New Roman" w:eastAsia="Times New Roman" w:hAnsi="Times New Roman"/>
          <w:sz w:val="14"/>
          <w:szCs w:val="14"/>
          <w:color w:val="auto"/>
        </w:rPr>
        <w:t>The Company is currently involved in proceedings before the Trademark Trial and Appeal Board at the U.S. Patent and Trademark Office (the “USPTO”) regarding its U.S. trademark registrations for “CrowdStrike Falcon” and its U.S. application to register its “Falcon OverWatch” trademark. On November 23, 2016, Fair Isaac Corporation (“FICO”) filed a Petition for Cancellation of the Company’s “CrowdStrike Falcon” trademark registrations and a Notice of Opposition against the Company’s “Falcon OverWatch” trademark application before the USPTO, Trademark Trial and Appeal Board (“TTAB”). On January 3, 2017, the Company filed answers to both the cancellation and opposition proceedings, and the proceedings thereafter were consolidated. On November 21, 2018, the Company filed a Petition for Partial Cancellation or Amendment of one of FICO’s “Falcon” trademark registrations, and on December 10, 2018, the parties filed a joint request to consolidate the proceedings and adjust the schedule. On January 16, 2019, FICO moved to dismiss the Company’s petition, and the TTAB thereafter suspended all proceedings pending its ruling on the motions. On July 2, 2019, the TTAB issued an order granting the request to consolidate the proceedings and granting the motion to dismiss with leave to file an amended petition by July 22, 2019. The Company filed its Amended Petition for Cancellation or Amendment on July 22, 2019. On August 12, 2019, FICO moved to dismiss the Company’s Amended Petition for Cancellation. On October 1, 2019, the TTAB issued an order confirming that all proceedings were suspended as of August 12, 2019, pending disposition of the motion to dismiss. The Company is vigorously defending the case, but given the early stage, although a loss may reasonably be possible, the Company is unable to predict the likelihood of success of Fair Isaac’s claims or estimate a loss or range of loss. As a result, no liability has been recorded as of October 31, 2019 or January 31, 2019.</w:t>
      </w:r>
    </w:p>
    <w:p>
      <w:pPr>
        <w:spacing w:after="0" w:line="146" w:lineRule="exact"/>
        <w:rPr>
          <w:sz w:val="20"/>
          <w:szCs w:val="20"/>
          <w:color w:val="auto"/>
        </w:rPr>
      </w:pPr>
    </w:p>
    <w:p>
      <w:pPr>
        <w:ind w:right="20" w:firstLine="517"/>
        <w:spacing w:after="0" w:line="264" w:lineRule="auto"/>
        <w:rPr>
          <w:sz w:val="20"/>
          <w:szCs w:val="20"/>
          <w:color w:val="auto"/>
        </w:rPr>
      </w:pPr>
      <w:r>
        <w:rPr>
          <w:rFonts w:ascii="Times New Roman" w:cs="Times New Roman" w:eastAsia="Times New Roman" w:hAnsi="Times New Roman"/>
          <w:sz w:val="14"/>
          <w:szCs w:val="14"/>
          <w:color w:val="auto"/>
        </w:rPr>
        <w:t>In addition, from time to time the Company is a party to various litigation matters and subject to claims that arise in the ordinary course of business. In addition, third parties may from time to time assert claims against the Company in the form of letters and other communications. For any claims for which the Company believes a liability is both probable and reasonably estimable, the Company records a liability in the period for which it makes this determination. There is no pending or threatened legal proceeding to which the Company is a party that, in the Company’s opinion, is likely to have a material adverse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expense of litigation and the timing of this expense from period to period are difficult to estimate, subject to change and could adversely affect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Warranties and Indemnification</w:t>
      </w:r>
    </w:p>
    <w:p>
      <w:pPr>
        <w:spacing w:after="0" w:line="188" w:lineRule="exact"/>
        <w:rPr>
          <w:sz w:val="20"/>
          <w:szCs w:val="20"/>
          <w:color w:val="auto"/>
        </w:rPr>
      </w:pPr>
    </w:p>
    <w:p>
      <w:pPr>
        <w:ind w:right="600" w:firstLine="517"/>
        <w:spacing w:after="0" w:line="294" w:lineRule="auto"/>
        <w:rPr>
          <w:sz w:val="20"/>
          <w:szCs w:val="20"/>
          <w:color w:val="auto"/>
        </w:rPr>
      </w:pPr>
      <w:r>
        <w:rPr>
          <w:rFonts w:ascii="Times New Roman" w:cs="Times New Roman" w:eastAsia="Times New Roman" w:hAnsi="Times New Roman"/>
          <w:sz w:val="14"/>
          <w:szCs w:val="14"/>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w:t>
      </w:r>
    </w:p>
    <w:p>
      <w:pPr>
        <w:spacing w:after="0" w:line="123" w:lineRule="exact"/>
        <w:rPr>
          <w:sz w:val="20"/>
          <w:szCs w:val="20"/>
          <w:color w:val="auto"/>
        </w:rPr>
      </w:pPr>
    </w:p>
    <w:p>
      <w:pPr>
        <w:ind w:right="80" w:firstLine="517"/>
        <w:spacing w:after="0" w:line="269" w:lineRule="auto"/>
        <w:rPr>
          <w:sz w:val="20"/>
          <w:szCs w:val="20"/>
          <w:color w:val="auto"/>
        </w:rPr>
      </w:pPr>
      <w:r>
        <w:rPr>
          <w:rFonts w:ascii="Times New Roman" w:cs="Times New Roman" w:eastAsia="Times New Roman" w:hAnsi="Times New Roman"/>
          <w:sz w:val="14"/>
          <w:szCs w:val="14"/>
          <w:color w:val="auto"/>
        </w:rPr>
        <w:t>The Company’s arrangements generally include certain provisions for indemnifying customers against liabilities if its products or services infringe a third party’s intellectual property rights. In addition, for its Falcon Complete module customers, the Company offers a limited warranty, subject to certain conditions, to cover certain costs incurred by the customer in case of a cybersecurity breach. The Company has entered into an insurance policy to cover its potential liability arising from this limited warranty arrangement. To date, the Company has not incurred any material costs because of such obligations and has not accrued any liabilities related to such obligations in the condensed consolidated financial statements.</w:t>
      </w:r>
    </w:p>
    <w:p>
      <w:pPr>
        <w:spacing w:after="0" w:line="140" w:lineRule="exact"/>
        <w:rPr>
          <w:sz w:val="20"/>
          <w:szCs w:val="20"/>
          <w:color w:val="auto"/>
        </w:rPr>
      </w:pPr>
    </w:p>
    <w:p>
      <w:pPr>
        <w:ind w:right="40" w:firstLine="517"/>
        <w:spacing w:after="0" w:line="264" w:lineRule="auto"/>
        <w:rPr>
          <w:sz w:val="20"/>
          <w:szCs w:val="20"/>
          <w:color w:val="auto"/>
        </w:rPr>
      </w:pPr>
      <w:r>
        <w:rPr>
          <w:rFonts w:ascii="Times New Roman" w:cs="Times New Roman" w:eastAsia="Times New Roman" w:hAnsi="Times New Roman"/>
          <w:sz w:val="14"/>
          <w:szCs w:val="14"/>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October 31, 2019 or January 31, 2019.</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12. Geographic Information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long-lived assets are composed of property and equipment, net, and are summarized by geographic area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October 31,</w:t>
            </w:r>
          </w:p>
        </w:tc>
        <w:tc>
          <w:tcPr>
            <w:tcW w:w="180" w:type="dxa"/>
            <w:vAlign w:val="bottom"/>
          </w:tcPr>
          <w:p>
            <w:pPr>
              <w:spacing w:after="0"/>
              <w:rPr>
                <w:sz w:val="11"/>
                <w:szCs w:val="11"/>
                <w:color w:val="auto"/>
              </w:rPr>
            </w:pPr>
          </w:p>
        </w:tc>
        <w:tc>
          <w:tcPr>
            <w:tcW w:w="1000" w:type="dxa"/>
            <w:vAlign w:val="bottom"/>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January 31,</w:t>
            </w:r>
          </w:p>
        </w:tc>
      </w:tr>
      <w:tr>
        <w:trPr>
          <w:trHeight w:val="155"/>
        </w:trPr>
        <w:tc>
          <w:tcPr>
            <w:tcW w:w="89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52"/>
        </w:trPr>
        <w:tc>
          <w:tcPr>
            <w:tcW w:w="8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gridSpan w:val="4"/>
          </w:tcPr>
          <w:p>
            <w:pPr>
              <w:jc w:val="right"/>
              <w:ind w:right="814"/>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20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119,760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70,699</w:t>
            </w:r>
          </w:p>
        </w:tc>
      </w:tr>
      <w:tr>
        <w:trPr>
          <w:trHeight w:val="193"/>
        </w:trPr>
        <w:tc>
          <w:tcPr>
            <w:tcW w:w="8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200" w:type="dxa"/>
            <w:vAlign w:val="bottom"/>
          </w:tcPr>
          <w:p>
            <w:pPr>
              <w:spacing w:after="0"/>
              <w:rPr>
                <w:sz w:val="16"/>
                <w:szCs w:val="16"/>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9,744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3,036</w:t>
            </w:r>
          </w:p>
        </w:tc>
      </w:tr>
      <w:tr>
        <w:trPr>
          <w:trHeight w:val="23"/>
        </w:trPr>
        <w:tc>
          <w:tcPr>
            <w:tcW w:w="8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1"/>
        </w:trPr>
        <w:tc>
          <w:tcPr>
            <w:tcW w:w="8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129,504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73,735</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Other than the United States, no other country represented 10% or more of our total property and equipment as of October 31, 2019 or January 31, 2019.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13. Related Party Transactions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Subscription and Professional Services Revenue from Related Parties</w:t>
      </w:r>
    </w:p>
    <w:p>
      <w:pPr>
        <w:spacing w:after="0" w:line="188" w:lineRule="exact"/>
        <w:rPr>
          <w:sz w:val="20"/>
          <w:szCs w:val="20"/>
          <w:color w:val="auto"/>
        </w:rPr>
      </w:pPr>
    </w:p>
    <w:p>
      <w:pPr>
        <w:ind w:firstLine="517"/>
        <w:spacing w:after="0" w:line="269" w:lineRule="auto"/>
        <w:rPr>
          <w:sz w:val="20"/>
          <w:szCs w:val="20"/>
          <w:color w:val="auto"/>
        </w:rPr>
      </w:pPr>
      <w:r>
        <w:rPr>
          <w:rFonts w:ascii="Times New Roman" w:cs="Times New Roman" w:eastAsia="Times New Roman" w:hAnsi="Times New Roman"/>
          <w:sz w:val="14"/>
          <w:szCs w:val="14"/>
          <w:color w:val="auto"/>
        </w:rPr>
        <w:t>During the three and nine months ended October 31, 2019 and 2018, certain investors and companies with whom the Company’s Board of Directors are affiliated purchased subscriptions and professional services. The Company recorded revenue from subscriptions and professional services from related parties of $2.2 million and $1.6 million during the three months ended October 31, 2019 and October 31, 2018, respectively, and $6.8 million and $4.3 million during the nine months ended October 31, 2019 and October 31, 2018. Accounts receivable associated with these related parties was $8.0 million and $0.2 million as of October 31, 2019 and January 31, 2019, respectively.</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Accounts Payable to Related Parties</w:t>
      </w:r>
    </w:p>
    <w:p>
      <w:pPr>
        <w:spacing w:after="0" w:line="188" w:lineRule="exact"/>
        <w:rPr>
          <w:sz w:val="20"/>
          <w:szCs w:val="20"/>
          <w:color w:val="auto"/>
        </w:rPr>
      </w:pPr>
    </w:p>
    <w:p>
      <w:pPr>
        <w:ind w:right="60" w:firstLine="517"/>
        <w:spacing w:after="0" w:line="275" w:lineRule="auto"/>
        <w:rPr>
          <w:sz w:val="20"/>
          <w:szCs w:val="20"/>
          <w:color w:val="auto"/>
        </w:rPr>
      </w:pPr>
      <w:r>
        <w:rPr>
          <w:rFonts w:ascii="Times New Roman" w:cs="Times New Roman" w:eastAsia="Times New Roman" w:hAnsi="Times New Roman"/>
          <w:sz w:val="14"/>
          <w:szCs w:val="14"/>
          <w:color w:val="auto"/>
        </w:rPr>
        <w:t>The Company purchased goods and services totaling $0.9 million and $0.6 million, respectively, from certain investors and companies with whom its Board of Directors are affiliated during the three months ended October 31, 2019 and 2018, and $2.4 million and $1.4 million during the nine months ended October 31, 2019 and October 31, 2018. The accounts payable to such vendors was $0.2 million and less than $0.1 million as of October 31, 2019 and January 31, 2019, respectively.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14. Net Loss Per Share Attributable to Common Stockholders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net loss per share attributable to common stockholders (in thousands, except per share data):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tcPr>
          <w:p>
            <w:pPr>
              <w:ind w:left="22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320" w:type="dxa"/>
            <w:vAlign w:val="bottom"/>
          </w:tcPr>
          <w:p>
            <w:pPr>
              <w:spacing w:after="0"/>
              <w:rPr>
                <w:sz w:val="13"/>
                <w:szCs w:val="13"/>
                <w:color w:val="auto"/>
              </w:rPr>
            </w:pPr>
          </w:p>
        </w:tc>
        <w:tc>
          <w:tcPr>
            <w:tcW w:w="2400" w:type="dxa"/>
            <w:vAlign w:val="bottom"/>
            <w:gridSpan w:val="4"/>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r>
      <w:tr>
        <w:trPr>
          <w:trHeight w:val="152"/>
        </w:trPr>
        <w:tc>
          <w:tcPr>
            <w:tcW w:w="594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8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2"/>
        </w:trPr>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6"/>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(42,323)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(108,817)</w:t>
            </w:r>
          </w:p>
        </w:tc>
      </w:tr>
      <w:tr>
        <w:trPr>
          <w:trHeight w:val="172"/>
        </w:trPr>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used in computing net loss per share attributable to common stockholders,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9"/>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w:t>
            </w:r>
          </w:p>
        </w:tc>
        <w:tc>
          <w:tcPr>
            <w:tcW w:w="3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45,287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44,344</w:t>
            </w:r>
          </w:p>
        </w:tc>
      </w:tr>
      <w:tr>
        <w:trPr>
          <w:trHeight w:val="172"/>
        </w:trPr>
        <w:tc>
          <w:tcPr>
            <w:tcW w:w="59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22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attributable to common stockholders, basic and diluted</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(0.93)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(2.45)</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5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96"/>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72"/>
        </w:trPr>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6"/>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(3,602)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(9,402)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used in computing net loss per share attributable to common stockholders,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9"/>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20,703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10,616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9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22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attributable to common stockholders, basic and diluted</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(0.89)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5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96"/>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72"/>
        </w:trPr>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6"/>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(31,903)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(103,969)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used in computing net loss per share attributable to common stockholders,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9"/>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183,393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117,393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9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22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attributable to common stockholders, basic and diluted</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(0.89)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right="240" w:firstLine="517"/>
        <w:spacing w:after="0" w:line="275" w:lineRule="auto"/>
        <w:rPr>
          <w:sz w:val="20"/>
          <w:szCs w:val="20"/>
          <w:color w:val="auto"/>
        </w:rPr>
      </w:pPr>
      <w:r>
        <w:rPr>
          <w:rFonts w:ascii="Times New Roman" w:cs="Times New Roman" w:eastAsia="Times New Roman" w:hAnsi="Times New Roman"/>
          <w:sz w:val="14"/>
          <w:szCs w:val="14"/>
          <w:color w:val="auto"/>
        </w:rPr>
        <w:t>Since the Company was in a net loss position for all periods presented, basic net loss per share is the same as diluted net loss per share as the inclusion of all potential common shares outstanding would have been antidilutive. The potential shares of common stock that were excluded from the computation of diluted net loss per share attributable to common stockholders for the periods presented because including them would have been antidilutive are as follows:</w:t>
      </w:r>
    </w:p>
    <w:tbl>
      <w:tblPr>
        <w:tblLayout w:type="fixed"/>
        <w:tblInd w:w="0" w:type="dxa"/>
        <w:tblCellMar>
          <w:top w:w="0" w:type="dxa"/>
          <w:left w:w="0" w:type="dxa"/>
          <w:bottom w:w="0" w:type="dxa"/>
          <w:right w:w="0" w:type="dxa"/>
        </w:tblCellMar>
      </w:tblPr>
      <w:tr>
        <w:trPr>
          <w:trHeight w:val="121"/>
        </w:trPr>
        <w:tc>
          <w:tcPr>
            <w:tcW w:w="8740" w:type="dxa"/>
            <w:vAlign w:val="bottom"/>
          </w:tcPr>
          <w:p>
            <w:pPr>
              <w:spacing w:after="0"/>
              <w:rPr>
                <w:sz w:val="10"/>
                <w:szCs w:val="10"/>
                <w:color w:val="auto"/>
              </w:rPr>
            </w:pPr>
          </w:p>
        </w:tc>
        <w:tc>
          <w:tcPr>
            <w:tcW w:w="1740" w:type="dxa"/>
            <w:vAlign w:val="bottom"/>
            <w:gridSpan w:val="3"/>
          </w:tcPr>
          <w:p>
            <w:pPr>
              <w:ind w:left="380"/>
              <w:spacing w:after="0" w:line="121" w:lineRule="exact"/>
              <w:rPr>
                <w:sz w:val="20"/>
                <w:szCs w:val="20"/>
                <w:color w:val="auto"/>
              </w:rPr>
            </w:pPr>
            <w:r>
              <w:rPr>
                <w:rFonts w:ascii="Times New Roman" w:cs="Times New Roman" w:eastAsia="Times New Roman" w:hAnsi="Times New Roman"/>
                <w:sz w:val="11"/>
                <w:szCs w:val="11"/>
                <w:b w:val="1"/>
                <w:bCs w:val="1"/>
                <w:color w:val="auto"/>
              </w:rPr>
              <w:t>October 31,</w:t>
            </w:r>
          </w:p>
        </w:tc>
        <w:tc>
          <w:tcPr>
            <w:tcW w:w="980" w:type="dxa"/>
            <w:vAlign w:val="bottom"/>
          </w:tcPr>
          <w:p>
            <w:pPr>
              <w:jc w:val="right"/>
              <w:ind w:right="292"/>
              <w:spacing w:after="0" w:line="121" w:lineRule="exact"/>
              <w:rPr>
                <w:sz w:val="20"/>
                <w:szCs w:val="20"/>
                <w:color w:val="auto"/>
              </w:rPr>
            </w:pPr>
            <w:r>
              <w:rPr>
                <w:rFonts w:ascii="Times New Roman" w:cs="Times New Roman" w:eastAsia="Times New Roman" w:hAnsi="Times New Roman"/>
                <w:sz w:val="11"/>
                <w:szCs w:val="11"/>
                <w:b w:val="1"/>
                <w:bCs w:val="1"/>
                <w:color w:val="auto"/>
              </w:rPr>
              <w:t>October 31,</w:t>
            </w:r>
          </w:p>
        </w:tc>
      </w:tr>
      <w:tr>
        <w:trPr>
          <w:trHeight w:val="155"/>
        </w:trPr>
        <w:tc>
          <w:tcPr>
            <w:tcW w:w="8740" w:type="dxa"/>
            <w:vAlign w:val="bottom"/>
          </w:tcPr>
          <w:p>
            <w:pPr>
              <w:spacing w:after="0"/>
              <w:rPr>
                <w:sz w:val="13"/>
                <w:szCs w:val="13"/>
                <w:color w:val="auto"/>
              </w:rPr>
            </w:pPr>
          </w:p>
        </w:tc>
        <w:tc>
          <w:tcPr>
            <w:tcW w:w="13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52"/>
        </w:trPr>
        <w:tc>
          <w:tcPr>
            <w:tcW w:w="8740" w:type="dxa"/>
            <w:vAlign w:val="bottom"/>
          </w:tcPr>
          <w:p>
            <w:pPr>
              <w:spacing w:after="0"/>
              <w:rPr>
                <w:sz w:val="13"/>
                <w:szCs w:val="13"/>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3"/>
                <w:szCs w:val="13"/>
                <w:color w:val="auto"/>
              </w:rPr>
            </w:pPr>
          </w:p>
        </w:tc>
      </w:tr>
      <w:tr>
        <w:trPr>
          <w:trHeight w:val="200"/>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of common stock issuable upon conversion of redeemable convertible preferred stock</w:t>
            </w:r>
          </w:p>
        </w:tc>
        <w:tc>
          <w:tcPr>
            <w:tcW w:w="17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131,268</w:t>
            </w:r>
          </w:p>
        </w:tc>
      </w:tr>
      <w:tr>
        <w:trPr>
          <w:trHeight w:val="193"/>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of common stock issuable upon conversion of redeemable convertible preferred stock warrants</w:t>
            </w:r>
          </w:p>
        </w:tc>
        <w:tc>
          <w:tcPr>
            <w:tcW w:w="174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336</w:t>
            </w:r>
          </w:p>
        </w:tc>
      </w:tr>
      <w:tr>
        <w:trPr>
          <w:trHeight w:val="23"/>
        </w:trPr>
        <w:tc>
          <w:tcPr>
            <w:tcW w:w="8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of common stock subject to repurchase from outstanding stock options</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1,128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712</w:t>
            </w:r>
          </w:p>
        </w:tc>
      </w:tr>
      <w:tr>
        <w:trPr>
          <w:trHeight w:val="193"/>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awards subject to future vesting</w:t>
            </w: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6,909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28</w:t>
            </w:r>
          </w:p>
        </w:tc>
      </w:tr>
      <w:tr>
        <w:trPr>
          <w:trHeight w:val="23"/>
        </w:trPr>
        <w:tc>
          <w:tcPr>
            <w:tcW w:w="8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6"/>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of common stock issuable from stock options</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20,701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26,150</w:t>
            </w:r>
          </w:p>
        </w:tc>
      </w:tr>
      <w:tr>
        <w:trPr>
          <w:trHeight w:val="206"/>
        </w:trPr>
        <w:tc>
          <w:tcPr>
            <w:tcW w:w="8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Potential common shares excluded from diluted net loss per share</w:t>
            </w:r>
          </w:p>
        </w:tc>
        <w:tc>
          <w:tcPr>
            <w:tcW w:w="13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28,738</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158,494</w:t>
            </w:r>
          </w:p>
        </w:tc>
      </w:tr>
      <w:tr>
        <w:trPr>
          <w:trHeight w:val="20"/>
        </w:trPr>
        <w:tc>
          <w:tcPr>
            <w:tcW w:w="87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84" w:lineRule="exact"/>
        <w:rPr>
          <w:sz w:val="20"/>
          <w:szCs w:val="20"/>
          <w:color w:val="auto"/>
        </w:rPr>
      </w:pPr>
    </w:p>
    <w:p>
      <w:pPr>
        <w:ind w:right="20" w:firstLine="517"/>
        <w:spacing w:after="0" w:line="263"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of our financial condition and results of operations in conjunction with the condensed consolidated financial statements and the notes thereto included elsewhere in this Quarterly Report on Form 10-Q.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described under the heading Special Note Regarding Forward-Looking Statements following the Table of Contents of this Quarterly Report on Form 10-Q. You should review the disclosure under ITEM 1A - Risk Factors in this Quarterly Report on Form 10-Q for a discussion of important factors that could cause actual results to differ materially from the results described in or implied by the forward-looking statements contained in the following discussion and analysis. Our fiscal year end is January 31, and our fiscal quarters end on April 30, July 31, October 31, and January 31. Our fiscal years ended January 31, 2017, January 31, 2018, and January 31, 2019 are referred to herein as fiscal 2017, fiscal 2018, and fiscal 2019, respectively.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6" w:lineRule="exact"/>
        <w:rPr>
          <w:sz w:val="20"/>
          <w:szCs w:val="20"/>
          <w:color w:val="auto"/>
        </w:rPr>
      </w:pPr>
    </w:p>
    <w:p>
      <w:pPr>
        <w:ind w:right="20" w:firstLine="517"/>
        <w:spacing w:after="0" w:line="275" w:lineRule="auto"/>
        <w:rPr>
          <w:sz w:val="20"/>
          <w:szCs w:val="20"/>
          <w:color w:val="auto"/>
        </w:rPr>
      </w:pPr>
      <w:r>
        <w:rPr>
          <w:rFonts w:ascii="Times New Roman" w:cs="Times New Roman" w:eastAsia="Times New Roman" w:hAnsi="Times New Roman"/>
          <w:sz w:val="14"/>
          <w:szCs w:val="14"/>
          <w:color w:val="auto"/>
        </w:rPr>
        <w:t>We founded CrowdStrike in 2011 to reinvent security for the cloud era. When we started the company, cyberattackers had a decided, asymmetric advantage over existing security products. We turned the tables on the adversaries by taking a fundamentally new approach that leverages the network effects of crowdsourced data applied to modern technologies such as AI, cloud computing, and graph databases. Realizing that the nature of cybersecurity problems had changed but the solutions had not, we built our CrowdStrike Falcon platform to detect threats and stop breaches.</w:t>
      </w:r>
    </w:p>
    <w:p>
      <w:pPr>
        <w:spacing w:after="0" w:line="136" w:lineRule="exact"/>
        <w:rPr>
          <w:sz w:val="20"/>
          <w:szCs w:val="20"/>
          <w:color w:val="auto"/>
        </w:rPr>
      </w:pPr>
    </w:p>
    <w:p>
      <w:pPr>
        <w:ind w:firstLine="517"/>
        <w:spacing w:after="0" w:line="262" w:lineRule="auto"/>
        <w:rPr>
          <w:sz w:val="20"/>
          <w:szCs w:val="20"/>
          <w:color w:val="auto"/>
        </w:rPr>
      </w:pPr>
      <w:r>
        <w:rPr>
          <w:rFonts w:ascii="Times New Roman" w:cs="Times New Roman" w:eastAsia="Times New Roman" w:hAnsi="Times New Roman"/>
          <w:sz w:val="14"/>
          <w:szCs w:val="14"/>
          <w:color w:val="auto"/>
        </w:rPr>
        <w:t>We believe we are defining a new category called the Security Cloud, with the power to transform the security industry much the same way the cloud has transformed the CRM, HR, and service management industries. With our Falcon platform, we created the first multi-tenant, cloud native, intelligent security solution capable of protecting workloads across on-premise, virtualized, and cloud-based environments running on a variety of endpoints such as desktops, laptops, servers, virtual machines, and IoT devices. Our Falcon platform is composed of two tightly integrated proprietary technologies: our easily deployed intelligent lightweight agent and our cloud-based, dynamic graph database called Threat Graph. Our solution benefits from crowdsourcing and economies of scale, which we believe enables our AI algorithms to be uniquely effective. We call this cloud-scale AI. We initially provided intelligence and incident response services while we developed our Falcon platform. In June 2013, we first began providing EDR capabilities as a single solution. In February 2017, as we executed on our Falcon platform expansion strategy, we began offering these and additional capabilities as separate cloud modules. This strategic move facilitated new customer adoption and allowed us to further expand within our customer base. Today, we offer 10 cloud modules on our Falcon platform via a SaaS subscription-based model that spans multiple large security markets, including endpoint security, security and IT operations (including vulnerability management), and threat intelligence.</w:t>
      </w:r>
    </w:p>
    <w:p>
      <w:pPr>
        <w:spacing w:after="0" w:line="318" w:lineRule="exact"/>
        <w:rPr>
          <w:sz w:val="20"/>
          <w:szCs w:val="20"/>
          <w:color w:val="auto"/>
        </w:rPr>
      </w:pPr>
    </w:p>
    <w:p>
      <w:pPr>
        <w:ind w:right="40" w:firstLine="517"/>
        <w:spacing w:after="0" w:line="269" w:lineRule="auto"/>
        <w:rPr>
          <w:sz w:val="20"/>
          <w:szCs w:val="20"/>
          <w:color w:val="auto"/>
        </w:rPr>
      </w:pPr>
      <w:r>
        <w:rPr>
          <w:rFonts w:ascii="Times New Roman" w:cs="Times New Roman" w:eastAsia="Times New Roman" w:hAnsi="Times New Roman"/>
          <w:sz w:val="14"/>
          <w:szCs w:val="14"/>
          <w:color w:val="auto"/>
        </w:rPr>
        <w:t>On June 14, 2019 we closed our initial public offering, or IPO, in which we issued and sold 20,700,000 shares of Class A common stock. The price per share to the public was $34.00. We received aggregate proceeds of $665.1 million from the IPO, net of underwriters’ discounts and commissions and before deducting estimated offering costs of $5.9 million. Upon the closing of the IPO, all shares of our outstanding preferred stock automatically converted into 131,267,586 shares of Class B common stock. In connection with our IPO, all shares of our common stock outstanding prior to our IPO were automatically converted into shares of Class B common stock.</w:t>
      </w:r>
    </w:p>
    <w:p>
      <w:pPr>
        <w:spacing w:after="0" w:line="138"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Our Go-To-Market Strategy</w:t>
      </w:r>
    </w:p>
    <w:p>
      <w:pPr>
        <w:spacing w:after="0" w:line="186" w:lineRule="exact"/>
        <w:rPr>
          <w:sz w:val="20"/>
          <w:szCs w:val="20"/>
          <w:color w:val="auto"/>
        </w:rPr>
      </w:pPr>
    </w:p>
    <w:p>
      <w:pPr>
        <w:ind w:firstLine="517"/>
        <w:spacing w:after="0" w:line="287" w:lineRule="auto"/>
        <w:rPr>
          <w:sz w:val="20"/>
          <w:szCs w:val="20"/>
          <w:color w:val="auto"/>
        </w:rPr>
      </w:pPr>
      <w:r>
        <w:rPr>
          <w:rFonts w:ascii="Times New Roman" w:cs="Times New Roman" w:eastAsia="Times New Roman" w:hAnsi="Times New Roman"/>
          <w:sz w:val="14"/>
          <w:szCs w:val="14"/>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305" w:lineRule="exact"/>
        <w:rPr>
          <w:sz w:val="20"/>
          <w:szCs w:val="20"/>
          <w:color w:val="auto"/>
        </w:rPr>
      </w:pPr>
    </w:p>
    <w:p>
      <w:pPr>
        <w:ind w:right="40" w:firstLine="517"/>
        <w:spacing w:after="0" w:line="266" w:lineRule="auto"/>
        <w:rPr>
          <w:sz w:val="20"/>
          <w:szCs w:val="20"/>
          <w:color w:val="auto"/>
        </w:rPr>
      </w:pPr>
      <w:r>
        <w:rPr>
          <w:rFonts w:ascii="Times New Roman" w:cs="Times New Roman" w:eastAsia="Times New Roman" w:hAnsi="Times New Roman"/>
          <w:sz w:val="14"/>
          <w:szCs w:val="14"/>
          <w:color w:val="auto"/>
        </w:rPr>
        <w:t>We have a low friction land-and-expand sales strategy. When customers deploy our Falcon platform, they can start with any number of cloud modules and we can activate additional cloud modules in real time on the same agent already deployed on the endpoint. This architecture has also allowed us to begin to offer a free trial of our Falcon Prevent module directly from our website or the AWS Marketplace, and we plan to extend this capability to additional modules in the future.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firstLine="517"/>
        <w:spacing w:after="0" w:line="294" w:lineRule="auto"/>
        <w:rPr>
          <w:sz w:val="20"/>
          <w:szCs w:val="20"/>
          <w:color w:val="auto"/>
        </w:rPr>
      </w:pPr>
      <w:r>
        <w:rPr>
          <w:rFonts w:ascii="Times New Roman" w:cs="Times New Roman" w:eastAsia="Times New Roman" w:hAnsi="Times New Roman"/>
          <w:sz w:val="14"/>
          <w:szCs w:val="14"/>
          <w:color w:val="auto"/>
        </w:rPr>
        <w:t>We began as a solution for large enterprises, but the flexibility and scalability of our Falcon platform has enabled us to offer our solution to customers of any size—from those with hundreds of thousands of endpoints to as few as three. We have expanded our sales focus to include any organization without the need to modify our Falcon platform for small and medium sized businesses.</w:t>
      </w:r>
    </w:p>
    <w:p>
      <w:pPr>
        <w:spacing w:after="0" w:line="123" w:lineRule="exact"/>
        <w:rPr>
          <w:sz w:val="20"/>
          <w:szCs w:val="20"/>
          <w:color w:val="auto"/>
        </w:rPr>
      </w:pPr>
    </w:p>
    <w:p>
      <w:pPr>
        <w:ind w:firstLine="517"/>
        <w:spacing w:after="0" w:line="275" w:lineRule="auto"/>
        <w:rPr>
          <w:sz w:val="20"/>
          <w:szCs w:val="20"/>
          <w:color w:val="auto"/>
        </w:rPr>
      </w:pPr>
      <w:r>
        <w:rPr>
          <w:rFonts w:ascii="Times New Roman" w:cs="Times New Roman" w:eastAsia="Times New Roman" w:hAnsi="Times New Roman"/>
          <w:sz w:val="14"/>
          <w:szCs w:val="14"/>
          <w:color w:val="auto"/>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134"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Certain Factors Affecting Our Performance</w:t>
      </w:r>
    </w:p>
    <w:p>
      <w:pPr>
        <w:spacing w:after="0" w:line="182" w:lineRule="exact"/>
        <w:rPr>
          <w:sz w:val="20"/>
          <w:szCs w:val="20"/>
          <w:color w:val="auto"/>
        </w:rPr>
      </w:pPr>
    </w:p>
    <w:p>
      <w:pPr>
        <w:jc w:val="both"/>
        <w:ind w:right="20" w:firstLine="517"/>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 xml:space="preserve">Adoption of Our Solutions. </w:t>
      </w:r>
      <w:r>
        <w:rPr>
          <w:rFonts w:ascii="Times New Roman" w:cs="Times New Roman" w:eastAsia="Times New Roman" w:hAnsi="Times New Roman"/>
          <w:sz w:val="14"/>
          <w:szCs w:val="14"/>
          <w:color w:val="auto"/>
        </w:rPr>
        <w:t>We believe our future success depends in large part on the growth in the market for cloud-based SaaS-delivered endpoint security solutions. Many organizations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have 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130" w:lineRule="exact"/>
        <w:rPr>
          <w:sz w:val="20"/>
          <w:szCs w:val="20"/>
          <w:color w:val="auto"/>
        </w:rPr>
      </w:pPr>
    </w:p>
    <w:p>
      <w:pPr>
        <w:ind w:right="100" w:firstLine="517"/>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New Customer Acquisition. </w:t>
      </w:r>
      <w:r>
        <w:rPr>
          <w:rFonts w:ascii="Times New Roman" w:cs="Times New Roman" w:eastAsia="Times New Roman" w:hAnsi="Times New Roman"/>
          <w:sz w:val="14"/>
          <w:szCs w:val="14"/>
          <w:color w:val="auto"/>
        </w:rPr>
        <w:t>Our future growth depends in large part on our ability to acquire new customers. We believe that our go-to-market strategy and the flexibility and scalability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Falcon platform have allowed us to rapidly expand our customer base. Our incident response and proactive services have also helped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329" w:lineRule="exact"/>
        <w:rPr>
          <w:sz w:val="20"/>
          <w:szCs w:val="20"/>
          <w:color w:val="auto"/>
        </w:rPr>
      </w:pPr>
    </w:p>
    <w:p>
      <w:pPr>
        <w:ind w:right="260" w:firstLine="517"/>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Maintain Customer Retention and Increase Sales. </w:t>
      </w:r>
      <w:r>
        <w:rPr>
          <w:rFonts w:ascii="Times New Roman" w:cs="Times New Roman" w:eastAsia="Times New Roman" w:hAnsi="Times New Roman"/>
          <w:sz w:val="14"/>
          <w:szCs w:val="14"/>
          <w:color w:val="auto"/>
        </w:rPr>
        <w:t>Our ability to increase revenue depends in large part on our ability to retain our existing customers and increase the ARR of their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subscriptions. We focus on increasing sales to our existing customers by expanding their deployments to more endpoints and selling additional cloud modules for increased functionality. In February 2017, we transitioned our platform from a single offering into highly-integrated offerings of multiple SKU cloud modules. We initially launched this strategy with our IT hygiene, next-generation antivirus, EDR, managed threat hunting, and intelligence modules, and added five additional modules between February 2017 and October 2019. The Falcon Platform currently has 11 cloud modules that span endpoint security, security operations, and threat intelligence</w:t>
      </w:r>
    </w:p>
    <w:p>
      <w:pPr>
        <w:spacing w:after="0" w:line="139" w:lineRule="exact"/>
        <w:rPr>
          <w:sz w:val="20"/>
          <w:szCs w:val="20"/>
          <w:color w:val="auto"/>
        </w:rPr>
      </w:pPr>
    </w:p>
    <w:p>
      <w:pPr>
        <w:ind w:right="60" w:firstLine="517"/>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Invest in Growth. </w:t>
      </w:r>
      <w:r>
        <w:rPr>
          <w:rFonts w:ascii="Times New Roman" w:cs="Times New Roman" w:eastAsia="Times New Roman" w:hAnsi="Times New Roman"/>
          <w:sz w:val="14"/>
          <w:szCs w:val="14"/>
          <w:color w:val="auto"/>
        </w:rPr>
        <w:t>We believe that our market opportunity is large and requires us to continue to invest significantly in sales and marketing efforts to further grow our customer base, both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become a public company.</w:t>
      </w:r>
    </w:p>
    <w:p>
      <w:pPr>
        <w:spacing w:after="0" w:line="14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Key Metrics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monitor the following key metrics to help us evaluate our business, identify trends affecting our business, formulate business plans, and make strategic decisions.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Subscription Customers</w:t>
      </w:r>
    </w:p>
    <w:p>
      <w:pPr>
        <w:spacing w:after="0" w:line="188" w:lineRule="exact"/>
        <w:rPr>
          <w:sz w:val="20"/>
          <w:szCs w:val="20"/>
          <w:color w:val="auto"/>
        </w:rPr>
      </w:pPr>
    </w:p>
    <w:p>
      <w:pPr>
        <w:ind w:right="100" w:firstLine="517"/>
        <w:spacing w:after="0" w:line="269" w:lineRule="auto"/>
        <w:rPr>
          <w:sz w:val="20"/>
          <w:szCs w:val="20"/>
          <w:color w:val="auto"/>
        </w:rPr>
      </w:pPr>
      <w:r>
        <w:rPr>
          <w:rFonts w:ascii="Times New Roman" w:cs="Times New Roman" w:eastAsia="Times New Roman" w:hAnsi="Times New Roman"/>
          <w:sz w:val="14"/>
          <w:szCs w:val="14"/>
          <w:color w:val="auto"/>
        </w:rPr>
        <w:t>We define a subscription customer as a separate legal entity that has entered into a distinct subscription agreement for access to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 While initially we focused our sales and marketing efforts on large enterprises, in recent years we have also increased our sales and marketing to small and medium sized businesses.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20"/>
          </w:cols>
          <w:pgMar w:left="220" w:top="125" w:right="25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sets forth the number of our subscription customers as of the dates presented:</w:t>
      </w:r>
    </w:p>
    <w:p>
      <w:pPr>
        <w:spacing w:after="0" w:line="50"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1"/>
          <w:szCs w:val="11"/>
          <w:b w:val="1"/>
          <w:bCs w:val="1"/>
          <w:color w:val="auto"/>
        </w:rPr>
        <w:t>As of October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8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2019</w:t>
            </w:r>
          </w:p>
        </w:tc>
        <w:tc>
          <w:tcPr>
            <w:tcW w:w="3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2018</w:t>
            </w:r>
          </w:p>
        </w:tc>
        <w:tc>
          <w:tcPr>
            <w:tcW w:w="160" w:type="dxa"/>
            <w:vAlign w:val="bottom"/>
            <w:tcBorders>
              <w:top w:val="single" w:sz="8" w:color="auto"/>
              <w:bottom w:val="single" w:sz="8" w:color="auto"/>
            </w:tcBorders>
          </w:tcPr>
          <w:p>
            <w:pPr>
              <w:spacing w:after="0"/>
              <w:rPr>
                <w:sz w:val="13"/>
                <w:szCs w:val="13"/>
                <w:color w:val="auto"/>
              </w:rPr>
            </w:pPr>
          </w:p>
        </w:tc>
      </w:tr>
      <w:tr>
        <w:trPr>
          <w:trHeight w:val="152"/>
        </w:trPr>
        <w:tc>
          <w:tcPr>
            <w:tcW w:w="8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0"/>
        </w:trPr>
        <w:tc>
          <w:tcPr>
            <w:tcW w:w="9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customers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6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193"/>
        </w:trPr>
        <w:tc>
          <w:tcPr>
            <w:tcW w:w="9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Year-over-year growth</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6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Annual Recurring Revenue (“ARR”)</w:t>
      </w:r>
    </w:p>
    <w:p>
      <w:pPr>
        <w:spacing w:after="0" w:line="188" w:lineRule="exact"/>
        <w:rPr>
          <w:sz w:val="20"/>
          <w:szCs w:val="20"/>
          <w:color w:val="auto"/>
        </w:rPr>
      </w:pPr>
    </w:p>
    <w:p>
      <w:pPr>
        <w:ind w:firstLine="517"/>
        <w:spacing w:after="0" w:line="275" w:lineRule="auto"/>
        <w:rPr>
          <w:sz w:val="20"/>
          <w:szCs w:val="20"/>
          <w:color w:val="auto"/>
        </w:rPr>
      </w:pPr>
      <w:r>
        <w:rPr>
          <w:rFonts w:ascii="Times New Roman" w:cs="Times New Roman" w:eastAsia="Times New Roman" w:hAnsi="Times New Roman"/>
          <w:sz w:val="14"/>
          <w:szCs w:val="14"/>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sets forth our ARR as of the dates presented: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7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left="457"/>
              <w:spacing w:after="0"/>
              <w:rPr>
                <w:sz w:val="20"/>
                <w:szCs w:val="20"/>
                <w:color w:val="auto"/>
              </w:rPr>
            </w:pPr>
            <w:r>
              <w:rPr>
                <w:rFonts w:ascii="Times New Roman" w:cs="Times New Roman" w:eastAsia="Times New Roman" w:hAnsi="Times New Roman"/>
                <w:sz w:val="11"/>
                <w:szCs w:val="11"/>
                <w:b w:val="1"/>
                <w:bCs w:val="1"/>
                <w:color w:val="auto"/>
              </w:rPr>
              <w:t>As of October 31,</w:t>
            </w: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r>
      <w:tr>
        <w:trPr>
          <w:trHeight w:val="152"/>
        </w:trPr>
        <w:tc>
          <w:tcPr>
            <w:tcW w:w="87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2019</w:t>
            </w:r>
          </w:p>
        </w:tc>
        <w:tc>
          <w:tcPr>
            <w:tcW w:w="6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2018</w:t>
            </w:r>
          </w:p>
        </w:tc>
        <w:tc>
          <w:tcPr>
            <w:tcW w:w="160" w:type="dxa"/>
            <w:vAlign w:val="bottom"/>
            <w:tcBorders>
              <w:bottom w:val="single" w:sz="8" w:color="auto"/>
            </w:tcBorders>
          </w:tcPr>
          <w:p>
            <w:pPr>
              <w:spacing w:after="0"/>
              <w:rPr>
                <w:sz w:val="13"/>
                <w:szCs w:val="13"/>
                <w:color w:val="auto"/>
              </w:rPr>
            </w:pPr>
          </w:p>
        </w:tc>
      </w:tr>
      <w:tr>
        <w:trPr>
          <w:trHeight w:val="152"/>
        </w:trPr>
        <w:tc>
          <w:tcPr>
            <w:tcW w:w="8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tcPr>
          <w:p>
            <w:pPr>
              <w:jc w:val="center"/>
              <w:ind w:left="457"/>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0"/>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Annual recurring revenue</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501,721</w:t>
            </w:r>
          </w:p>
        </w:tc>
        <w:tc>
          <w:tcPr>
            <w:tcW w:w="64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254,151</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193"/>
        </w:trPr>
        <w:tc>
          <w:tcPr>
            <w:tcW w:w="8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Year-over-year growth</w:t>
            </w: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6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Dollar-Based Net Retention Rate</w:t>
      </w:r>
    </w:p>
    <w:p>
      <w:pPr>
        <w:spacing w:after="0" w:line="188" w:lineRule="exact"/>
        <w:rPr>
          <w:sz w:val="20"/>
          <w:szCs w:val="20"/>
          <w:color w:val="auto"/>
        </w:rPr>
      </w:pPr>
    </w:p>
    <w:p>
      <w:pPr>
        <w:ind w:right="40" w:firstLine="517"/>
        <w:spacing w:after="0" w:line="266" w:lineRule="auto"/>
        <w:rPr>
          <w:sz w:val="20"/>
          <w:szCs w:val="20"/>
          <w:color w:val="auto"/>
        </w:rPr>
      </w:pPr>
      <w:r>
        <w:rPr>
          <w:rFonts w:ascii="Times New Roman" w:cs="Times New Roman" w:eastAsia="Times New Roman" w:hAnsi="Times New Roman"/>
          <w:sz w:val="14"/>
          <w:szCs w:val="14"/>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w:t>
      </w:r>
    </w:p>
    <w:p>
      <w:pPr>
        <w:spacing w:after="0" w:line="142" w:lineRule="exact"/>
        <w:rPr>
          <w:sz w:val="20"/>
          <w:szCs w:val="20"/>
          <w:color w:val="auto"/>
        </w:rPr>
      </w:pPr>
    </w:p>
    <w:p>
      <w:pPr>
        <w:ind w:right="80" w:firstLine="517"/>
        <w:spacing w:after="0" w:line="275" w:lineRule="auto"/>
        <w:rPr>
          <w:sz w:val="20"/>
          <w:szCs w:val="20"/>
          <w:color w:val="auto"/>
        </w:rPr>
      </w:pPr>
      <w:r>
        <w:rPr>
          <w:rFonts w:ascii="Times New Roman" w:cs="Times New Roman" w:eastAsia="Times New Roman" w:hAnsi="Times New Roman"/>
          <w:sz w:val="14"/>
          <w:szCs w:val="14"/>
          <w:color w:val="auto"/>
        </w:rPr>
        <w:t>Since January 2016, our dollar-based net retention rate has consistently exceeded 100%, which is primarily attributable to an expansion of endpoints within, and cross-selling additional cloud modules to, our existing subscription customers. Our dollar-based net retention rate can fluctuate from period to period due to large customer contracts in a given period, which may reduce our dollar-based net retention rate in subsequent periods if the customer makes a larger upfront purchase and does not continue to increase purchases.</w:t>
      </w:r>
    </w:p>
    <w:p>
      <w:pPr>
        <w:spacing w:after="0" w:line="13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Components of Our Results of Operations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86" w:lineRule="exact"/>
        <w:rPr>
          <w:sz w:val="20"/>
          <w:szCs w:val="20"/>
          <w:color w:val="auto"/>
        </w:rPr>
      </w:pPr>
    </w:p>
    <w:p>
      <w:pPr>
        <w:ind w:right="20" w:firstLine="517"/>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Subscription Revenue. </w:t>
      </w:r>
      <w:r>
        <w:rPr>
          <w:rFonts w:ascii="Times New Roman" w:cs="Times New Roman" w:eastAsia="Times New Roman" w:hAnsi="Times New Roman"/>
          <w:sz w:val="14"/>
          <w:szCs w:val="14"/>
          <w:color w:val="auto"/>
        </w:rPr>
        <w:t>Subscription revenue primarily consists of subscription fees for our Falcon platform and additional cloud modules that are supported by our cloud-based platform.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Because our subscription customers are generally billed upfront, we have recorded significant deferred revenue. Consequently, a substantial portion of the revenue that we report in each period is attributable to the recognition of deferred revenue relating to subscriptions that we entered into during previous periods. We typically invoice our customers annually in advance, and to a lesser extent quarterly in advance, monthly in advance or multi-year in advance.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firstLine="517"/>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Professional Services Revenue. </w:t>
      </w:r>
      <w:r>
        <w:rPr>
          <w:rFonts w:ascii="Times New Roman" w:cs="Times New Roman" w:eastAsia="Times New Roman" w:hAnsi="Times New Roman"/>
          <w:sz w:val="14"/>
          <w:szCs w:val="14"/>
          <w:color w:val="auto"/>
        </w:rPr>
        <w:t>Professional services revenue includes incident response and proactive services, forensic and malware analysis, and attribution analysis. Professional services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For fixed fee contracts, we recognize revenue by applying the proportional performance method.</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86" w:lineRule="exact"/>
        <w:rPr>
          <w:sz w:val="20"/>
          <w:szCs w:val="20"/>
          <w:color w:val="auto"/>
        </w:rPr>
      </w:pPr>
    </w:p>
    <w:p>
      <w:pPr>
        <w:ind w:right="160" w:firstLine="517"/>
        <w:spacing w:after="0" w:line="277" w:lineRule="auto"/>
        <w:rPr>
          <w:sz w:val="20"/>
          <w:szCs w:val="20"/>
          <w:color w:val="auto"/>
        </w:rPr>
      </w:pPr>
      <w:r>
        <w:rPr>
          <w:rFonts w:ascii="Times New Roman" w:cs="Times New Roman" w:eastAsia="Times New Roman" w:hAnsi="Times New Roman"/>
          <w:sz w:val="14"/>
          <w:szCs w:val="14"/>
          <w:i w:val="1"/>
          <w:iCs w:val="1"/>
          <w:color w:val="auto"/>
        </w:rPr>
        <w:t xml:space="preserve">Subscription Cost of Revenue. </w:t>
      </w:r>
      <w:r>
        <w:rPr>
          <w:rFonts w:ascii="Times New Roman" w:cs="Times New Roman" w:eastAsia="Times New Roman" w:hAnsi="Times New Roman"/>
          <w:sz w:val="14"/>
          <w:szCs w:val="14"/>
          <w:color w:val="auto"/>
        </w:rPr>
        <w:t>Subscription cost of revenue consists primarily of costs related to hosting our cloud-based Falcon platform in data centers, amortization of our capitalized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internal-use software, employee-related costs such as salaries and bonuses, stock-based compensation expense, benefits costs associated with our operations and support personnel, software license fees, property and equipment depreciation, and an allocated portion of facilities and administrative costs.</w:t>
      </w:r>
    </w:p>
    <w:p>
      <w:pPr>
        <w:spacing w:after="0" w:line="134" w:lineRule="exact"/>
        <w:rPr>
          <w:sz w:val="20"/>
          <w:szCs w:val="20"/>
          <w:color w:val="auto"/>
        </w:rPr>
      </w:pPr>
    </w:p>
    <w:p>
      <w:pPr>
        <w:ind w:firstLine="517"/>
        <w:spacing w:after="0" w:line="273" w:lineRule="auto"/>
        <w:rPr>
          <w:sz w:val="20"/>
          <w:szCs w:val="20"/>
          <w:color w:val="auto"/>
        </w:rPr>
      </w:pPr>
      <w:r>
        <w:rPr>
          <w:rFonts w:ascii="Times New Roman" w:cs="Times New Roman" w:eastAsia="Times New Roman" w:hAnsi="Times New Roman"/>
          <w:sz w:val="14"/>
          <w:szCs w:val="14"/>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311" w:lineRule="exact"/>
        <w:rPr>
          <w:sz w:val="20"/>
          <w:szCs w:val="20"/>
          <w:color w:val="auto"/>
        </w:rPr>
      </w:pPr>
    </w:p>
    <w:p>
      <w:pPr>
        <w:ind w:right="60" w:firstLine="517"/>
        <w:spacing w:after="0" w:line="297" w:lineRule="auto"/>
        <w:rPr>
          <w:sz w:val="20"/>
          <w:szCs w:val="20"/>
          <w:color w:val="auto"/>
        </w:rPr>
      </w:pPr>
      <w:r>
        <w:rPr>
          <w:rFonts w:ascii="Times New Roman" w:cs="Times New Roman" w:eastAsia="Times New Roman" w:hAnsi="Times New Roman"/>
          <w:sz w:val="14"/>
          <w:szCs w:val="14"/>
          <w:i w:val="1"/>
          <w:iCs w:val="1"/>
          <w:color w:val="auto"/>
        </w:rPr>
        <w:t xml:space="preserve">Professional Services Cost of Revenue. </w:t>
      </w:r>
      <w:r>
        <w:rPr>
          <w:rFonts w:ascii="Times New Roman" w:cs="Times New Roman" w:eastAsia="Times New Roman" w:hAnsi="Times New Roman"/>
          <w:sz w:val="14"/>
          <w:szCs w:val="14"/>
          <w:color w:val="auto"/>
        </w:rPr>
        <w:t>Professional services cost of revenue consists primarily of employee-related costs, technology, property and equipment depreciation, and an allocated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portion of facilities and administrative costs.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188" w:lineRule="exact"/>
        <w:rPr>
          <w:sz w:val="20"/>
          <w:szCs w:val="20"/>
          <w:color w:val="auto"/>
        </w:rPr>
      </w:pPr>
    </w:p>
    <w:p>
      <w:pPr>
        <w:ind w:right="80" w:firstLine="517"/>
        <w:spacing w:after="0" w:line="264" w:lineRule="auto"/>
        <w:rPr>
          <w:sz w:val="20"/>
          <w:szCs w:val="20"/>
          <w:color w:val="auto"/>
        </w:rPr>
      </w:pPr>
      <w:r>
        <w:rPr>
          <w:rFonts w:ascii="Times New Roman" w:cs="Times New Roman" w:eastAsia="Times New Roman" w:hAnsi="Times New Roman"/>
          <w:sz w:val="14"/>
          <w:szCs w:val="14"/>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88" w:lineRule="exact"/>
        <w:rPr>
          <w:sz w:val="20"/>
          <w:szCs w:val="20"/>
          <w:color w:val="auto"/>
        </w:rPr>
      </w:pPr>
    </w:p>
    <w:p>
      <w:pPr>
        <w:jc w:val="both"/>
        <w:ind w:right="160" w:firstLine="517"/>
        <w:spacing w:after="0" w:line="275" w:lineRule="auto"/>
        <w:rPr>
          <w:sz w:val="20"/>
          <w:szCs w:val="20"/>
          <w:color w:val="auto"/>
        </w:rPr>
      </w:pPr>
      <w:r>
        <w:rPr>
          <w:rFonts w:ascii="Times New Roman" w:cs="Times New Roman" w:eastAsia="Times New Roman" w:hAnsi="Times New Roman"/>
          <w:sz w:val="14"/>
          <w:szCs w:val="14"/>
          <w:color w:val="auto"/>
        </w:rPr>
        <w:t>Our operating expenses consist of sales and marketing, research and development and general administrative expenses. For each of these categories of expense, employee-related expenses are the most significant component, which include salaries, employee benefit costs, bonuses, sales commissions, travel and entertainment related expenses, and stock-based compensation expense. Operating expenses also include an allocated portion of overhead costs for facilities, IT, and depreciation expense.</w:t>
      </w:r>
    </w:p>
    <w:p>
      <w:pPr>
        <w:spacing w:after="0" w:line="134" w:lineRule="exact"/>
        <w:rPr>
          <w:sz w:val="20"/>
          <w:szCs w:val="20"/>
          <w:color w:val="auto"/>
        </w:rPr>
      </w:pPr>
    </w:p>
    <w:p>
      <w:pPr>
        <w:ind w:right="20" w:firstLine="517"/>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Sales and Marketing. </w:t>
      </w:r>
      <w:r>
        <w:rPr>
          <w:rFonts w:ascii="Times New Roman" w:cs="Times New Roman" w:eastAsia="Times New Roman" w:hAnsi="Times New Roman"/>
          <w:sz w:val="14"/>
          <w:szCs w:val="14"/>
          <w:color w:val="auto"/>
        </w:rPr>
        <w:t>Sales and marketing expenses primarily consist of employee-related expenses such as salaries and bonuses. Sales and marketing expenses also include stock-based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compensation, expenses related to our Fal.con customer conference and other marketing events and an allocated portion of facilities and administrative expenses, and cloud hosting and related services costs related to proof of value efforts. Prior to February 1, 2019, we amortized sales commissions on a straight-line basis to sales and marketing expense over the term of the subscription. On February 1, 2019, we adopted ASC 606, and began capitalizing and amortizing sales commissions and any other incremental payments made upon the initial acquisition of a subscription or upsells to existing customers to sales and marketing expense over the estimated customer life, and amortizing any such expenses paid for the renewal of a subscription to sales and marketing expense over the term of the renewal.</w:t>
      </w:r>
    </w:p>
    <w:p>
      <w:pPr>
        <w:spacing w:after="0" w:line="142" w:lineRule="exact"/>
        <w:rPr>
          <w:sz w:val="20"/>
          <w:szCs w:val="20"/>
          <w:color w:val="auto"/>
        </w:rPr>
      </w:pPr>
    </w:p>
    <w:p>
      <w:pPr>
        <w:ind w:right="280" w:firstLine="517"/>
        <w:spacing w:after="0" w:line="294" w:lineRule="auto"/>
        <w:rPr>
          <w:sz w:val="20"/>
          <w:szCs w:val="20"/>
          <w:color w:val="auto"/>
        </w:rPr>
      </w:pPr>
      <w:r>
        <w:rPr>
          <w:rFonts w:ascii="Times New Roman" w:cs="Times New Roman" w:eastAsia="Times New Roman" w:hAnsi="Times New Roman"/>
          <w:sz w:val="14"/>
          <w:szCs w:val="14"/>
          <w:color w:val="auto"/>
        </w:rPr>
        <w:t>We expect sales and marketing expenses to increase in dollar amount as we continue to make significant investments in our sales and marketing organization to drive additional revenue, further penetrate the market, and expand our global customer base.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517"/>
        <w:spacing w:after="0" w:line="277" w:lineRule="auto"/>
        <w:rPr>
          <w:sz w:val="20"/>
          <w:szCs w:val="20"/>
          <w:color w:val="auto"/>
        </w:rPr>
      </w:pPr>
      <w:r>
        <w:rPr>
          <w:rFonts w:ascii="Times New Roman" w:cs="Times New Roman" w:eastAsia="Times New Roman" w:hAnsi="Times New Roman"/>
          <w:sz w:val="14"/>
          <w:szCs w:val="14"/>
          <w:i w:val="1"/>
          <w:iCs w:val="1"/>
          <w:color w:val="auto"/>
        </w:rPr>
        <w:t xml:space="preserve">Research and Development. </w:t>
      </w:r>
      <w:r>
        <w:rPr>
          <w:rFonts w:ascii="Times New Roman" w:cs="Times New Roman" w:eastAsia="Times New Roman" w:hAnsi="Times New Roman"/>
          <w:sz w:val="14"/>
          <w:szCs w:val="14"/>
          <w:color w:val="auto"/>
        </w:rPr>
        <w:t>Research and development expenses primarily consist of employee-related expenses such as salaries and bonuses, stock-based compensation, consulting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expenses related to the design, development, testing, and enhancements of our subscription services,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34" w:lineRule="exact"/>
        <w:rPr>
          <w:sz w:val="20"/>
          <w:szCs w:val="20"/>
          <w:color w:val="auto"/>
        </w:rPr>
      </w:pPr>
    </w:p>
    <w:p>
      <w:pPr>
        <w:ind w:right="120" w:firstLine="517"/>
        <w:spacing w:after="0" w:line="275" w:lineRule="auto"/>
        <w:rPr>
          <w:sz w:val="20"/>
          <w:szCs w:val="20"/>
          <w:color w:val="auto"/>
        </w:rPr>
      </w:pPr>
      <w:r>
        <w:rPr>
          <w:rFonts w:ascii="Times New Roman" w:cs="Times New Roman" w:eastAsia="Times New Roman" w:hAnsi="Times New Roman"/>
          <w:sz w:val="14"/>
          <w:szCs w:val="14"/>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period-to-period depending on the timing of these expenses.</w:t>
      </w:r>
    </w:p>
    <w:p>
      <w:pPr>
        <w:spacing w:after="0" w:line="134" w:lineRule="exact"/>
        <w:rPr>
          <w:sz w:val="20"/>
          <w:szCs w:val="20"/>
          <w:color w:val="auto"/>
        </w:rPr>
      </w:pPr>
    </w:p>
    <w:p>
      <w:pPr>
        <w:ind w:firstLine="517"/>
        <w:spacing w:after="0" w:line="270" w:lineRule="auto"/>
        <w:rPr>
          <w:sz w:val="20"/>
          <w:szCs w:val="20"/>
          <w:color w:val="auto"/>
        </w:rPr>
      </w:pPr>
      <w:r>
        <w:rPr>
          <w:rFonts w:ascii="Times New Roman" w:cs="Times New Roman" w:eastAsia="Times New Roman" w:hAnsi="Times New Roman"/>
          <w:sz w:val="14"/>
          <w:szCs w:val="14"/>
          <w:i w:val="1"/>
          <w:iCs w:val="1"/>
          <w:color w:val="auto"/>
        </w:rPr>
        <w:t xml:space="preserve">General and Administrative. </w:t>
      </w:r>
      <w:r>
        <w:rPr>
          <w:rFonts w:ascii="Times New Roman" w:cs="Times New Roman" w:eastAsia="Times New Roman" w:hAnsi="Times New Roman"/>
          <w:sz w:val="14"/>
          <w:szCs w:val="14"/>
          <w:color w:val="auto"/>
        </w:rPr>
        <w:t>General and administrative expenses consist of employee-related expenses such as salaries and bonuses, stock-based compensation, and related expenses for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executive, finance, human resources, and legal organizations. In addition, general and administrative expenses include outside legal, accounting, and other professional fees, and an allocated portion of facilities and administrative expenses. We expect to incur additional expenses as a result of operating as a public company. As a result, we expect our general and administrative expenses to increase in dollar amount. However, we anticipate general and administrative expenses to decrease as a percentage of our total revenue over time.</w:t>
      </w:r>
    </w:p>
    <w:p>
      <w:pPr>
        <w:spacing w:after="0" w:line="138" w:lineRule="exact"/>
        <w:rPr>
          <w:sz w:val="20"/>
          <w:szCs w:val="20"/>
          <w:color w:val="auto"/>
        </w:rPr>
      </w:pPr>
    </w:p>
    <w:p>
      <w:pPr>
        <w:ind w:right="480" w:firstLine="517"/>
        <w:spacing w:after="0" w:line="297" w:lineRule="auto"/>
        <w:rPr>
          <w:sz w:val="20"/>
          <w:szCs w:val="20"/>
          <w:color w:val="auto"/>
        </w:rPr>
      </w:pPr>
      <w:r>
        <w:rPr>
          <w:rFonts w:ascii="Times New Roman" w:cs="Times New Roman" w:eastAsia="Times New Roman" w:hAnsi="Times New Roman"/>
          <w:sz w:val="14"/>
          <w:szCs w:val="14"/>
          <w:i w:val="1"/>
          <w:iCs w:val="1"/>
          <w:color w:val="auto"/>
        </w:rPr>
        <w:t xml:space="preserve">Other Income (Expense), Net. </w:t>
      </w:r>
      <w:r>
        <w:rPr>
          <w:rFonts w:ascii="Times New Roman" w:cs="Times New Roman" w:eastAsia="Times New Roman" w:hAnsi="Times New Roman"/>
          <w:sz w:val="14"/>
          <w:szCs w:val="14"/>
          <w:color w:val="auto"/>
        </w:rPr>
        <w:t>Other income (expense), net consists primarily of income earned on our cash equivalents and marketable securities, expense related to the fair value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warrants for our redeemable convertible preferred stock, interest expense on our bank facility, and foreign currency transaction gains and losses.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188" w:lineRule="exact"/>
        <w:rPr>
          <w:sz w:val="20"/>
          <w:szCs w:val="20"/>
          <w:color w:val="auto"/>
        </w:rPr>
      </w:pPr>
    </w:p>
    <w:p>
      <w:pPr>
        <w:ind w:right="160" w:firstLine="517"/>
        <w:spacing w:after="0" w:line="275" w:lineRule="auto"/>
        <w:rPr>
          <w:sz w:val="20"/>
          <w:szCs w:val="20"/>
          <w:color w:val="auto"/>
        </w:rPr>
      </w:pPr>
      <w:r>
        <w:rPr>
          <w:rFonts w:ascii="Times New Roman" w:cs="Times New Roman" w:eastAsia="Times New Roman" w:hAnsi="Times New Roman"/>
          <w:sz w:val="14"/>
          <w:szCs w:val="14"/>
          <w:color w:val="auto"/>
        </w:rPr>
        <w:t>Provision for income taxes consists primarily of income taxes in certain foreign jurisdictions in which we conduct business, as well as state income taxes in the United States. We have not recorded any U.S. federal income tax expense. We maintain a full valuation allowance on our federal and state deferred tax assets as we have concluded that it is more likely than not that those deferred assets will not be utilized.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20"/>
          </w:cols>
          <w:pgMar w:left="220" w:top="125" w:right="25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set forth our condensed consolidated statements of operations for each period presented: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1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1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4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60" w:type="dxa"/>
            <w:vAlign w:val="bottom"/>
          </w:tcPr>
          <w:p>
            <w:pPr>
              <w:spacing w:after="0"/>
              <w:rPr>
                <w:sz w:val="13"/>
                <w:szCs w:val="13"/>
                <w:color w:val="auto"/>
              </w:rPr>
            </w:pPr>
          </w:p>
        </w:tc>
      </w:tr>
      <w:tr>
        <w:trPr>
          <w:trHeight w:val="152"/>
        </w:trPr>
        <w:tc>
          <w:tcPr>
            <w:tcW w:w="3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2018</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auto"/>
            </w:tcBorders>
          </w:tcPr>
          <w:p>
            <w:pPr>
              <w:spacing w:after="0"/>
              <w:rPr>
                <w:sz w:val="13"/>
                <w:szCs w:val="13"/>
                <w:color w:val="auto"/>
              </w:rPr>
            </w:pPr>
          </w:p>
        </w:tc>
      </w:tr>
      <w:tr>
        <w:trPr>
          <w:trHeight w:val="152"/>
        </w:trPr>
        <w:tc>
          <w:tcPr>
            <w:tcW w:w="3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r>
      <w:tr>
        <w:trPr>
          <w:trHeight w:val="178"/>
        </w:trPr>
        <w:tc>
          <w:tcPr>
            <w:tcW w:w="3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Subscription</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114,221</w:t>
            </w:r>
          </w:p>
        </w:tc>
        <w:tc>
          <w:tcPr>
            <w:tcW w:w="100" w:type="dxa"/>
            <w:vAlign w:val="bottom"/>
          </w:tcPr>
          <w:p>
            <w:pPr>
              <w:spacing w:after="0"/>
              <w:rPr>
                <w:sz w:val="15"/>
                <w:szCs w:val="15"/>
                <w:color w:val="auto"/>
              </w:rPr>
            </w:pPr>
          </w:p>
        </w:tc>
        <w:tc>
          <w:tcPr>
            <w:tcW w:w="340" w:type="dxa"/>
            <w:vAlign w:val="bottom"/>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57,651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56,570</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297,787</w:t>
            </w:r>
          </w:p>
        </w:tc>
        <w:tc>
          <w:tcPr>
            <w:tcW w:w="100" w:type="dxa"/>
            <w:vAlign w:val="bottom"/>
          </w:tcPr>
          <w:p>
            <w:pPr>
              <w:spacing w:after="0"/>
              <w:rPr>
                <w:sz w:val="15"/>
                <w:szCs w:val="15"/>
                <w:color w:val="auto"/>
              </w:rPr>
            </w:pPr>
          </w:p>
        </w:tc>
        <w:tc>
          <w:tcPr>
            <w:tcW w:w="340" w:type="dxa"/>
            <w:vAlign w:val="bottom"/>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146,570</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151,217</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5"/>
        </w:trPr>
        <w:tc>
          <w:tcPr>
            <w:tcW w:w="3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Professional services</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10,898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8,728</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2,170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31,517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22,799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8,718</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34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 revenue</w:t>
            </w: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125,119</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66,379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58,740</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329,304</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169,369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159,935</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185"/>
        </w:trPr>
        <w:tc>
          <w:tcPr>
            <w:tcW w:w="3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78"/>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5"/>
        </w:trPr>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 xml:space="preserve">Subscription </w:t>
            </w:r>
            <w:r>
              <w:rPr>
                <w:rFonts w:ascii="Times New Roman" w:cs="Times New Roman" w:eastAsia="Times New Roman" w:hAnsi="Times New Roman"/>
                <w:sz w:val="16"/>
                <w:szCs w:val="16"/>
                <w:color w:val="auto"/>
                <w:vertAlign w:val="superscript"/>
              </w:rPr>
              <w:t>(1) (2)</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29,221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17,302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11,919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77,858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47,077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30,781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5"/>
        </w:trPr>
        <w:tc>
          <w:tcPr>
            <w:tcW w:w="3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 xml:space="preserve">Professional services </w:t>
            </w:r>
            <w:r>
              <w:rPr>
                <w:rFonts w:ascii="Times New Roman" w:cs="Times New Roman" w:eastAsia="Times New Roman" w:hAnsi="Times New Roman"/>
                <w:sz w:val="16"/>
                <w:szCs w:val="16"/>
                <w:color w:val="auto"/>
                <w:vertAlign w:val="superscript"/>
              </w:rPr>
              <w:t>(1)</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8,134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4,972</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ind w:right="176"/>
              <w:spacing w:after="0"/>
              <w:rPr>
                <w:sz w:val="20"/>
                <w:szCs w:val="20"/>
                <w:color w:val="auto"/>
              </w:rPr>
            </w:pPr>
            <w:r>
              <w:rPr>
                <w:rFonts w:ascii="Times New Roman" w:cs="Times New Roman" w:eastAsia="Times New Roman" w:hAnsi="Times New Roman"/>
                <w:sz w:val="13"/>
                <w:szCs w:val="13"/>
                <w:color w:val="auto"/>
              </w:rPr>
              <w:t>3,162</w:t>
            </w: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40" w:type="dxa"/>
            <w:vAlign w:val="bottom"/>
            <w:tcBorders>
              <w:bottom w:val="single" w:sz="8" w:color="CCEEFF"/>
            </w:tcBorders>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20,353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13,166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ind w:right="136"/>
              <w:spacing w:after="0"/>
              <w:rPr>
                <w:sz w:val="20"/>
                <w:szCs w:val="20"/>
                <w:color w:val="auto"/>
              </w:rPr>
            </w:pPr>
            <w:r>
              <w:rPr>
                <w:rFonts w:ascii="Times New Roman" w:cs="Times New Roman" w:eastAsia="Times New Roman" w:hAnsi="Times New Roman"/>
                <w:sz w:val="13"/>
                <w:szCs w:val="13"/>
                <w:color w:val="auto"/>
              </w:rPr>
              <w:t>7,187</w:t>
            </w: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6"/>
        </w:trPr>
        <w:tc>
          <w:tcPr>
            <w:tcW w:w="3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cost of revenue</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37,355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22,274</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15,081</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98,211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60,243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37,968</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5"/>
        </w:trPr>
        <w:tc>
          <w:tcPr>
            <w:tcW w:w="34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5"/>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87,764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44,105</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43,659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231,093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109,126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121,967</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5"/>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5"/>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r>
      <w:tr>
        <w:trPr>
          <w:trHeight w:val="205"/>
        </w:trPr>
        <w:tc>
          <w:tcPr>
            <w:tcW w:w="34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xml:space="preserve">Sales and marketing </w:t>
            </w:r>
            <w:r>
              <w:rPr>
                <w:rFonts w:ascii="Times New Roman" w:cs="Times New Roman" w:eastAsia="Times New Roman" w:hAnsi="Times New Roman"/>
                <w:sz w:val="16"/>
                <w:szCs w:val="16"/>
                <w:color w:val="auto"/>
                <w:vertAlign w:val="superscript"/>
              </w:rPr>
              <w:t>(1) (2)</w:t>
            </w:r>
          </w:p>
        </w:tc>
        <w:tc>
          <w:tcPr>
            <w:tcW w:w="140" w:type="dxa"/>
            <w:vAlign w:val="bottom"/>
          </w:tcPr>
          <w:p>
            <w:pPr>
              <w:spacing w:after="0"/>
              <w:rPr>
                <w:sz w:val="17"/>
                <w:szCs w:val="17"/>
                <w:color w:val="auto"/>
              </w:rPr>
            </w:pPr>
          </w:p>
        </w:tc>
        <w:tc>
          <w:tcPr>
            <w:tcW w:w="8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68,675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46,614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22,061</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8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190,792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123,344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67,448</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5"/>
        </w:trPr>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 xml:space="preserve">Research and development </w:t>
            </w:r>
            <w:r>
              <w:rPr>
                <w:rFonts w:ascii="Times New Roman" w:cs="Times New Roman" w:eastAsia="Times New Roman" w:hAnsi="Times New Roman"/>
                <w:sz w:val="16"/>
                <w:szCs w:val="16"/>
                <w:color w:val="auto"/>
                <w:vertAlign w:val="superscript"/>
              </w:rPr>
              <w:t>(1) (2)</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35,992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25,968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10,024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91,497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62,546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28,951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5"/>
        </w:trPr>
        <w:tc>
          <w:tcPr>
            <w:tcW w:w="3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 xml:space="preserve">General and administrative </w:t>
            </w:r>
            <w:r>
              <w:rPr>
                <w:rFonts w:ascii="Times New Roman" w:cs="Times New Roman" w:eastAsia="Times New Roman" w:hAnsi="Times New Roman"/>
                <w:sz w:val="16"/>
                <w:szCs w:val="16"/>
                <w:color w:val="auto"/>
                <w:vertAlign w:val="superscript"/>
              </w:rPr>
              <w:t>(1)</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21,615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13,614</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ind w:right="176"/>
              <w:spacing w:after="0"/>
              <w:rPr>
                <w:sz w:val="20"/>
                <w:szCs w:val="20"/>
                <w:color w:val="auto"/>
              </w:rPr>
            </w:pPr>
            <w:r>
              <w:rPr>
                <w:rFonts w:ascii="Times New Roman" w:cs="Times New Roman" w:eastAsia="Times New Roman" w:hAnsi="Times New Roman"/>
                <w:sz w:val="13"/>
                <w:szCs w:val="13"/>
                <w:color w:val="auto"/>
              </w:rPr>
              <w:t>8,001</w:t>
            </w: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40" w:type="dxa"/>
            <w:vAlign w:val="bottom"/>
            <w:tcBorders>
              <w:bottom w:val="single" w:sz="8" w:color="CCEEFF"/>
            </w:tcBorders>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63,737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28,868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ind w:right="136"/>
              <w:spacing w:after="0"/>
              <w:rPr>
                <w:sz w:val="20"/>
                <w:szCs w:val="20"/>
                <w:color w:val="auto"/>
              </w:rPr>
            </w:pPr>
            <w:r>
              <w:rPr>
                <w:rFonts w:ascii="Times New Roman" w:cs="Times New Roman" w:eastAsia="Times New Roman" w:hAnsi="Times New Roman"/>
                <w:sz w:val="13"/>
                <w:szCs w:val="13"/>
                <w:color w:val="auto"/>
              </w:rPr>
              <w:t>34,869</w:t>
            </w: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6"/>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126,282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86,196</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40,086</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346,026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214,758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131,268</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5"/>
        </w:trPr>
        <w:tc>
          <w:tcPr>
            <w:tcW w:w="34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5"/>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from operations</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(38,518)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(42,091)</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3,573</w:t>
            </w:r>
          </w:p>
        </w:tc>
        <w:tc>
          <w:tcPr>
            <w:tcW w:w="860" w:type="dxa"/>
            <w:vAlign w:val="bottom"/>
            <w:tcBorders>
              <w:bottom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(8) %</w:t>
            </w: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(114,933)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(105,632)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(9,301)</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5"/>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r>
      <w:tr>
        <w:trPr>
          <w:trHeight w:val="185"/>
        </w:trPr>
        <w:tc>
          <w:tcPr>
            <w:tcW w:w="3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(132)</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131</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 %</w:t>
            </w:r>
          </w:p>
        </w:tc>
      </w:tr>
      <w:tr>
        <w:trPr>
          <w:trHeight w:val="178"/>
        </w:trPr>
        <w:tc>
          <w:tcPr>
            <w:tcW w:w="3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40" w:type="dxa"/>
            <w:vAlign w:val="bottom"/>
          </w:tcPr>
          <w:p>
            <w:pPr>
              <w:spacing w:after="0"/>
              <w:rPr>
                <w:sz w:val="15"/>
                <w:szCs w:val="15"/>
                <w:color w:val="auto"/>
              </w:rPr>
            </w:pPr>
          </w:p>
        </w:tc>
        <w:tc>
          <w:tcPr>
            <w:tcW w:w="8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3,579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303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3,276</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3,523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(1,739)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5,262</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185"/>
        </w:trPr>
        <w:tc>
          <w:tcPr>
            <w:tcW w:w="3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78"/>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before provision for income taxes</w:t>
            </w:r>
          </w:p>
        </w:tc>
        <w:tc>
          <w:tcPr>
            <w:tcW w:w="14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(35,071)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(41,788)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6,717</w:t>
            </w:r>
          </w:p>
        </w:tc>
        <w:tc>
          <w:tcPr>
            <w:tcW w:w="86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(16) %</w:t>
            </w:r>
          </w:p>
        </w:tc>
        <w:tc>
          <w:tcPr>
            <w:tcW w:w="180" w:type="dxa"/>
            <w:vAlign w:val="bottom"/>
          </w:tcPr>
          <w:p>
            <w:pPr>
              <w:spacing w:after="0"/>
              <w:rPr>
                <w:sz w:val="15"/>
                <w:szCs w:val="15"/>
                <w:color w:val="auto"/>
              </w:rPr>
            </w:pPr>
          </w:p>
        </w:tc>
        <w:tc>
          <w:tcPr>
            <w:tcW w:w="8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(111,707)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(107,799)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(3,908)</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5"/>
        </w:trPr>
        <w:tc>
          <w:tcPr>
            <w:tcW w:w="3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78"/>
        </w:trPr>
        <w:tc>
          <w:tcPr>
            <w:tcW w:w="3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4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(434)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(535)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101</w:t>
            </w:r>
          </w:p>
        </w:tc>
        <w:tc>
          <w:tcPr>
            <w:tcW w:w="86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(19) %</w:t>
            </w:r>
          </w:p>
        </w:tc>
        <w:tc>
          <w:tcPr>
            <w:tcW w:w="180" w:type="dxa"/>
            <w:vAlign w:val="bottom"/>
          </w:tcPr>
          <w:p>
            <w:pPr>
              <w:spacing w:after="0"/>
              <w:rPr>
                <w:sz w:val="15"/>
                <w:szCs w:val="15"/>
                <w:color w:val="auto"/>
              </w:rPr>
            </w:pPr>
          </w:p>
        </w:tc>
        <w:tc>
          <w:tcPr>
            <w:tcW w:w="8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(1,664)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(1,018)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(646)</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5"/>
        </w:trPr>
        <w:tc>
          <w:tcPr>
            <w:tcW w:w="3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3"/>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(35,505)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(42,323)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6,818</w:t>
            </w:r>
          </w:p>
        </w:tc>
        <w:tc>
          <w:tcPr>
            <w:tcW w:w="86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(16) %</w:t>
            </w:r>
          </w:p>
        </w:tc>
        <w:tc>
          <w:tcPr>
            <w:tcW w:w="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(113,371)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(108,817)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(4,554)</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58" w:lineRule="exact"/>
        <w:rPr>
          <w:sz w:val="20"/>
          <w:szCs w:val="20"/>
          <w:color w:val="auto"/>
        </w:rPr>
      </w:pPr>
    </w:p>
    <w:p>
      <w:pPr>
        <w:ind w:left="1040" w:hanging="517"/>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expense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0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tcPr>
          <w:p>
            <w:pPr>
              <w:ind w:left="22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320" w:type="dxa"/>
            <w:vAlign w:val="bottom"/>
          </w:tcPr>
          <w:p>
            <w:pPr>
              <w:spacing w:after="0"/>
              <w:rPr>
                <w:sz w:val="13"/>
                <w:szCs w:val="13"/>
                <w:color w:val="auto"/>
              </w:rPr>
            </w:pPr>
          </w:p>
        </w:tc>
        <w:tc>
          <w:tcPr>
            <w:tcW w:w="2420" w:type="dxa"/>
            <w:vAlign w:val="bottom"/>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Borders>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3"/>
          </w:tcPr>
          <w:p>
            <w:pPr>
              <w:jc w:val="right"/>
              <w:ind w:right="4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3"/>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cost of revenue</w:t>
            </w:r>
          </w:p>
        </w:tc>
        <w:tc>
          <w:tcPr>
            <w:tcW w:w="218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1,666</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3,164</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services cost of revenue</w:t>
            </w:r>
          </w:p>
        </w:tc>
        <w:tc>
          <w:tcPr>
            <w:tcW w:w="1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1,531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18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7,355</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2,137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15,511</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3,941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4,696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6,245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10,353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7,232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7,465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4,643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25,018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8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21,966</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13,460</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55,577</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17,403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45</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0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406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-26035</wp:posOffset>
            </wp:positionV>
            <wp:extent cx="32385"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40" w:hanging="517"/>
        <w:spacing w:after="0"/>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acquired intangible assets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40" w:type="dxa"/>
            <w:vAlign w:val="bottom"/>
          </w:tcPr>
          <w:p>
            <w:pPr>
              <w:spacing w:after="0"/>
              <w:rPr>
                <w:sz w:val="13"/>
                <w:szCs w:val="13"/>
                <w:color w:val="auto"/>
              </w:rPr>
            </w:pPr>
          </w:p>
        </w:tc>
        <w:tc>
          <w:tcPr>
            <w:tcW w:w="228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460" w:type="dxa"/>
            <w:vAlign w:val="bottom"/>
            <w:tcBorders>
              <w:bottom w:val="single" w:sz="8" w:color="auto"/>
            </w:tcBorders>
          </w:tcPr>
          <w:p>
            <w:pPr>
              <w:spacing w:after="0"/>
              <w:rPr>
                <w:sz w:val="13"/>
                <w:szCs w:val="13"/>
                <w:color w:val="auto"/>
              </w:rPr>
            </w:pPr>
          </w:p>
        </w:tc>
      </w:tr>
      <w:tr>
        <w:trPr>
          <w:trHeight w:val="152"/>
        </w:trPr>
        <w:tc>
          <w:tcPr>
            <w:tcW w:w="5940" w:type="dxa"/>
            <w:vAlign w:val="bottom"/>
          </w:tcPr>
          <w:p>
            <w:pPr>
              <w:spacing w:after="0"/>
              <w:rPr>
                <w:sz w:val="13"/>
                <w:szCs w:val="13"/>
                <w:color w:val="auto"/>
              </w:rPr>
            </w:pPr>
          </w:p>
        </w:tc>
        <w:tc>
          <w:tcPr>
            <w:tcW w:w="8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rPr>
              <w:t>2019</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2018</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rPr>
              <w:t>2019</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2018</w:t>
            </w:r>
          </w:p>
        </w:tc>
        <w:tc>
          <w:tcPr>
            <w:tcW w:w="460" w:type="dxa"/>
            <w:vAlign w:val="bottom"/>
            <w:tcBorders>
              <w:bottom w:val="single" w:sz="8" w:color="auto"/>
            </w:tcBorders>
          </w:tcPr>
          <w:p>
            <w:pPr>
              <w:spacing w:after="0"/>
              <w:rPr>
                <w:sz w:val="13"/>
                <w:szCs w:val="13"/>
                <w:color w:val="auto"/>
              </w:rPr>
            </w:pPr>
          </w:p>
        </w:tc>
      </w:tr>
      <w:tr>
        <w:trPr>
          <w:trHeight w:val="152"/>
        </w:trPr>
        <w:tc>
          <w:tcPr>
            <w:tcW w:w="5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gridSpan w:val="3"/>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gridSpan w:val="3"/>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60" w:type="dxa"/>
            <w:vAlign w:val="bottom"/>
          </w:tcPr>
          <w:p>
            <w:pPr>
              <w:spacing w:after="0"/>
              <w:rPr>
                <w:sz w:val="13"/>
                <w:szCs w:val="13"/>
                <w:color w:val="auto"/>
              </w:rPr>
            </w:pPr>
          </w:p>
        </w:tc>
      </w:tr>
      <w:tr>
        <w:trPr>
          <w:trHeight w:val="20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cost of revenue</w:t>
            </w:r>
          </w:p>
        </w:tc>
        <w:tc>
          <w:tcPr>
            <w:tcW w:w="860" w:type="dxa"/>
            <w:vAlign w:val="bottom"/>
            <w:tcBorders>
              <w:bottom w:val="single" w:sz="8" w:color="CCEEFF"/>
            </w:tcBorders>
            <w:shd w:val="clear" w:color="auto" w:fill="CCEEFF"/>
          </w:tcPr>
          <w:p>
            <w:pPr>
              <w:jc w:val="right"/>
              <w:ind w:right="695"/>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695"/>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69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222</w:t>
            </w:r>
          </w:p>
        </w:tc>
      </w:tr>
      <w:tr>
        <w:trPr>
          <w:trHeight w:val="193"/>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860" w:type="dxa"/>
            <w:vAlign w:val="bottom"/>
          </w:tcPr>
          <w:p>
            <w:pPr>
              <w:spacing w:after="0"/>
              <w:rPr>
                <w:sz w:val="16"/>
                <w:szCs w:val="16"/>
                <w:color w:val="auto"/>
              </w:rPr>
            </w:pPr>
          </w:p>
        </w:tc>
        <w:tc>
          <w:tcPr>
            <w:tcW w:w="4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111</w:t>
            </w:r>
          </w:p>
        </w:tc>
      </w:tr>
      <w:tr>
        <w:trPr>
          <w:trHeight w:val="23"/>
        </w:trPr>
        <w:tc>
          <w:tcPr>
            <w:tcW w:w="5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102</w:t>
            </w:r>
          </w:p>
        </w:tc>
      </w:tr>
      <w:tr>
        <w:trPr>
          <w:trHeight w:val="206"/>
        </w:trPr>
        <w:tc>
          <w:tcPr>
            <w:tcW w:w="5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amortization of purchased intangibles</w:t>
            </w:r>
          </w:p>
        </w:tc>
        <w:tc>
          <w:tcPr>
            <w:tcW w:w="86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435</w:t>
            </w:r>
          </w:p>
        </w:tc>
      </w:tr>
      <w:tr>
        <w:trPr>
          <w:trHeight w:val="20"/>
        </w:trPr>
        <w:tc>
          <w:tcPr>
            <w:tcW w:w="5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components of our condensed consolidated statements of operations as a percentage of total revenue for the periods presented:</w:t>
      </w:r>
    </w:p>
    <w:p>
      <w:pPr>
        <w:sectPr>
          <w:pgSz w:w="11900" w:h="16838" w:orient="portrait"/>
          <w:cols w:equalWidth="0" w:num="1">
            <w:col w:w="11460"/>
          </w:cols>
          <w:pgMar w:left="220" w:top="125" w:right="219" w:bottom="1440" w:gutter="0" w:footer="0" w:header="0"/>
        </w:sectPr>
      </w:pPr>
    </w:p>
    <w:p>
      <w:pPr>
        <w:spacing w:after="0" w:line="5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20955</wp:posOffset>
            </wp:positionV>
            <wp:extent cx="175196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51965" cy="6985"/>
                    </a:xfrm>
                    <a:prstGeom prst="rect">
                      <a:avLst/>
                    </a:prstGeom>
                    <a:noFill/>
                  </pic:spPr>
                </pic:pic>
              </a:graphicData>
            </a:graphic>
          </wp:anchor>
        </w:drawing>
      </w:r>
    </w:p>
    <w:p>
      <w:pPr>
        <w:spacing w:after="0" w:line="26" w:lineRule="exact"/>
        <w:rPr>
          <w:sz w:val="20"/>
          <w:szCs w:val="20"/>
          <w:color w:val="auto"/>
        </w:rPr>
      </w:pPr>
    </w:p>
    <w:p>
      <w:pPr>
        <w:ind w:left="6360"/>
        <w:spacing w:after="0"/>
        <w:tabs>
          <w:tab w:leader="none" w:pos="7780" w:val="left"/>
        </w:tabs>
        <w:rPr>
          <w:sz w:val="20"/>
          <w:szCs w:val="20"/>
          <w:color w:val="auto"/>
        </w:rPr>
      </w:pPr>
      <w:r>
        <w:rPr>
          <w:rFonts w:ascii="Times New Roman" w:cs="Times New Roman" w:eastAsia="Times New Roman" w:hAnsi="Times New Roman"/>
          <w:sz w:val="11"/>
          <w:szCs w:val="11"/>
          <w:b w:val="1"/>
          <w:bCs w:val="1"/>
          <w:color w:val="auto"/>
        </w:rPr>
        <w:t>2019</w:t>
      </w:r>
      <w:r>
        <w:rPr>
          <w:sz w:val="20"/>
          <w:szCs w:val="20"/>
          <w:color w:val="auto"/>
        </w:rPr>
        <w:tab/>
      </w:r>
      <w:r>
        <w:rPr>
          <w:rFonts w:ascii="Times New Roman" w:cs="Times New Roman" w:eastAsia="Times New Roman" w:hAnsi="Times New Roman"/>
          <w:sz w:val="11"/>
          <w:szCs w:val="11"/>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20955</wp:posOffset>
            </wp:positionV>
            <wp:extent cx="175196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51965" cy="6985"/>
                    </a:xfrm>
                    <a:prstGeom prst="rect">
                      <a:avLst/>
                    </a:prstGeom>
                    <a:noFill/>
                  </pic:spPr>
                </pic:pic>
              </a:graphicData>
            </a:graphic>
          </wp:anchor>
        </w:drawing>
      </w:r>
    </w:p>
    <w:p>
      <w:pPr>
        <w:spacing w:after="0" w:line="26" w:lineRule="exact"/>
        <w:rPr>
          <w:sz w:val="20"/>
          <w:szCs w:val="20"/>
          <w:color w:val="auto"/>
        </w:rPr>
      </w:pPr>
    </w:p>
    <w:p>
      <w:pPr>
        <w:ind w:left="6420"/>
        <w:spacing w:after="0"/>
        <w:tabs>
          <w:tab w:leader="none" w:pos="7840" w:val="left"/>
        </w:tabs>
        <w:rPr>
          <w:sz w:val="20"/>
          <w:szCs w:val="20"/>
          <w:color w:val="auto"/>
        </w:rPr>
      </w:pPr>
      <w:r>
        <w:rPr>
          <w:rFonts w:ascii="Times New Roman" w:cs="Times New Roman" w:eastAsia="Times New Roman" w:hAnsi="Times New Roman"/>
          <w:sz w:val="11"/>
          <w:szCs w:val="11"/>
          <w:b w:val="1"/>
          <w:bCs w:val="1"/>
          <w:color w:val="auto"/>
        </w:rPr>
        <w:t>%</w:t>
      </w:r>
      <w:r>
        <w:rPr>
          <w:sz w:val="20"/>
          <w:szCs w:val="20"/>
          <w:color w:val="auto"/>
        </w:rPr>
        <w:tab/>
      </w: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20955</wp:posOffset>
            </wp:positionV>
            <wp:extent cx="175196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51965" cy="6985"/>
                    </a:xfrm>
                    <a:prstGeom prst="rect">
                      <a:avLst/>
                    </a:prstGeom>
                    <a:noFill/>
                  </pic:spPr>
                </pic:pic>
              </a:graphicData>
            </a:graphic>
          </wp:anchor>
        </w:drawing>
      </w:r>
    </w:p>
    <w:p>
      <w:pPr>
        <w:spacing w:after="0" w:line="2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1"/>
          <w:szCs w:val="11"/>
          <w:b w:val="1"/>
          <w:bCs w:val="1"/>
          <w:color w:val="auto"/>
        </w:rPr>
        <w:t>2019</w:t>
      </w:r>
      <w:r>
        <w:rPr>
          <w:sz w:val="20"/>
          <w:szCs w:val="20"/>
          <w:color w:val="auto"/>
        </w:rPr>
        <w:tab/>
      </w:r>
      <w:r>
        <w:rPr>
          <w:rFonts w:ascii="Times New Roman" w:cs="Times New Roman" w:eastAsia="Times New Roman" w:hAnsi="Times New Roman"/>
          <w:sz w:val="11"/>
          <w:szCs w:val="11"/>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20955</wp:posOffset>
            </wp:positionV>
            <wp:extent cx="175196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51965" cy="6985"/>
                    </a:xfrm>
                    <a:prstGeom prst="rect">
                      <a:avLst/>
                    </a:prstGeom>
                    <a:noFill/>
                  </pic:spPr>
                </pic:pic>
              </a:graphicData>
            </a:graphic>
          </wp:anchor>
        </w:drawing>
      </w:r>
    </w:p>
    <w:p>
      <w:pPr>
        <w:spacing w:after="0" w:line="26" w:lineRule="exact"/>
        <w:rPr>
          <w:sz w:val="20"/>
          <w:szCs w:val="20"/>
          <w:color w:val="auto"/>
        </w:rPr>
      </w:pPr>
    </w:p>
    <w:p>
      <w:pPr>
        <w:ind w:left="60"/>
        <w:spacing w:after="0"/>
        <w:tabs>
          <w:tab w:leader="none" w:pos="1480" w:val="left"/>
        </w:tabs>
        <w:rPr>
          <w:sz w:val="20"/>
          <w:szCs w:val="20"/>
          <w:color w:val="auto"/>
        </w:rPr>
      </w:pPr>
      <w:r>
        <w:rPr>
          <w:rFonts w:ascii="Times New Roman" w:cs="Times New Roman" w:eastAsia="Times New Roman" w:hAnsi="Times New Roman"/>
          <w:sz w:val="11"/>
          <w:szCs w:val="11"/>
          <w:b w:val="1"/>
          <w:bCs w:val="1"/>
          <w:color w:val="auto"/>
        </w:rPr>
        <w:t>%</w:t>
      </w:r>
      <w:r>
        <w:rPr>
          <w:sz w:val="20"/>
          <w:szCs w:val="20"/>
          <w:color w:val="auto"/>
        </w:rPr>
        <w:tab/>
      </w:r>
      <w:r>
        <w:rPr>
          <w:rFonts w:ascii="Times New Roman" w:cs="Times New Roman" w:eastAsia="Times New Roman" w:hAnsi="Times New Roman"/>
          <w:sz w:val="11"/>
          <w:szCs w:val="11"/>
          <w:b w:val="1"/>
          <w:bCs w:val="1"/>
          <w:color w:val="auto"/>
        </w:rPr>
        <w:t>%</w:t>
      </w:r>
    </w:p>
    <w:p>
      <w:pPr>
        <w:spacing w:after="0" w:line="44" w:lineRule="exact"/>
        <w:rPr>
          <w:sz w:val="20"/>
          <w:szCs w:val="20"/>
          <w:color w:val="auto"/>
        </w:rPr>
      </w:pPr>
    </w:p>
    <w:p>
      <w:pPr>
        <w:sectPr>
          <w:pgSz w:w="11900" w:h="16838" w:orient="portrait"/>
          <w:cols w:equalWidth="0" w:num="2">
            <w:col w:w="8500" w:space="720"/>
            <w:col w:w="2240"/>
          </w:cols>
          <w:pgMar w:left="220" w:top="125" w:right="21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6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3"/>
        </w:trPr>
        <w:tc>
          <w:tcPr>
            <w:tcW w:w="3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Subscription</w:t>
            </w:r>
          </w:p>
        </w:tc>
        <w:tc>
          <w:tcPr>
            <w:tcW w:w="36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91 %</w:t>
            </w:r>
          </w:p>
        </w:tc>
        <w:tc>
          <w:tcPr>
            <w:tcW w:w="14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87 %</w:t>
            </w:r>
          </w:p>
        </w:tc>
        <w:tc>
          <w:tcPr>
            <w:tcW w:w="14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90 %</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20" w:type="dxa"/>
            <w:vAlign w:val="bottom"/>
          </w:tcPr>
          <w:p>
            <w:pPr>
              <w:spacing w:after="0"/>
              <w:rPr>
                <w:sz w:val="16"/>
                <w:szCs w:val="16"/>
                <w:color w:val="auto"/>
              </w:rPr>
            </w:pPr>
          </w:p>
        </w:tc>
      </w:tr>
      <w:tr>
        <w:trPr>
          <w:trHeight w:val="23"/>
        </w:trPr>
        <w:tc>
          <w:tcPr>
            <w:tcW w:w="39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Professional services</w:t>
            </w:r>
          </w:p>
        </w:tc>
        <w:tc>
          <w:tcPr>
            <w:tcW w:w="368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9 %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13 %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10 %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20" w:type="dxa"/>
            <w:vAlign w:val="bottom"/>
          </w:tcPr>
          <w:p>
            <w:pPr>
              <w:spacing w:after="0"/>
              <w:rPr>
                <w:sz w:val="17"/>
                <w:szCs w:val="17"/>
                <w:color w:val="auto"/>
              </w:rPr>
            </w:pPr>
          </w:p>
        </w:tc>
      </w:tr>
      <w:tr>
        <w:trPr>
          <w:trHeight w:val="193"/>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revenue</w:t>
            </w:r>
          </w:p>
        </w:tc>
        <w:tc>
          <w:tcPr>
            <w:tcW w:w="36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100 %</w:t>
            </w:r>
          </w:p>
        </w:tc>
        <w:tc>
          <w:tcPr>
            <w:tcW w:w="14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100 %</w:t>
            </w:r>
          </w:p>
        </w:tc>
        <w:tc>
          <w:tcPr>
            <w:tcW w:w="14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100 %</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20" w:type="dxa"/>
            <w:vAlign w:val="bottom"/>
          </w:tcPr>
          <w:p>
            <w:pPr>
              <w:spacing w:after="0"/>
              <w:rPr>
                <w:sz w:val="16"/>
                <w:szCs w:val="16"/>
                <w:color w:val="auto"/>
              </w:rPr>
            </w:pPr>
          </w:p>
        </w:tc>
      </w:tr>
      <w:tr>
        <w:trPr>
          <w:trHeight w:val="23"/>
        </w:trPr>
        <w:tc>
          <w:tcPr>
            <w:tcW w:w="39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396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3"/>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3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39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Subscription</w:t>
            </w:r>
          </w:p>
        </w:tc>
        <w:tc>
          <w:tcPr>
            <w:tcW w:w="368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23 %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26 %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24 %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20" w:type="dxa"/>
            <w:vAlign w:val="bottom"/>
          </w:tcPr>
          <w:p>
            <w:pPr>
              <w:spacing w:after="0"/>
              <w:rPr>
                <w:sz w:val="17"/>
                <w:szCs w:val="17"/>
                <w:color w:val="auto"/>
              </w:rPr>
            </w:pPr>
          </w:p>
        </w:tc>
      </w:tr>
      <w:tr>
        <w:trPr>
          <w:trHeight w:val="193"/>
        </w:trPr>
        <w:tc>
          <w:tcPr>
            <w:tcW w:w="3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Professional services</w:t>
            </w:r>
          </w:p>
        </w:tc>
        <w:tc>
          <w:tcPr>
            <w:tcW w:w="36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7 %</w:t>
            </w:r>
          </w:p>
        </w:tc>
        <w:tc>
          <w:tcPr>
            <w:tcW w:w="14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7 %</w:t>
            </w:r>
          </w:p>
        </w:tc>
        <w:tc>
          <w:tcPr>
            <w:tcW w:w="14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6 %</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20" w:type="dxa"/>
            <w:vAlign w:val="bottom"/>
          </w:tcPr>
          <w:p>
            <w:pPr>
              <w:spacing w:after="0"/>
              <w:rPr>
                <w:sz w:val="16"/>
                <w:szCs w:val="16"/>
                <w:color w:val="auto"/>
              </w:rPr>
            </w:pPr>
          </w:p>
        </w:tc>
      </w:tr>
      <w:tr>
        <w:trPr>
          <w:trHeight w:val="23"/>
        </w:trPr>
        <w:tc>
          <w:tcPr>
            <w:tcW w:w="39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cost of revenue</w:t>
            </w:r>
          </w:p>
        </w:tc>
        <w:tc>
          <w:tcPr>
            <w:tcW w:w="368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30 %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34 %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30 %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20" w:type="dxa"/>
            <w:vAlign w:val="bottom"/>
          </w:tcPr>
          <w:p>
            <w:pPr>
              <w:spacing w:after="0"/>
              <w:rPr>
                <w:sz w:val="17"/>
                <w:szCs w:val="17"/>
                <w:color w:val="auto"/>
              </w:rPr>
            </w:pPr>
          </w:p>
        </w:tc>
      </w:tr>
      <w:tr>
        <w:trPr>
          <w:trHeight w:val="205"/>
        </w:trPr>
        <w:tc>
          <w:tcPr>
            <w:tcW w:w="39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68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70 %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66 %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70 %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20" w:type="dxa"/>
            <w:vAlign w:val="bottom"/>
          </w:tcPr>
          <w:p>
            <w:pPr>
              <w:spacing w:after="0"/>
              <w:rPr>
                <w:sz w:val="17"/>
                <w:szCs w:val="17"/>
                <w:color w:val="auto"/>
              </w:rPr>
            </w:pPr>
          </w:p>
        </w:tc>
      </w:tr>
      <w:tr>
        <w:trPr>
          <w:trHeight w:val="205"/>
        </w:trPr>
        <w:tc>
          <w:tcPr>
            <w:tcW w:w="39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6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3"/>
        </w:trPr>
        <w:tc>
          <w:tcPr>
            <w:tcW w:w="3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Sales and marketing</w:t>
            </w:r>
          </w:p>
        </w:tc>
        <w:tc>
          <w:tcPr>
            <w:tcW w:w="36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55 %</w:t>
            </w:r>
          </w:p>
        </w:tc>
        <w:tc>
          <w:tcPr>
            <w:tcW w:w="14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70 %</w:t>
            </w:r>
          </w:p>
        </w:tc>
        <w:tc>
          <w:tcPr>
            <w:tcW w:w="14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58 %</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20" w:type="dxa"/>
            <w:vAlign w:val="bottom"/>
          </w:tcPr>
          <w:p>
            <w:pPr>
              <w:spacing w:after="0"/>
              <w:rPr>
                <w:sz w:val="16"/>
                <w:szCs w:val="16"/>
                <w:color w:val="auto"/>
              </w:rPr>
            </w:pPr>
          </w:p>
        </w:tc>
      </w:tr>
      <w:tr>
        <w:trPr>
          <w:trHeight w:val="23"/>
        </w:trPr>
        <w:tc>
          <w:tcPr>
            <w:tcW w:w="39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8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29 %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39 %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28 %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20" w:type="dxa"/>
            <w:vAlign w:val="bottom"/>
          </w:tcPr>
          <w:p>
            <w:pPr>
              <w:spacing w:after="0"/>
              <w:rPr>
                <w:sz w:val="17"/>
                <w:szCs w:val="17"/>
                <w:color w:val="auto"/>
              </w:rPr>
            </w:pPr>
          </w:p>
        </w:tc>
      </w:tr>
      <w:tr>
        <w:trPr>
          <w:trHeight w:val="193"/>
        </w:trPr>
        <w:tc>
          <w:tcPr>
            <w:tcW w:w="3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17 %</w:t>
            </w:r>
          </w:p>
        </w:tc>
        <w:tc>
          <w:tcPr>
            <w:tcW w:w="14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21 %</w:t>
            </w:r>
          </w:p>
        </w:tc>
        <w:tc>
          <w:tcPr>
            <w:tcW w:w="14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19 %</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20" w:type="dxa"/>
            <w:vAlign w:val="bottom"/>
          </w:tcPr>
          <w:p>
            <w:pPr>
              <w:spacing w:after="0"/>
              <w:rPr>
                <w:sz w:val="16"/>
                <w:szCs w:val="16"/>
                <w:color w:val="auto"/>
              </w:rPr>
            </w:pPr>
          </w:p>
        </w:tc>
      </w:tr>
      <w:tr>
        <w:trPr>
          <w:trHeight w:val="23"/>
        </w:trPr>
        <w:tc>
          <w:tcPr>
            <w:tcW w:w="39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68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101 %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130 %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105 %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20" w:type="dxa"/>
            <w:vAlign w:val="bottom"/>
          </w:tcPr>
          <w:p>
            <w:pPr>
              <w:spacing w:after="0"/>
              <w:rPr>
                <w:sz w:val="17"/>
                <w:szCs w:val="17"/>
                <w:color w:val="auto"/>
              </w:rPr>
            </w:pPr>
          </w:p>
        </w:tc>
      </w:tr>
      <w:tr>
        <w:trPr>
          <w:trHeight w:val="205"/>
        </w:trPr>
        <w:tc>
          <w:tcPr>
            <w:tcW w:w="39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368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(31)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(63)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(35)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20" w:type="dxa"/>
            <w:vAlign w:val="bottom"/>
          </w:tcPr>
          <w:p>
            <w:pPr>
              <w:spacing w:after="0"/>
              <w:rPr>
                <w:sz w:val="17"/>
                <w:szCs w:val="17"/>
                <w:color w:val="auto"/>
              </w:rPr>
            </w:pPr>
          </w:p>
        </w:tc>
      </w:tr>
      <w:tr>
        <w:trPr>
          <w:trHeight w:val="193"/>
        </w:trPr>
        <w:tc>
          <w:tcPr>
            <w:tcW w:w="3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36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 %</w:t>
            </w:r>
          </w:p>
        </w:tc>
        <w:tc>
          <w:tcPr>
            <w:tcW w:w="14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 %</w:t>
            </w:r>
          </w:p>
        </w:tc>
        <w:tc>
          <w:tcPr>
            <w:tcW w:w="14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r>
      <w:tr>
        <w:trPr>
          <w:trHeight w:val="23"/>
        </w:trPr>
        <w:tc>
          <w:tcPr>
            <w:tcW w:w="39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68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3 %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0 %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1 %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20" w:type="dxa"/>
            <w:vAlign w:val="bottom"/>
          </w:tcPr>
          <w:p>
            <w:pPr>
              <w:spacing w:after="0"/>
              <w:rPr>
                <w:sz w:val="17"/>
                <w:szCs w:val="17"/>
                <w:color w:val="auto"/>
              </w:rPr>
            </w:pPr>
          </w:p>
        </w:tc>
      </w:tr>
      <w:tr>
        <w:trPr>
          <w:trHeight w:val="205"/>
        </w:trPr>
        <w:tc>
          <w:tcPr>
            <w:tcW w:w="39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provision for income taxes</w:t>
            </w:r>
          </w:p>
        </w:tc>
        <w:tc>
          <w:tcPr>
            <w:tcW w:w="368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(28)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(63)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(34)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20" w:type="dxa"/>
            <w:vAlign w:val="bottom"/>
          </w:tcPr>
          <w:p>
            <w:pPr>
              <w:spacing w:after="0"/>
              <w:rPr>
                <w:sz w:val="17"/>
                <w:szCs w:val="17"/>
                <w:color w:val="auto"/>
              </w:rPr>
            </w:pPr>
          </w:p>
        </w:tc>
      </w:tr>
      <w:tr>
        <w:trPr>
          <w:trHeight w:val="205"/>
        </w:trPr>
        <w:tc>
          <w:tcPr>
            <w:tcW w:w="39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68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(1)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(1)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20" w:type="dxa"/>
            <w:vAlign w:val="bottom"/>
          </w:tcPr>
          <w:p>
            <w:pPr>
              <w:spacing w:after="0"/>
              <w:rPr>
                <w:sz w:val="17"/>
                <w:szCs w:val="17"/>
                <w:color w:val="auto"/>
              </w:rPr>
            </w:pPr>
          </w:p>
        </w:tc>
      </w:tr>
      <w:tr>
        <w:trPr>
          <w:trHeight w:val="205"/>
        </w:trPr>
        <w:tc>
          <w:tcPr>
            <w:tcW w:w="39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68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(28)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(64)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(34)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20" w:type="dxa"/>
            <w:vAlign w:val="bottom"/>
          </w:tcPr>
          <w:p>
            <w:pPr>
              <w:spacing w:after="0"/>
              <w:rPr>
                <w:sz w:val="17"/>
                <w:szCs w:val="17"/>
                <w:color w:val="auto"/>
              </w:rPr>
            </w:pPr>
          </w:p>
        </w:tc>
      </w:tr>
      <w:tr>
        <w:trPr>
          <w:trHeight w:val="818"/>
        </w:trPr>
        <w:tc>
          <w:tcPr>
            <w:tcW w:w="3960" w:type="dxa"/>
            <w:vAlign w:val="bottom"/>
          </w:tcPr>
          <w:p>
            <w:pPr>
              <w:spacing w:after="0"/>
              <w:rPr>
                <w:sz w:val="24"/>
                <w:szCs w:val="24"/>
                <w:color w:val="auto"/>
              </w:rPr>
            </w:pPr>
          </w:p>
        </w:tc>
        <w:tc>
          <w:tcPr>
            <w:tcW w:w="3680" w:type="dxa"/>
            <w:vAlign w:val="bottom"/>
          </w:tcPr>
          <w:p>
            <w:pPr>
              <w:jc w:val="right"/>
              <w:ind w:right="1768"/>
              <w:spacing w:after="0"/>
              <w:rPr>
                <w:sz w:val="20"/>
                <w:szCs w:val="20"/>
                <w:color w:val="auto"/>
              </w:rPr>
            </w:pPr>
            <w:r>
              <w:rPr>
                <w:rFonts w:ascii="Times New Roman" w:cs="Times New Roman" w:eastAsia="Times New Roman" w:hAnsi="Times New Roman"/>
                <w:sz w:val="14"/>
                <w:szCs w:val="14"/>
                <w:color w:val="auto"/>
              </w:rPr>
              <w:t>46</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9"/>
        </w:trPr>
        <w:tc>
          <w:tcPr>
            <w:tcW w:w="3960" w:type="dxa"/>
            <w:vAlign w:val="bottom"/>
            <w:tcBorders>
              <w:bottom w:val="single" w:sz="8" w:color="9A9A9A"/>
            </w:tcBorders>
          </w:tcPr>
          <w:p>
            <w:pPr>
              <w:spacing w:after="0"/>
              <w:rPr>
                <w:sz w:val="7"/>
                <w:szCs w:val="7"/>
                <w:color w:val="auto"/>
              </w:rPr>
            </w:pPr>
          </w:p>
        </w:tc>
        <w:tc>
          <w:tcPr>
            <w:tcW w:w="368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-26035</wp:posOffset>
            </wp:positionV>
            <wp:extent cx="32385"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type w:val="continuous"/>
        </w:sectPr>
      </w:pPr>
    </w:p>
    <w:bookmarkStart w:id="46" w:name="page47"/>
    <w:bookmarkEnd w:id="4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October 31, 2019 and 2018</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shows total revenue from subscriptions and professional services for the three months ended October 31, 2019 as compared to the three months ended October 31, 2018:</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tcPr>
          <w:p>
            <w:pPr>
              <w:ind w:left="22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280" w:type="dxa"/>
            <w:vAlign w:val="bottom"/>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80" w:type="dxa"/>
            <w:vAlign w:val="bottom"/>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60" w:type="dxa"/>
            <w:vAlign w:val="bottom"/>
          </w:tcPr>
          <w:p>
            <w:pPr>
              <w:spacing w:after="0"/>
              <w:rPr>
                <w:sz w:val="13"/>
                <w:szCs w:val="13"/>
                <w:color w:val="auto"/>
              </w:rPr>
            </w:pPr>
          </w:p>
        </w:tc>
      </w:tr>
      <w:tr>
        <w:trPr>
          <w:trHeight w:val="152"/>
        </w:trPr>
        <w:tc>
          <w:tcPr>
            <w:tcW w:w="592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11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auto"/>
            </w:tcBorders>
          </w:tcPr>
          <w:p>
            <w:pPr>
              <w:spacing w:after="0"/>
              <w:rPr>
                <w:sz w:val="13"/>
                <w:szCs w:val="13"/>
                <w:color w:val="auto"/>
              </w:rPr>
            </w:pPr>
          </w:p>
        </w:tc>
      </w:tr>
      <w:tr>
        <w:trPr>
          <w:trHeight w:val="152"/>
        </w:trPr>
        <w:tc>
          <w:tcPr>
            <w:tcW w:w="5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3"/>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114,221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57,651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56,570</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services</w:t>
            </w:r>
          </w:p>
        </w:tc>
        <w:tc>
          <w:tcPr>
            <w:tcW w:w="300" w:type="dxa"/>
            <w:vAlign w:val="bottom"/>
          </w:tcPr>
          <w:p>
            <w:pPr>
              <w:spacing w:after="0"/>
              <w:rPr>
                <w:sz w:val="16"/>
                <w:szCs w:val="16"/>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10,898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8,728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2,170</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31"/>
        </w:trPr>
        <w:tc>
          <w:tcPr>
            <w:tcW w:w="5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125,119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66,379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58,740</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right="20" w:firstLine="517"/>
        <w:spacing w:after="0" w:line="275" w:lineRule="auto"/>
        <w:rPr>
          <w:sz w:val="20"/>
          <w:szCs w:val="20"/>
          <w:color w:val="auto"/>
        </w:rPr>
      </w:pPr>
      <w:r>
        <w:rPr>
          <w:rFonts w:ascii="Times New Roman" w:cs="Times New Roman" w:eastAsia="Times New Roman" w:hAnsi="Times New Roman"/>
          <w:sz w:val="14"/>
          <w:szCs w:val="14"/>
          <w:color w:val="auto"/>
        </w:rPr>
        <w:t>Total revenue increased from $66.4 million for the three months ended October 31, 2018, to $125.1 million for the three months ended October 31, 2019. Subscription revenue accounted for 87% of our total revenue for the three months ended October 31, 2018, and 91% for the three months ended October 31, 2019. Professional services revenue accounted for 13% of our total revenue for the three months ended October 31, 2018, and 9% for the three months ended October 31, 2019.</w:t>
      </w:r>
    </w:p>
    <w:p>
      <w:pPr>
        <w:spacing w:after="0" w:line="136" w:lineRule="exact"/>
        <w:rPr>
          <w:sz w:val="20"/>
          <w:szCs w:val="20"/>
          <w:color w:val="auto"/>
        </w:rPr>
      </w:pPr>
    </w:p>
    <w:p>
      <w:pPr>
        <w:ind w:right="260" w:firstLine="517"/>
        <w:spacing w:after="0" w:line="264" w:lineRule="auto"/>
        <w:rPr>
          <w:sz w:val="20"/>
          <w:szCs w:val="20"/>
          <w:color w:val="auto"/>
        </w:rPr>
      </w:pPr>
      <w:r>
        <w:rPr>
          <w:rFonts w:ascii="Times New Roman" w:cs="Times New Roman" w:eastAsia="Times New Roman" w:hAnsi="Times New Roman"/>
          <w:sz w:val="14"/>
          <w:szCs w:val="14"/>
          <w:color w:val="auto"/>
        </w:rPr>
        <w:t>The growth in subscription revenue from $57.7 million for the three months ended October 31, 2018 to $114.2 million for the three months ended October 31, 2019, a 98% increase, was primarily attributable to the addition of new subscription customers, as we increased our customer base by 112% from 2,147 subscription customers as of October 31, 2018 to 4,561 subscription customers as of October 31, 2019. Subscription revenue from new customers, subscription revenue from the renewal of existing customers, and subscription revenue from the sale of additional endpoints and additional modules to existing customers accounted for 39%, 34%, and 27% of total subscription revenue for the three months ended October 31, 2019, respectively. Subscription revenue from new customers, subscription revenue from the renewal of existing customers, and subscription revenue from the sale of additional endpoints and additional modules to existing customers accounted for 50%, 28%, and 22% of total subscription revenue for the three months ended October 31, 2018, respectively.</w:t>
      </w:r>
    </w:p>
    <w:p>
      <w:pPr>
        <w:spacing w:after="0" w:line="144" w:lineRule="exact"/>
        <w:rPr>
          <w:sz w:val="20"/>
          <w:szCs w:val="20"/>
          <w:color w:val="auto"/>
        </w:rPr>
      </w:pPr>
    </w:p>
    <w:p>
      <w:pPr>
        <w:ind w:right="140" w:firstLine="517"/>
        <w:spacing w:after="0" w:line="294" w:lineRule="auto"/>
        <w:rPr>
          <w:sz w:val="20"/>
          <w:szCs w:val="20"/>
          <w:color w:val="auto"/>
        </w:rPr>
      </w:pPr>
      <w:r>
        <w:rPr>
          <w:rFonts w:ascii="Times New Roman" w:cs="Times New Roman" w:eastAsia="Times New Roman" w:hAnsi="Times New Roman"/>
          <w:sz w:val="14"/>
          <w:szCs w:val="14"/>
          <w:color w:val="auto"/>
        </w:rPr>
        <w:t>Professional services revenue grew from $8.7 million for the three months ended October 31, 2018, to $10.9 million for the three months ended October 31, 2019, a 25% increase, and was primarily attributable to an increase in the number of professional service hours performed.</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 Gross Profit, and Gross Margin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shows cost of revenue related to subscriptions and professional services for the three months ended October 31, 2019 as compared to the three months ended October 31,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2018:</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tcPr>
          <w:p>
            <w:pPr>
              <w:ind w:left="22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280" w:type="dxa"/>
            <w:vAlign w:val="bottom"/>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80" w:type="dxa"/>
            <w:vAlign w:val="bottom"/>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60" w:type="dxa"/>
            <w:vAlign w:val="bottom"/>
          </w:tcPr>
          <w:p>
            <w:pPr>
              <w:spacing w:after="0"/>
              <w:rPr>
                <w:sz w:val="13"/>
                <w:szCs w:val="13"/>
                <w:color w:val="auto"/>
              </w:rPr>
            </w:pPr>
          </w:p>
        </w:tc>
      </w:tr>
      <w:tr>
        <w:trPr>
          <w:trHeight w:val="152"/>
        </w:trPr>
        <w:tc>
          <w:tcPr>
            <w:tcW w:w="592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11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auto"/>
            </w:tcBorders>
          </w:tcPr>
          <w:p>
            <w:pPr>
              <w:spacing w:after="0"/>
              <w:rPr>
                <w:sz w:val="13"/>
                <w:szCs w:val="13"/>
                <w:color w:val="auto"/>
              </w:rPr>
            </w:pPr>
          </w:p>
        </w:tc>
      </w:tr>
      <w:tr>
        <w:trPr>
          <w:trHeight w:val="152"/>
        </w:trPr>
        <w:tc>
          <w:tcPr>
            <w:tcW w:w="5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3"/>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29,221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17,302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11,919</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services</w:t>
            </w:r>
          </w:p>
        </w:tc>
        <w:tc>
          <w:tcPr>
            <w:tcW w:w="300" w:type="dxa"/>
            <w:vAlign w:val="bottom"/>
          </w:tcPr>
          <w:p>
            <w:pPr>
              <w:spacing w:after="0"/>
              <w:rPr>
                <w:sz w:val="16"/>
                <w:szCs w:val="16"/>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8,134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4,972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3,162</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31"/>
        </w:trPr>
        <w:tc>
          <w:tcPr>
            <w:tcW w:w="5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cost of revenue</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37,355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22,274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15,081</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firstLine="517"/>
        <w:spacing w:after="0" w:line="266" w:lineRule="auto"/>
        <w:rPr>
          <w:sz w:val="20"/>
          <w:szCs w:val="20"/>
          <w:color w:val="auto"/>
        </w:rPr>
      </w:pPr>
      <w:r>
        <w:rPr>
          <w:rFonts w:ascii="Times New Roman" w:cs="Times New Roman" w:eastAsia="Times New Roman" w:hAnsi="Times New Roman"/>
          <w:sz w:val="14"/>
          <w:szCs w:val="14"/>
          <w:color w:val="auto"/>
        </w:rPr>
        <w:t>Total cost of revenue increased from $22.3 million for the three months ended October 31, 2018 to $37.4 million for the three months ended October 31, 2019. Subscription cost of revenue increased from $17.3 million for the three months ended October 31, 2018, to $29.2 million for the three months ended October 31, 2019, a 69% increase. The increase in subscription cost of revenue was primarily due to an increase in employee-related expenses of $4.5 million driven by a 117% increase in average headcount which included significant hiring of technical support employees, an increase in cloud hosting and related services of $2.9 million, an increase in stock-based compensation expense of $1.3 million, an increase in allocated overhead costs of $1.1 million, an increase in depreciation of data center equipment of $0.8 million, and an increase in amortization of capitalized internal use software of $0.4 million.</w:t>
      </w:r>
    </w:p>
    <w:p>
      <w:pPr>
        <w:spacing w:after="0" w:line="142" w:lineRule="exact"/>
        <w:rPr>
          <w:sz w:val="20"/>
          <w:szCs w:val="20"/>
          <w:color w:val="auto"/>
        </w:rPr>
      </w:pPr>
    </w:p>
    <w:p>
      <w:pPr>
        <w:jc w:val="both"/>
        <w:ind w:right="40" w:firstLine="517"/>
        <w:spacing w:after="0" w:line="275" w:lineRule="auto"/>
        <w:rPr>
          <w:sz w:val="20"/>
          <w:szCs w:val="20"/>
          <w:color w:val="auto"/>
        </w:rPr>
      </w:pPr>
      <w:r>
        <w:rPr>
          <w:rFonts w:ascii="Times New Roman" w:cs="Times New Roman" w:eastAsia="Times New Roman" w:hAnsi="Times New Roman"/>
          <w:sz w:val="14"/>
          <w:szCs w:val="14"/>
          <w:color w:val="auto"/>
        </w:rPr>
        <w:t>Professional services cost of revenue increased from $5.0 million for the three months ended October 31, 2018, to $8.1 million for the three months ended October 31, 2019, a 64% increase. The increase in professional services cost of revenue was primarily due to an increase in employee-related expenses of $1.5 million driven by an increase in average headcount of 54%, an increase in stock-based compensation expense of $0.7 million, and an increase in allocated overhead costs of $0.3 million.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shows gross profit and gross margin for subscriptions and professional services for the three months ended October 31, 2019 as compared to the three months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31, 2018:</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8"/>
          </w:tcPr>
          <w:p>
            <w:pPr>
              <w:ind w:left="20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280" w:type="dxa"/>
            <w:vAlign w:val="bottom"/>
          </w:tcPr>
          <w:p>
            <w:pPr>
              <w:spacing w:after="0"/>
              <w:rPr>
                <w:sz w:val="13"/>
                <w:szCs w:val="13"/>
                <w:color w:val="auto"/>
              </w:rPr>
            </w:pPr>
          </w:p>
        </w:tc>
        <w:tc>
          <w:tcPr>
            <w:tcW w:w="1100" w:type="dxa"/>
            <w:vAlign w:val="bottom"/>
            <w:gridSpan w:val="4"/>
          </w:tcPr>
          <w:p>
            <w:pPr>
              <w:ind w:left="1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2"/>
        </w:trPr>
        <w:tc>
          <w:tcPr>
            <w:tcW w:w="59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1"/>
                <w:szCs w:val="11"/>
                <w:b w:val="1"/>
                <w:bCs w:val="1"/>
                <w:color w:val="auto"/>
              </w:rPr>
              <w:t>2019</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2018</w:t>
            </w:r>
          </w:p>
        </w:tc>
        <w:tc>
          <w:tcPr>
            <w:tcW w:w="6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20" w:type="dxa"/>
            <w:vAlign w:val="bottom"/>
            <w:tcBorders>
              <w:bottom w:val="single" w:sz="8" w:color="auto"/>
            </w:tcBorders>
          </w:tcPr>
          <w:p>
            <w:pPr>
              <w:spacing w:after="0"/>
              <w:rPr>
                <w:sz w:val="13"/>
                <w:szCs w:val="13"/>
                <w:color w:val="auto"/>
              </w:rPr>
            </w:pPr>
          </w:p>
        </w:tc>
      </w:tr>
      <w:tr>
        <w:trPr>
          <w:trHeight w:val="152"/>
        </w:trPr>
        <w:tc>
          <w:tcPr>
            <w:tcW w:w="5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gross profit</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85,000</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40,349</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44,651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9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services gross profit</w:t>
            </w:r>
          </w:p>
        </w:tc>
        <w:tc>
          <w:tcPr>
            <w:tcW w:w="300" w:type="dxa"/>
            <w:vAlign w:val="bottom"/>
          </w:tcPr>
          <w:p>
            <w:pPr>
              <w:spacing w:after="0"/>
              <w:rPr>
                <w:sz w:val="16"/>
                <w:szCs w:val="16"/>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2,764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3,756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(992)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20" w:type="dxa"/>
            <w:vAlign w:val="bottom"/>
          </w:tcPr>
          <w:p>
            <w:pPr>
              <w:spacing w:after="0"/>
              <w:rPr>
                <w:sz w:val="16"/>
                <w:szCs w:val="16"/>
                <w:color w:val="auto"/>
              </w:rPr>
            </w:pPr>
          </w:p>
        </w:tc>
      </w:tr>
      <w:tr>
        <w:trPr>
          <w:trHeight w:val="23"/>
        </w:trPr>
        <w:tc>
          <w:tcPr>
            <w:tcW w:w="5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1"/>
        </w:trPr>
        <w:tc>
          <w:tcPr>
            <w:tcW w:w="5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gross profit</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87,764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44,105</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43,659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20" w:type="dxa"/>
            <w:vAlign w:val="bottom"/>
            <w:tcBorders>
              <w:bottom w:val="single" w:sz="8" w:color="auto"/>
            </w:tcBorders>
            <w:shd w:val="clear" w:color="auto" w:fill="CCEEFF"/>
          </w:tcPr>
          <w:p>
            <w:pPr>
              <w:spacing w:after="0"/>
              <w:rPr>
                <w:sz w:val="19"/>
                <w:szCs w:val="19"/>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509"/>
        </w:trPr>
        <w:tc>
          <w:tcPr>
            <w:tcW w:w="5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gridSpan w:val="9"/>
          </w:tcPr>
          <w:p>
            <w:pPr>
              <w:ind w:left="8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1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2"/>
        </w:trPr>
        <w:tc>
          <w:tcPr>
            <w:tcW w:w="59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2019</w:t>
            </w:r>
          </w:p>
        </w:tc>
        <w:tc>
          <w:tcPr>
            <w:tcW w:w="60" w:type="dxa"/>
            <w:vAlign w:val="bottom"/>
            <w:tcBorders>
              <w:top w:val="single" w:sz="8" w:color="auto"/>
              <w:bottom w:val="single" w:sz="8" w:color="CCEEFF"/>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2018</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20" w:type="dxa"/>
            <w:vAlign w:val="bottom"/>
          </w:tcPr>
          <w:p>
            <w:pPr>
              <w:spacing w:after="0"/>
              <w:rPr>
                <w:sz w:val="13"/>
                <w:szCs w:val="13"/>
                <w:color w:val="auto"/>
              </w:rPr>
            </w:pPr>
          </w:p>
        </w:tc>
      </w:tr>
      <w:tr>
        <w:trPr>
          <w:trHeight w:val="191"/>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gross margin</w:t>
            </w: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20" w:type="dxa"/>
            <w:vAlign w:val="bottom"/>
          </w:tcPr>
          <w:p>
            <w:pPr>
              <w:spacing w:after="0"/>
              <w:rPr>
                <w:sz w:val="16"/>
                <w:szCs w:val="16"/>
                <w:color w:val="auto"/>
              </w:rPr>
            </w:pPr>
          </w:p>
        </w:tc>
      </w:tr>
      <w:tr>
        <w:trPr>
          <w:trHeight w:val="19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services gross margin</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20" w:type="dxa"/>
            <w:vAlign w:val="bottom"/>
          </w:tcPr>
          <w:p>
            <w:pPr>
              <w:spacing w:after="0"/>
              <w:rPr>
                <w:sz w:val="16"/>
                <w:szCs w:val="16"/>
                <w:color w:val="auto"/>
              </w:rPr>
            </w:pPr>
          </w:p>
        </w:tc>
      </w:tr>
      <w:tr>
        <w:trPr>
          <w:trHeight w:val="23"/>
        </w:trPr>
        <w:tc>
          <w:tcPr>
            <w:tcW w:w="5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1"/>
        </w:trPr>
        <w:tc>
          <w:tcPr>
            <w:tcW w:w="5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gross margin</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20" w:type="dxa"/>
            <w:vAlign w:val="bottom"/>
          </w:tcPr>
          <w:p>
            <w:pPr>
              <w:spacing w:after="0"/>
              <w:rPr>
                <w:sz w:val="19"/>
                <w:szCs w:val="19"/>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8" w:lineRule="exact"/>
        <w:rPr>
          <w:sz w:val="20"/>
          <w:szCs w:val="20"/>
          <w:color w:val="auto"/>
        </w:rPr>
      </w:pPr>
    </w:p>
    <w:p>
      <w:pPr>
        <w:ind w:right="20" w:firstLine="517"/>
        <w:spacing w:after="0" w:line="265" w:lineRule="auto"/>
        <w:rPr>
          <w:sz w:val="20"/>
          <w:szCs w:val="20"/>
          <w:color w:val="auto"/>
        </w:rPr>
      </w:pPr>
      <w:r>
        <w:rPr>
          <w:rFonts w:ascii="Times New Roman" w:cs="Times New Roman" w:eastAsia="Times New Roman" w:hAnsi="Times New Roman"/>
          <w:sz w:val="14"/>
          <w:szCs w:val="14"/>
          <w:color w:val="auto"/>
        </w:rPr>
        <w:t>Subscription gross margin increased from 70% for the three months ended October 31, 2018, to 74% for the three months ended October 31, 2019. This increase was a result of moving more of our operations to colocation data centers from third-party cloud service providers and renegotiating the terms of a third-party cloud service provider contract. This increase in gross margin was also due to incentivizing our sales team to drive higher margin subscriptions and efforts to optimize our channel partner programs and the uptake of multiple cloud modules by our customer base. Our “collect once, reuse many” data strategy means that after the first module is paid for and covers the cost of data storage and most computational costs, each additional subscription module carries a higher margin. The decrease in professional services gross margin was due to a decrease in utilization during the three months ended October 31, 2019 compared to the three months ended October 31, 2018.</w:t>
      </w:r>
    </w:p>
    <w:p>
      <w:pPr>
        <w:spacing w:after="0" w:line="3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shows sales and marketing expenses for the three months ended October 31, 2019 as compared to the three months ended October 31, 2018:</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2"/>
        </w:trPr>
        <w:tc>
          <w:tcPr>
            <w:tcW w:w="59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2019</w:t>
            </w: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13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2"/>
        </w:trPr>
        <w:tc>
          <w:tcPr>
            <w:tcW w:w="5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2"/>
          </w:tcPr>
          <w:p>
            <w:pPr>
              <w:ind w:left="7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68,675</w:t>
            </w:r>
          </w:p>
        </w:tc>
        <w:tc>
          <w:tcPr>
            <w:tcW w:w="5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46,614</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4"/>
                <w:szCs w:val="14"/>
                <w:color w:val="auto"/>
              </w:rPr>
              <w:t>22,061</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r>
      <w:tr>
        <w:trPr>
          <w:trHeight w:val="23"/>
        </w:trPr>
        <w:tc>
          <w:tcPr>
            <w:tcW w:w="59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r>
    </w:tbl>
    <w:p>
      <w:pPr>
        <w:spacing w:after="0" w:line="158" w:lineRule="exact"/>
        <w:rPr>
          <w:sz w:val="20"/>
          <w:szCs w:val="20"/>
          <w:color w:val="auto"/>
        </w:rPr>
      </w:pPr>
    </w:p>
    <w:p>
      <w:pPr>
        <w:ind w:right="20" w:firstLine="517"/>
        <w:spacing w:after="0" w:line="266" w:lineRule="auto"/>
        <w:rPr>
          <w:sz w:val="20"/>
          <w:szCs w:val="20"/>
          <w:color w:val="auto"/>
        </w:rPr>
      </w:pPr>
      <w:r>
        <w:rPr>
          <w:rFonts w:ascii="Times New Roman" w:cs="Times New Roman" w:eastAsia="Times New Roman" w:hAnsi="Times New Roman"/>
          <w:sz w:val="14"/>
          <w:szCs w:val="14"/>
          <w:color w:val="auto"/>
        </w:rPr>
        <w:t>Sales and marketing expenses increased from $46.6 million for the three months ended October 31, 2018, to $68.7 million for the three months ended October 31, 2019, a 47% increase. The increase in sales and marketing expenses was primarily due to an increase in employee-related expenses of $8.5 million driven by an increase in sales and marketing average headcount of 61%, an increase in stock-based compensation of $5.2 million, an increase in marketing programs of $3.6 million, an increase in allocated overhead costs of $1.9 million, and an increase in travel-related costs of $1.3 million. As a result of adopting ASC 606 effective February 1, 2019, our commissions expense for the three months ended October 31, 2019 was $6.7 million lower than it would have been under ASC 605.</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shows research and development expenses for the three months ended October 31, 2019 as compared to the three months ended October 31, 2018:</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2"/>
        </w:trPr>
        <w:tc>
          <w:tcPr>
            <w:tcW w:w="59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2019</w:t>
            </w: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13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2"/>
        </w:trPr>
        <w:tc>
          <w:tcPr>
            <w:tcW w:w="5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2"/>
          </w:tcPr>
          <w:p>
            <w:pPr>
              <w:ind w:left="7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35,992</w:t>
            </w:r>
          </w:p>
        </w:tc>
        <w:tc>
          <w:tcPr>
            <w:tcW w:w="5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25,968</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4"/>
                <w:szCs w:val="14"/>
                <w:color w:val="auto"/>
              </w:rPr>
              <w:t>10,024</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r>
      <w:tr>
        <w:trPr>
          <w:trHeight w:val="23"/>
        </w:trPr>
        <w:tc>
          <w:tcPr>
            <w:tcW w:w="59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 w:firstLine="517"/>
        <w:spacing w:after="0" w:line="269" w:lineRule="auto"/>
        <w:rPr>
          <w:sz w:val="20"/>
          <w:szCs w:val="20"/>
          <w:color w:val="auto"/>
        </w:rPr>
      </w:pPr>
      <w:r>
        <w:rPr>
          <w:rFonts w:ascii="Times New Roman" w:cs="Times New Roman" w:eastAsia="Times New Roman" w:hAnsi="Times New Roman"/>
          <w:sz w:val="14"/>
          <w:szCs w:val="14"/>
          <w:color w:val="auto"/>
        </w:rPr>
        <w:t>Research and development expenses increased from $26.0 million for the three months ended October 31, 2018, to $36.0 million for the three months ended October 31, 2019, a 39% increase. This increase was primarily due to an increase in employee-related expenses of $6.3 million driven by an increase in research and development average headcount of 53%. In addition, there was an increase cloud hosting and related costs of $1.9 million, an increase in allocated overhead costs of $1.3 million, and an increase in company event expenses of $1.2 million, which were offset by a decrease in stock-based compensation of $1.5 million.</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shows general and administrative expenses for the three months ended October 31, 2019 as compared to the three months ended October 31, 2018: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2"/>
        </w:trPr>
        <w:tc>
          <w:tcPr>
            <w:tcW w:w="59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2019</w:t>
            </w: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13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2"/>
        </w:trPr>
        <w:tc>
          <w:tcPr>
            <w:tcW w:w="5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2"/>
          </w:tcPr>
          <w:p>
            <w:pPr>
              <w:ind w:left="7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21,615</w:t>
            </w:r>
          </w:p>
        </w:tc>
        <w:tc>
          <w:tcPr>
            <w:tcW w:w="5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13,614</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4"/>
                <w:szCs w:val="14"/>
                <w:color w:val="auto"/>
              </w:rPr>
              <w:t>8,001</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59 %</w:t>
            </w:r>
          </w:p>
        </w:tc>
      </w:tr>
      <w:tr>
        <w:trPr>
          <w:trHeight w:val="23"/>
        </w:trPr>
        <w:tc>
          <w:tcPr>
            <w:tcW w:w="59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r>
    </w:tbl>
    <w:p>
      <w:pPr>
        <w:spacing w:after="0" w:line="158" w:lineRule="exact"/>
        <w:rPr>
          <w:sz w:val="20"/>
          <w:szCs w:val="20"/>
          <w:color w:val="auto"/>
        </w:rPr>
      </w:pPr>
    </w:p>
    <w:p>
      <w:pPr>
        <w:ind w:firstLine="517"/>
        <w:spacing w:after="0" w:line="273" w:lineRule="auto"/>
        <w:rPr>
          <w:sz w:val="20"/>
          <w:szCs w:val="20"/>
          <w:color w:val="auto"/>
        </w:rPr>
      </w:pPr>
      <w:r>
        <w:rPr>
          <w:rFonts w:ascii="Times New Roman" w:cs="Times New Roman" w:eastAsia="Times New Roman" w:hAnsi="Times New Roman"/>
          <w:sz w:val="14"/>
          <w:szCs w:val="14"/>
          <w:color w:val="auto"/>
        </w:rPr>
        <w:t>General and administrative expenses increased from $13.6 million for the three months ended October 31, 2018, to $21.6 million for the three months ended October 31, 2019, a 59% increase. The increase in general and administrative expenses was primarily due an increase in stock-based compensation expense of $3.1 million. In addition, there was an increase in employee-related expenses of $2.1 million driven by an increase in general and administrative average headcount of 70%, an increase in corporate insurance expense of $1.4 million, and an increase in overhead costs of $0.5 million.</w:t>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 and Other Income, Net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shows Interest expense and Other income, net, for the three months ended October 31, 2019 as compared to the three months ended October 31, 2018:</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60" w:type="dxa"/>
            <w:vAlign w:val="bottom"/>
          </w:tcPr>
          <w:p>
            <w:pPr>
              <w:spacing w:after="0"/>
              <w:rPr>
                <w:sz w:val="13"/>
                <w:szCs w:val="13"/>
                <w:color w:val="auto"/>
              </w:rPr>
            </w:pPr>
          </w:p>
        </w:tc>
      </w:tr>
      <w:tr>
        <w:trPr>
          <w:trHeight w:val="152"/>
        </w:trPr>
        <w:tc>
          <w:tcPr>
            <w:tcW w:w="59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2019</w:t>
            </w: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11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auto"/>
            </w:tcBorders>
          </w:tcPr>
          <w:p>
            <w:pPr>
              <w:spacing w:after="0"/>
              <w:rPr>
                <w:sz w:val="13"/>
                <w:szCs w:val="13"/>
                <w:color w:val="auto"/>
              </w:rPr>
            </w:pPr>
          </w:p>
        </w:tc>
      </w:tr>
      <w:tr>
        <w:trPr>
          <w:trHeight w:val="152"/>
        </w:trPr>
        <w:tc>
          <w:tcPr>
            <w:tcW w:w="5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2"/>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(132)</w:t>
            </w:r>
          </w:p>
        </w:tc>
        <w:tc>
          <w:tcPr>
            <w:tcW w:w="50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4"/>
                <w:szCs w:val="14"/>
                <w:color w:val="auto"/>
              </w:rPr>
              <w:t>3,579</w:t>
            </w:r>
          </w:p>
        </w:tc>
        <w:tc>
          <w:tcPr>
            <w:tcW w:w="5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303</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3,276</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80" w:lineRule="exact"/>
        <w:rPr>
          <w:sz w:val="20"/>
          <w:szCs w:val="20"/>
          <w:color w:val="auto"/>
        </w:rPr>
      </w:pPr>
    </w:p>
    <w:p>
      <w:pPr>
        <w:ind w:right="320" w:firstLine="517"/>
        <w:spacing w:after="0" w:line="294" w:lineRule="auto"/>
        <w:rPr>
          <w:sz w:val="20"/>
          <w:szCs w:val="20"/>
          <w:color w:val="auto"/>
        </w:rPr>
      </w:pPr>
      <w:r>
        <w:rPr>
          <w:rFonts w:ascii="Times New Roman" w:cs="Times New Roman" w:eastAsia="Times New Roman" w:hAnsi="Times New Roman"/>
          <w:sz w:val="14"/>
          <w:szCs w:val="14"/>
          <w:color w:val="auto"/>
        </w:rPr>
        <w:t>Other income, net, was $0.3 million for the three months ended October 31, 2018 compared to $3.6 million for the three months ended October 31, 2019. This $3.3 million increase was driven primarily by an increase in interest income of $2.5 million and a decrease in expense related to the fair value of the redeemable convertible preferred stock warrants of $0.9 million.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shows the provision for income taxes for the three months ended October 31, 2019 as compared to the three months ended October 31, 2018:</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2"/>
        </w:trPr>
        <w:tc>
          <w:tcPr>
            <w:tcW w:w="59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2019</w:t>
            </w: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13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2"/>
        </w:trPr>
        <w:tc>
          <w:tcPr>
            <w:tcW w:w="5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2"/>
          </w:tcPr>
          <w:p>
            <w:pPr>
              <w:ind w:left="7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(434)</w:t>
            </w:r>
          </w:p>
        </w:tc>
        <w:tc>
          <w:tcPr>
            <w:tcW w:w="5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(535)</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23"/>
        </w:trPr>
        <w:tc>
          <w:tcPr>
            <w:tcW w:w="59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r>
    </w:tbl>
    <w:p>
      <w:pPr>
        <w:spacing w:after="0" w:line="158" w:lineRule="exact"/>
        <w:rPr>
          <w:sz w:val="20"/>
          <w:szCs w:val="20"/>
          <w:color w:val="auto"/>
        </w:rPr>
      </w:pPr>
    </w:p>
    <w:p>
      <w:pPr>
        <w:ind w:right="60" w:firstLine="517"/>
        <w:spacing w:after="0" w:line="294" w:lineRule="auto"/>
        <w:rPr>
          <w:sz w:val="20"/>
          <w:szCs w:val="20"/>
          <w:color w:val="auto"/>
        </w:rPr>
      </w:pPr>
      <w:r>
        <w:rPr>
          <w:rFonts w:ascii="Times New Roman" w:cs="Times New Roman" w:eastAsia="Times New Roman" w:hAnsi="Times New Roman"/>
          <w:sz w:val="14"/>
          <w:szCs w:val="14"/>
          <w:color w:val="auto"/>
        </w:rPr>
        <w:t>The decrease in the provision for income taxes of $0.1 million during the three months ended October 31, 2019 compared to the three months ended October 31, 2018 was primarily due to a reduction in international withholding tax and increased deductions for stock-based compensation on foreign stock awards.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Nine Months Ended October 31, 2019 and 2018</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shows total revenue from subscriptions and professional services for the nine months ended October 31, 2019 as compared to the nine months ended October 31, 2018:</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60" w:type="dxa"/>
            <w:vAlign w:val="bottom"/>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280" w:type="dxa"/>
            <w:vAlign w:val="bottom"/>
          </w:tcPr>
          <w:p>
            <w:pPr>
              <w:spacing w:after="0"/>
              <w:rPr>
                <w:sz w:val="13"/>
                <w:szCs w:val="13"/>
                <w:color w:val="auto"/>
              </w:rPr>
            </w:pPr>
          </w:p>
        </w:tc>
        <w:tc>
          <w:tcPr>
            <w:tcW w:w="1020" w:type="dxa"/>
            <w:vAlign w:val="bottom"/>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Pr>
          <w:p>
            <w:pPr>
              <w:spacing w:after="0"/>
              <w:rPr>
                <w:sz w:val="13"/>
                <w:szCs w:val="13"/>
                <w:color w:val="auto"/>
              </w:rPr>
            </w:pPr>
          </w:p>
        </w:tc>
        <w:tc>
          <w:tcPr>
            <w:tcW w:w="118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60" w:type="dxa"/>
            <w:vAlign w:val="bottom"/>
          </w:tcPr>
          <w:p>
            <w:pPr>
              <w:spacing w:after="0"/>
              <w:rPr>
                <w:sz w:val="13"/>
                <w:szCs w:val="13"/>
                <w:color w:val="auto"/>
              </w:rPr>
            </w:pPr>
          </w:p>
        </w:tc>
      </w:tr>
      <w:tr>
        <w:trPr>
          <w:trHeight w:val="152"/>
        </w:trPr>
        <w:tc>
          <w:tcPr>
            <w:tcW w:w="59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gridSpan w:val="2"/>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3"/>
                <w:szCs w:val="13"/>
                <w:color w:val="auto"/>
              </w:rPr>
            </w:pPr>
          </w:p>
        </w:tc>
      </w:tr>
      <w:tr>
        <w:trPr>
          <w:trHeight w:val="152"/>
        </w:trPr>
        <w:tc>
          <w:tcPr>
            <w:tcW w:w="59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r>
      <w:tr>
        <w:trPr>
          <w:trHeight w:val="20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297,787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146,570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151,217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services</w:t>
            </w:r>
          </w:p>
        </w:tc>
        <w:tc>
          <w:tcPr>
            <w:tcW w:w="320" w:type="dxa"/>
            <w:vAlign w:val="bottom"/>
          </w:tcPr>
          <w:p>
            <w:pPr>
              <w:spacing w:after="0"/>
              <w:rPr>
                <w:sz w:val="16"/>
                <w:szCs w:val="16"/>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31,517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22,799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8,718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231"/>
        </w:trPr>
        <w:tc>
          <w:tcPr>
            <w:tcW w:w="5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revenue</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329,304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169,369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159,935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58" w:lineRule="exact"/>
        <w:rPr>
          <w:sz w:val="20"/>
          <w:szCs w:val="20"/>
          <w:color w:val="auto"/>
        </w:rPr>
      </w:pPr>
    </w:p>
    <w:p>
      <w:pPr>
        <w:jc w:val="both"/>
        <w:ind w:right="20" w:firstLine="517"/>
        <w:spacing w:after="0" w:line="275" w:lineRule="auto"/>
        <w:rPr>
          <w:sz w:val="20"/>
          <w:szCs w:val="20"/>
          <w:color w:val="auto"/>
        </w:rPr>
      </w:pPr>
      <w:r>
        <w:rPr>
          <w:rFonts w:ascii="Times New Roman" w:cs="Times New Roman" w:eastAsia="Times New Roman" w:hAnsi="Times New Roman"/>
          <w:sz w:val="14"/>
          <w:szCs w:val="14"/>
          <w:color w:val="auto"/>
        </w:rPr>
        <w:t>Total revenue increased from $169.4 million for the nine months ended October 31, 2018, to $329.3 million for the nine months ended October 31, 2019. Subscription revenue accounted for 87% of our total revenue for the nine months ended October 31, 2018, and 90% for the nine months ended October 31, 2019. Professional services revenue accounted for 13% of our total revenue for the nine months ended October 31, 2018, and 10% for the nine months ended October 31, 2019.</w:t>
      </w:r>
    </w:p>
    <w:p>
      <w:pPr>
        <w:spacing w:after="0" w:line="136" w:lineRule="exact"/>
        <w:rPr>
          <w:sz w:val="20"/>
          <w:szCs w:val="20"/>
          <w:color w:val="auto"/>
        </w:rPr>
      </w:pPr>
    </w:p>
    <w:p>
      <w:pPr>
        <w:ind w:right="200" w:firstLine="517"/>
        <w:spacing w:after="0" w:line="264" w:lineRule="auto"/>
        <w:rPr>
          <w:sz w:val="20"/>
          <w:szCs w:val="20"/>
          <w:color w:val="auto"/>
        </w:rPr>
      </w:pPr>
      <w:r>
        <w:rPr>
          <w:rFonts w:ascii="Times New Roman" w:cs="Times New Roman" w:eastAsia="Times New Roman" w:hAnsi="Times New Roman"/>
          <w:sz w:val="14"/>
          <w:szCs w:val="14"/>
          <w:color w:val="auto"/>
        </w:rPr>
        <w:t>The growth in subscription revenue from $146.6 million for the nine months ended October 31, 2018 to $297.8 million for the nine months ended October 31, 2019, a 103% increase, was primarily attributable to the addition of new subscription customers, as we increased our customer base by 112% from 2,147 subscription customers as of October 31, 2018 to 4,561 subscription customers as of October 31, 2019. Subscription revenue from new customers, subscription revenue from the renewal of existing customers, and subscription revenue from the sale of additional endpoints and additional modules to existing customers accounted for 40%, 32%, and 28% of total subscription revenue for the nine months ended October 31, 2019, respectively. Subscription revenue from new customers, subscription revenue from the renewal of existing customers, and subscription revenue from the sale of additional endpoints and additional modules to existing customers accounted for 56%, 24%, and 20% of total subscription revenue for the nine months ended October 31, 2018, respectively.</w:t>
      </w:r>
    </w:p>
    <w:p>
      <w:pPr>
        <w:spacing w:after="0" w:line="144" w:lineRule="exact"/>
        <w:rPr>
          <w:sz w:val="20"/>
          <w:szCs w:val="20"/>
          <w:color w:val="auto"/>
        </w:rPr>
      </w:pPr>
    </w:p>
    <w:p>
      <w:pPr>
        <w:ind w:right="160" w:firstLine="517"/>
        <w:spacing w:after="0" w:line="294" w:lineRule="auto"/>
        <w:rPr>
          <w:sz w:val="20"/>
          <w:szCs w:val="20"/>
          <w:color w:val="auto"/>
        </w:rPr>
      </w:pPr>
      <w:r>
        <w:rPr>
          <w:rFonts w:ascii="Times New Roman" w:cs="Times New Roman" w:eastAsia="Times New Roman" w:hAnsi="Times New Roman"/>
          <w:sz w:val="14"/>
          <w:szCs w:val="14"/>
          <w:color w:val="auto"/>
        </w:rPr>
        <w:t>Professional services revenue grew from $22.8 million for the nine months ended October 31, 2018, to $31.5 million for the nine months ended October 31, 2019, a 38% increase, and was primarily attributable to an increase in the number of professional service hours performed.</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 Gross Profit, and Gross Margin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shows cost of revenue related to subscriptions and professional services for the nine months ended October 31, 2019 as compared to the nine months ended October 31, 2018:</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60" w:type="dxa"/>
            <w:vAlign w:val="bottom"/>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280" w:type="dxa"/>
            <w:vAlign w:val="bottom"/>
          </w:tcPr>
          <w:p>
            <w:pPr>
              <w:spacing w:after="0"/>
              <w:rPr>
                <w:sz w:val="13"/>
                <w:szCs w:val="13"/>
                <w:color w:val="auto"/>
              </w:rPr>
            </w:pPr>
          </w:p>
        </w:tc>
        <w:tc>
          <w:tcPr>
            <w:tcW w:w="1020" w:type="dxa"/>
            <w:vAlign w:val="bottom"/>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Pr>
          <w:p>
            <w:pPr>
              <w:spacing w:after="0"/>
              <w:rPr>
                <w:sz w:val="13"/>
                <w:szCs w:val="13"/>
                <w:color w:val="auto"/>
              </w:rPr>
            </w:pPr>
          </w:p>
        </w:tc>
        <w:tc>
          <w:tcPr>
            <w:tcW w:w="118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60" w:type="dxa"/>
            <w:vAlign w:val="bottom"/>
          </w:tcPr>
          <w:p>
            <w:pPr>
              <w:spacing w:after="0"/>
              <w:rPr>
                <w:sz w:val="13"/>
                <w:szCs w:val="13"/>
                <w:color w:val="auto"/>
              </w:rPr>
            </w:pPr>
          </w:p>
        </w:tc>
      </w:tr>
      <w:tr>
        <w:trPr>
          <w:trHeight w:val="152"/>
        </w:trPr>
        <w:tc>
          <w:tcPr>
            <w:tcW w:w="59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gridSpan w:val="2"/>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3"/>
                <w:szCs w:val="13"/>
                <w:color w:val="auto"/>
              </w:rPr>
            </w:pPr>
          </w:p>
        </w:tc>
      </w:tr>
      <w:tr>
        <w:trPr>
          <w:trHeight w:val="152"/>
        </w:trPr>
        <w:tc>
          <w:tcPr>
            <w:tcW w:w="59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r>
      <w:tr>
        <w:trPr>
          <w:trHeight w:val="20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77,858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47,077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30,781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services</w:t>
            </w:r>
          </w:p>
        </w:tc>
        <w:tc>
          <w:tcPr>
            <w:tcW w:w="320" w:type="dxa"/>
            <w:vAlign w:val="bottom"/>
          </w:tcPr>
          <w:p>
            <w:pPr>
              <w:spacing w:after="0"/>
              <w:rPr>
                <w:sz w:val="16"/>
                <w:szCs w:val="16"/>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20,353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13,166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7,187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231"/>
        </w:trPr>
        <w:tc>
          <w:tcPr>
            <w:tcW w:w="5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cost of revenue</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98,211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60,243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37,968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58" w:lineRule="exact"/>
        <w:rPr>
          <w:sz w:val="20"/>
          <w:szCs w:val="20"/>
          <w:color w:val="auto"/>
        </w:rPr>
      </w:pPr>
    </w:p>
    <w:p>
      <w:pPr>
        <w:ind w:right="80" w:firstLine="517"/>
        <w:spacing w:after="0" w:line="266" w:lineRule="auto"/>
        <w:rPr>
          <w:sz w:val="20"/>
          <w:szCs w:val="20"/>
          <w:color w:val="auto"/>
        </w:rPr>
      </w:pPr>
      <w:r>
        <w:rPr>
          <w:rFonts w:ascii="Times New Roman" w:cs="Times New Roman" w:eastAsia="Times New Roman" w:hAnsi="Times New Roman"/>
          <w:sz w:val="14"/>
          <w:szCs w:val="14"/>
          <w:color w:val="auto"/>
        </w:rPr>
        <w:t>Total cost of revenue increased from $60.2 million for the nine months ended October 31, 2018 to $98.2 million for the nine months ended October 31, 2019. Subscription cost of revenue increased from $47.1 million for the nine months ended October 31, 2018, to $77.9 million for the nine months ended October 31, 2019, a 65% increase. The increase in subscription cost of revenue was primarily due to an increase in employee-related expenses of $11.9 million driven by a 130% increase in average headcount which included significant hiring of technical support employees, an increase in cloud hosting and related services of $7.7 million, an increase in allocated overhead costs of $2.6 million, an increase in stock-based compensation expense of $2.6 million, an increase in depreciation of data center equipment of $2.5 million, and an increase in amortization of capitalized internal use software of $1.1 million.</w:t>
      </w:r>
    </w:p>
    <w:p>
      <w:pPr>
        <w:spacing w:after="0" w:line="142" w:lineRule="exact"/>
        <w:rPr>
          <w:sz w:val="20"/>
          <w:szCs w:val="20"/>
          <w:color w:val="auto"/>
        </w:rPr>
      </w:pPr>
    </w:p>
    <w:p>
      <w:pPr>
        <w:ind w:right="160" w:firstLine="517"/>
        <w:spacing w:after="0" w:line="275" w:lineRule="auto"/>
        <w:rPr>
          <w:sz w:val="20"/>
          <w:szCs w:val="20"/>
          <w:color w:val="auto"/>
        </w:rPr>
      </w:pPr>
      <w:r>
        <w:rPr>
          <w:rFonts w:ascii="Times New Roman" w:cs="Times New Roman" w:eastAsia="Times New Roman" w:hAnsi="Times New Roman"/>
          <w:sz w:val="14"/>
          <w:szCs w:val="14"/>
          <w:color w:val="auto"/>
        </w:rPr>
        <w:t>Professional services cost of revenue increased from $13.2 million for the nine months ended October 31, 2018, to $20.4 million for the nine months ended October 31, 2019, a 55% increase. The increase in professional services cost of revenue was primarily due to an increase in employee-related expenses of $4.2 million driven by an increase in average headcount of 60%, an increase in stock-based compensation of $1.4 million, an increase in cloud hosting and related services of $0.4 million, and an increase in allocated overhead costs of $0.6 million.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shows gross profit and gross margin for subscriptions and professional services for the nine months ended October 31, 2019 as compared to the nine months ended October 31,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2018:</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60" w:type="dxa"/>
            <w:vAlign w:val="bottom"/>
            <w:gridSpan w:val="7"/>
          </w:tcPr>
          <w:p>
            <w:pPr>
              <w:ind w:left="240"/>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280" w:type="dxa"/>
            <w:vAlign w:val="bottom"/>
          </w:tcPr>
          <w:p>
            <w:pPr>
              <w:spacing w:after="0"/>
              <w:rPr>
                <w:sz w:val="13"/>
                <w:szCs w:val="13"/>
                <w:color w:val="auto"/>
              </w:rPr>
            </w:pPr>
          </w:p>
        </w:tc>
        <w:tc>
          <w:tcPr>
            <w:tcW w:w="1020" w:type="dxa"/>
            <w:vAlign w:val="bottom"/>
          </w:tcPr>
          <w:p>
            <w:pPr>
              <w:jc w:val="center"/>
              <w:ind w:right="21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7"/>
        </w:trPr>
        <w:tc>
          <w:tcPr>
            <w:tcW w:w="59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2018</w:t>
            </w: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center"/>
              <w:ind w:right="213"/>
              <w:spacing w:after="0"/>
              <w:rPr>
                <w:sz w:val="20"/>
                <w:szCs w:val="20"/>
                <w:color w:val="auto"/>
              </w:rPr>
            </w:pPr>
            <w:r>
              <w:rPr>
                <w:rFonts w:ascii="Times New Roman" w:cs="Times New Roman" w:eastAsia="Times New Roman" w:hAnsi="Times New Roman"/>
                <w:sz w:val="11"/>
                <w:szCs w:val="11"/>
                <w:b w:val="1"/>
                <w:bCs w:val="1"/>
                <w:color w:val="auto"/>
              </w:rPr>
              <w:t>$</w:t>
            </w:r>
          </w:p>
        </w:tc>
        <w:tc>
          <w:tcPr>
            <w:tcW w:w="1440" w:type="dxa"/>
            <w:vAlign w:val="bottom"/>
            <w:gridSpan w:val="3"/>
          </w:tcPr>
          <w:p>
            <w:pPr>
              <w:jc w:val="center"/>
              <w:ind w:left="12"/>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2"/>
        </w:trPr>
        <w:tc>
          <w:tcPr>
            <w:tcW w:w="59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r>
      <w:tr>
        <w:trPr>
          <w:trHeight w:val="20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gross profit</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219,929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99,493</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120,436</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121 %</w:t>
            </w:r>
          </w:p>
        </w:tc>
      </w:tr>
      <w:tr>
        <w:trPr>
          <w:trHeight w:val="19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services gross profit</w:t>
            </w:r>
          </w:p>
        </w:tc>
        <w:tc>
          <w:tcPr>
            <w:tcW w:w="320" w:type="dxa"/>
            <w:vAlign w:val="bottom"/>
          </w:tcPr>
          <w:p>
            <w:pPr>
              <w:spacing w:after="0"/>
              <w:rPr>
                <w:sz w:val="16"/>
                <w:szCs w:val="16"/>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11,164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9,633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1,531</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23"/>
        </w:trPr>
        <w:tc>
          <w:tcPr>
            <w:tcW w:w="5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231"/>
        </w:trPr>
        <w:tc>
          <w:tcPr>
            <w:tcW w:w="5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gross profit</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231,093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109,126</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121,967</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509"/>
        </w:trPr>
        <w:tc>
          <w:tcPr>
            <w:tcW w:w="5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2"/>
        </w:trPr>
        <w:tc>
          <w:tcPr>
            <w:tcW w:w="592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2019</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1"/>
                <w:szCs w:val="11"/>
                <w:b w:val="1"/>
                <w:bCs w:val="1"/>
                <w:color w:val="auto"/>
              </w:rPr>
              <w:t>2018</w:t>
            </w:r>
          </w:p>
        </w:tc>
        <w:tc>
          <w:tcPr>
            <w:tcW w:w="1440" w:type="dxa"/>
            <w:vAlign w:val="bottom"/>
            <w:tcBorders>
              <w:bottom w:val="single" w:sz="8" w:color="auto"/>
            </w:tcBorders>
            <w:gridSpan w:val="3"/>
          </w:tcPr>
          <w:p>
            <w:pPr>
              <w:jc w:val="center"/>
              <w:ind w:left="32"/>
              <w:spacing w:after="0"/>
              <w:rPr>
                <w:sz w:val="20"/>
                <w:szCs w:val="20"/>
                <w:color w:val="auto"/>
              </w:rPr>
            </w:pPr>
            <w:r>
              <w:rPr>
                <w:rFonts w:ascii="Times New Roman" w:cs="Times New Roman" w:eastAsia="Times New Roman" w:hAnsi="Times New Roman"/>
                <w:sz w:val="11"/>
                <w:szCs w:val="11"/>
                <w:b w:val="1"/>
                <w:bCs w:val="1"/>
                <w:color w:val="auto"/>
                <w:w w:val="90"/>
              </w:rPr>
              <w:t>%</w:t>
            </w:r>
          </w:p>
        </w:tc>
      </w:tr>
      <w:tr>
        <w:trPr>
          <w:trHeight w:val="191"/>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gross margin</w:t>
            </w:r>
          </w:p>
        </w:tc>
        <w:tc>
          <w:tcPr>
            <w:tcW w:w="3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9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services gross margin</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23"/>
        </w:trPr>
        <w:tc>
          <w:tcPr>
            <w:tcW w:w="5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226"/>
        </w:trPr>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gross margin</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158" w:lineRule="exact"/>
        <w:rPr>
          <w:sz w:val="20"/>
          <w:szCs w:val="20"/>
          <w:color w:val="auto"/>
        </w:rPr>
      </w:pPr>
    </w:p>
    <w:p>
      <w:pPr>
        <w:ind w:right="20" w:firstLine="517"/>
        <w:spacing w:after="0" w:line="265" w:lineRule="auto"/>
        <w:rPr>
          <w:sz w:val="20"/>
          <w:szCs w:val="20"/>
          <w:color w:val="auto"/>
        </w:rPr>
      </w:pPr>
      <w:r>
        <w:rPr>
          <w:rFonts w:ascii="Times New Roman" w:cs="Times New Roman" w:eastAsia="Times New Roman" w:hAnsi="Times New Roman"/>
          <w:sz w:val="14"/>
          <w:szCs w:val="14"/>
          <w:color w:val="auto"/>
        </w:rPr>
        <w:t>Subscription gross margin increased from 68% for the nine months ended October 31, 2018, to 74% for the nine months ended October 31, 2019. This increase was a result of moving more of our operations to colocation data centers from third-party cloud service providers and renegotiating the terms of a third-party cloud service provider contract. This increase in gross margin was also due to incentivizing our sales team to drive higher margin subscriptions and efforts to optimize our channel partner programs and the uptake of multiple cloud modules by our customer base. Our “collect once, reuse many” data strategy means that after the first module is paid for and covers the cost of data storage and most computational costs, each additional subscription module carries a higher margin. The decrease in professional services gross margin was due to a decrease in utilization during the nine months ended October 31, 2019 compared to the nine months ended October 31, 2018.</w:t>
      </w:r>
    </w:p>
    <w:p>
      <w:pPr>
        <w:spacing w:after="0" w:line="3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shows sales and marketing expenses for the nine months ended October 31, 2019 as compared to the nine months ended October 31, 2018:</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jc w:val="center"/>
              <w:ind w:right="235"/>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2"/>
        </w:trPr>
        <w:tc>
          <w:tcPr>
            <w:tcW w:w="59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1"/>
                <w:szCs w:val="11"/>
                <w:b w:val="1"/>
                <w:bCs w:val="1"/>
                <w:color w:val="auto"/>
              </w:rPr>
              <w:t>2019</w:t>
            </w: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13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2"/>
        </w:trPr>
        <w:tc>
          <w:tcPr>
            <w:tcW w:w="5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jc w:val="center"/>
              <w:ind w:left="51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190,792</w:t>
            </w:r>
          </w:p>
        </w:tc>
        <w:tc>
          <w:tcPr>
            <w:tcW w:w="5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123,344</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4"/>
                <w:szCs w:val="14"/>
                <w:color w:val="auto"/>
              </w:rPr>
              <w:t>67,448</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r>
      <w:tr>
        <w:trPr>
          <w:trHeight w:val="23"/>
        </w:trPr>
        <w:tc>
          <w:tcPr>
            <w:tcW w:w="59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r>
    </w:tbl>
    <w:p>
      <w:pPr>
        <w:spacing w:after="0" w:line="158" w:lineRule="exact"/>
        <w:rPr>
          <w:sz w:val="20"/>
          <w:szCs w:val="20"/>
          <w:color w:val="auto"/>
        </w:rPr>
      </w:pPr>
    </w:p>
    <w:p>
      <w:pPr>
        <w:ind w:right="60" w:firstLine="517"/>
        <w:spacing w:after="0" w:line="266" w:lineRule="auto"/>
        <w:rPr>
          <w:sz w:val="20"/>
          <w:szCs w:val="20"/>
          <w:color w:val="auto"/>
        </w:rPr>
      </w:pPr>
      <w:r>
        <w:rPr>
          <w:rFonts w:ascii="Times New Roman" w:cs="Times New Roman" w:eastAsia="Times New Roman" w:hAnsi="Times New Roman"/>
          <w:sz w:val="14"/>
          <w:szCs w:val="14"/>
          <w:color w:val="auto"/>
        </w:rPr>
        <w:t>Sales and marketing expenses increased from $123.3 million for the nine months ended October 31, 2018, to $190.8 million for the nine months ended October 31, 2019, a 55% increase. The increase in sales and marketing expenses was primarily due to an increase in employee-related expenses of $26.9 million driven by an increase in average sales and marketing headcount of 59%, an increase in marketing programs of $12.4 million, an increase in stock-based compensation of $11.6 million, an increase in allocated overhead costs of $5.0 million, an increase in travel-related costs of $4.8 million, and an increase in expenses for company events of $2.8 million. As a result of adopting ASC 606 effective February 1, 2019, our commissions expense for the nine months ended October 31, 2019 was $15.6 million lower than it would have been under ASC 605.</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shows research and development expenses for the nine months ended October 31, 2019 as compared to the nine months ended October 31, 2018:</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jc w:val="center"/>
              <w:ind w:right="235"/>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2"/>
        </w:trPr>
        <w:tc>
          <w:tcPr>
            <w:tcW w:w="59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1"/>
                <w:szCs w:val="11"/>
                <w:b w:val="1"/>
                <w:bCs w:val="1"/>
                <w:color w:val="auto"/>
              </w:rPr>
              <w:t>2019</w:t>
            </w: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13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2"/>
        </w:trPr>
        <w:tc>
          <w:tcPr>
            <w:tcW w:w="5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jc w:val="center"/>
              <w:ind w:left="51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91,497</w:t>
            </w:r>
          </w:p>
        </w:tc>
        <w:tc>
          <w:tcPr>
            <w:tcW w:w="5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62,546</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4"/>
                <w:szCs w:val="14"/>
                <w:color w:val="auto"/>
              </w:rPr>
              <w:t>28,951</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r>
      <w:tr>
        <w:trPr>
          <w:trHeight w:val="23"/>
        </w:trPr>
        <w:tc>
          <w:tcPr>
            <w:tcW w:w="59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firstLine="517"/>
        <w:spacing w:after="0" w:line="269" w:lineRule="auto"/>
        <w:rPr>
          <w:sz w:val="20"/>
          <w:szCs w:val="20"/>
          <w:color w:val="auto"/>
        </w:rPr>
      </w:pPr>
      <w:r>
        <w:rPr>
          <w:rFonts w:ascii="Times New Roman" w:cs="Times New Roman" w:eastAsia="Times New Roman" w:hAnsi="Times New Roman"/>
          <w:sz w:val="14"/>
          <w:szCs w:val="14"/>
          <w:color w:val="auto"/>
        </w:rPr>
        <w:t>Research and development expenses increased from $62.5 million for the nine months ended October 31, 2018, to $91.5 million for the nine months ended October 31, 2019, a 46% increase. This increase was primarily due to an increase in employee-related expenses of $15.8 million driven by an increase in average research and development headcount of 47%. In addition, there was an increase in cloud hosting and related costs of $4.2 million, an increase in stock-based compensation of $3.2 million, an increase in allocated overhead costs of $2.8 million, and an increase in company event expenses of $1.6 million.</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shows general and administrative expenses for the nine months ended October 31, 2019 as compared to the nine months ended October 31, 2018:</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jc w:val="center"/>
              <w:ind w:right="235"/>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2"/>
        </w:trPr>
        <w:tc>
          <w:tcPr>
            <w:tcW w:w="59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1"/>
                <w:szCs w:val="11"/>
                <w:b w:val="1"/>
                <w:bCs w:val="1"/>
                <w:color w:val="auto"/>
              </w:rPr>
              <w:t>2019</w:t>
            </w: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13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2"/>
        </w:trPr>
        <w:tc>
          <w:tcPr>
            <w:tcW w:w="5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jc w:val="center"/>
              <w:ind w:left="51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63,737</w:t>
            </w:r>
          </w:p>
        </w:tc>
        <w:tc>
          <w:tcPr>
            <w:tcW w:w="5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28,868</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4"/>
                <w:szCs w:val="14"/>
                <w:color w:val="auto"/>
              </w:rPr>
              <w:t>34,869</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121 %</w:t>
            </w:r>
          </w:p>
        </w:tc>
      </w:tr>
      <w:tr>
        <w:trPr>
          <w:trHeight w:val="23"/>
        </w:trPr>
        <w:tc>
          <w:tcPr>
            <w:tcW w:w="59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r>
    </w:tbl>
    <w:p>
      <w:pPr>
        <w:spacing w:after="0" w:line="158" w:lineRule="exact"/>
        <w:rPr>
          <w:sz w:val="20"/>
          <w:szCs w:val="20"/>
          <w:color w:val="auto"/>
        </w:rPr>
      </w:pPr>
    </w:p>
    <w:p>
      <w:pPr>
        <w:ind w:firstLine="517"/>
        <w:spacing w:after="0" w:line="269" w:lineRule="auto"/>
        <w:rPr>
          <w:sz w:val="20"/>
          <w:szCs w:val="20"/>
          <w:color w:val="auto"/>
        </w:rPr>
      </w:pPr>
      <w:r>
        <w:rPr>
          <w:rFonts w:ascii="Times New Roman" w:cs="Times New Roman" w:eastAsia="Times New Roman" w:hAnsi="Times New Roman"/>
          <w:sz w:val="14"/>
          <w:szCs w:val="14"/>
          <w:color w:val="auto"/>
        </w:rPr>
        <w:t>General and administrative expenses increased from $28.9 million for the nine months ended October 31, 2018, to $63.7 million for the nine months ended October 31, 2019, a 121% increase. The increase in general and administrative expenses was primarily due to an increase in stock-based compensation expense of $19.9 million. In addition, there was an increase in employee-related expenses of $6.2 million driven by an increase in general and administrative average headcount of 65%, an increase in insurance expense of $2.2 million, an increase in accounting fees of $1.5 million, and an increase in allocated overhead costs of $1.0 million.</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 and Other Income (Expense), Net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shows Interest expense and Other income (expense), net, for the nine months ended October 31, 2019 as compared to the nine months ended October 31, 2018:</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340" w:type="dxa"/>
            <w:vAlign w:val="bottom"/>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2"/>
        </w:trPr>
        <w:tc>
          <w:tcPr>
            <w:tcW w:w="59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2019</w:t>
            </w: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2"/>
        </w:trPr>
        <w:tc>
          <w:tcPr>
            <w:tcW w:w="5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0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(297)</w:t>
            </w:r>
          </w:p>
        </w:tc>
        <w:tc>
          <w:tcPr>
            <w:tcW w:w="50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(428)</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r>
      <w:tr>
        <w:trPr>
          <w:trHeight w:val="19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4"/>
                <w:szCs w:val="14"/>
                <w:color w:val="auto"/>
              </w:rPr>
              <w:t>3,523</w:t>
            </w:r>
          </w:p>
        </w:tc>
        <w:tc>
          <w:tcPr>
            <w:tcW w:w="5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(1,739)</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5,262</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303 %</w:t>
            </w:r>
          </w:p>
        </w:tc>
      </w:tr>
    </w:tbl>
    <w:p>
      <w:pPr>
        <w:spacing w:after="0" w:line="180" w:lineRule="exact"/>
        <w:rPr>
          <w:sz w:val="20"/>
          <w:szCs w:val="20"/>
          <w:color w:val="auto"/>
        </w:rPr>
      </w:pPr>
    </w:p>
    <w:p>
      <w:pPr>
        <w:ind w:right="20" w:firstLine="517"/>
        <w:spacing w:after="0" w:line="275" w:lineRule="auto"/>
        <w:rPr>
          <w:sz w:val="20"/>
          <w:szCs w:val="20"/>
          <w:color w:val="auto"/>
        </w:rPr>
      </w:pPr>
      <w:r>
        <w:rPr>
          <w:rFonts w:ascii="Times New Roman" w:cs="Times New Roman" w:eastAsia="Times New Roman" w:hAnsi="Times New Roman"/>
          <w:sz w:val="14"/>
          <w:szCs w:val="14"/>
          <w:color w:val="auto"/>
        </w:rPr>
        <w:t>Other income (expense), net, was an expense of $1.7 million for the nine months ended October 31, 2018 compared to income of $3.5 million for the nine months ended October 31, 2019. This $5.3 million change was driven primarily by an increase in interest income of $6.7 million and income from a legal settlement of $1.3 million, partially offset by an increase in expense related to the fair value of the redeemable convertible preferred stock warrants of $3.1 million.</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shows the provision for income taxes for the nine months ended October 31, 2019 as compared to the nine months ended October 31, 2018:</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2"/>
        </w:trPr>
        <w:tc>
          <w:tcPr>
            <w:tcW w:w="59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2019</w:t>
            </w: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2"/>
        </w:trPr>
        <w:tc>
          <w:tcPr>
            <w:tcW w:w="5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ind w:left="6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(1,664)</w:t>
            </w:r>
          </w:p>
        </w:tc>
        <w:tc>
          <w:tcPr>
            <w:tcW w:w="5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(1,018)</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r>
      <w:tr>
        <w:trPr>
          <w:trHeight w:val="23"/>
        </w:trPr>
        <w:tc>
          <w:tcPr>
            <w:tcW w:w="59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r>
    </w:tbl>
    <w:p>
      <w:pPr>
        <w:spacing w:after="0" w:line="158"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increase in the provision for income taxes of $0.6 million was driven primarily by an increase in international income tax expense due to increased activity in several countries during the nine months ended October 31, 2019 compared to the nine months ended October 31, 2018.</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86" w:lineRule="exact"/>
        <w:rPr>
          <w:sz w:val="20"/>
          <w:szCs w:val="20"/>
          <w:color w:val="auto"/>
        </w:rPr>
      </w:pPr>
    </w:p>
    <w:p>
      <w:pPr>
        <w:ind w:right="40" w:firstLine="517"/>
        <w:spacing w:after="0" w:line="261" w:lineRule="auto"/>
        <w:rPr>
          <w:sz w:val="20"/>
          <w:szCs w:val="20"/>
          <w:color w:val="auto"/>
        </w:rPr>
      </w:pPr>
      <w:r>
        <w:rPr>
          <w:rFonts w:ascii="Times New Roman" w:cs="Times New Roman" w:eastAsia="Times New Roman" w:hAnsi="Times New Roman"/>
          <w:sz w:val="14"/>
          <w:szCs w:val="14"/>
          <w:color w:val="auto"/>
        </w:rPr>
        <w:t>In addition to our results determined in accordance with U.S. generally accepted accounting principles, or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particular, free cash flow is not a substitute for cash used in operating activities. Additionally, the utility of free cash flow as a measure of our financial performance and liquidity is further limited as it does not represent the total increase or decrease in our cash balance for a given period.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146" w:lineRule="exact"/>
        <w:rPr>
          <w:sz w:val="20"/>
          <w:szCs w:val="20"/>
          <w:color w:val="auto"/>
        </w:rPr>
      </w:pPr>
    </w:p>
    <w:p>
      <w:pPr>
        <w:ind w:right="760" w:firstLine="517"/>
        <w:spacing w:after="0" w:line="294" w:lineRule="auto"/>
        <w:rPr>
          <w:sz w:val="20"/>
          <w:szCs w:val="20"/>
          <w:color w:val="auto"/>
        </w:rPr>
      </w:pPr>
      <w:r>
        <w:rPr>
          <w:rFonts w:ascii="Times New Roman" w:cs="Times New Roman" w:eastAsia="Times New Roman" w:hAnsi="Times New Roman"/>
          <w:sz w:val="14"/>
          <w:szCs w:val="14"/>
          <w:color w:val="auto"/>
        </w:rPr>
        <w:t>We believe that these non-GAAP financial measures as presented in the below table, when taken together with the corresponding GAAP financial measures, provide meaningful supplemental information regarding our performance by excluding certain items that may not be indicative of our business, results of operations, or outlook.</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Non-GAAP Subscription Gross Profit and Non-GAAP Subscription Gross Margin</w:t>
      </w:r>
    </w:p>
    <w:p>
      <w:pPr>
        <w:spacing w:after="0" w:line="188" w:lineRule="exact"/>
        <w:rPr>
          <w:sz w:val="20"/>
          <w:szCs w:val="20"/>
          <w:color w:val="auto"/>
        </w:rPr>
      </w:pPr>
    </w:p>
    <w:p>
      <w:pPr>
        <w:ind w:firstLine="517"/>
        <w:spacing w:after="0" w:line="269" w:lineRule="auto"/>
        <w:rPr>
          <w:sz w:val="20"/>
          <w:szCs w:val="20"/>
          <w:color w:val="auto"/>
        </w:rPr>
      </w:pPr>
      <w:r>
        <w:rPr>
          <w:rFonts w:ascii="Times New Roman" w:cs="Times New Roman" w:eastAsia="Times New Roman" w:hAnsi="Times New Roman"/>
          <w:sz w:val="14"/>
          <w:szCs w:val="14"/>
          <w:color w:val="auto"/>
        </w:rPr>
        <w:t>We define non-GAAP subscription gross profit and non-GAAP subscription gross margin as GAAP subscription gross profit and GAAP subscription gross margin, respectively, excluding stock-based compensation expense and amortization of acquired intangible assets. We believe non-GAAP subscription gross profit and non-GAAP subscription gross margin provide our management and investors consistency and comparability with our past financial performance and facilitate period-to-period comparisons of operations, as these measures eliminate the effects of certain variables unrelated to our overall operating performance.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a reconciliation of our non-GAAP subscription gross profit to our GAAP subscription gross profit and of our non-GAAP subscription gross margin to our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GAAP subscription gross margin as of the periods presented:</w:t>
      </w:r>
    </w:p>
    <w:p>
      <w:pPr>
        <w:sectPr>
          <w:pgSz w:w="11900" w:h="16838" w:orient="portrait"/>
          <w:cols w:equalWidth="0" w:num="1">
            <w:col w:w="11440"/>
          </w:cols>
          <w:pgMar w:left="220" w:top="125" w:right="239" w:bottom="1440" w:gutter="0" w:footer="0" w:header="0"/>
        </w:sectPr>
      </w:pPr>
    </w:p>
    <w:p>
      <w:pPr>
        <w:spacing w:after="0" w:line="3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20955</wp:posOffset>
            </wp:positionV>
            <wp:extent cx="175196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51965" cy="6985"/>
                    </a:xfrm>
                    <a:prstGeom prst="rect">
                      <a:avLst/>
                    </a:prstGeom>
                    <a:noFill/>
                  </pic:spPr>
                </pic:pic>
              </a:graphicData>
            </a:graphic>
          </wp:anchor>
        </w:drawing>
      </w:r>
    </w:p>
    <w:p>
      <w:pPr>
        <w:spacing w:after="0" w:line="26" w:lineRule="exact"/>
        <w:rPr>
          <w:sz w:val="20"/>
          <w:szCs w:val="20"/>
          <w:color w:val="auto"/>
        </w:rPr>
      </w:pPr>
    </w:p>
    <w:p>
      <w:pPr>
        <w:ind w:left="6360"/>
        <w:spacing w:after="0"/>
        <w:tabs>
          <w:tab w:leader="none" w:pos="7760" w:val="left"/>
        </w:tabs>
        <w:rPr>
          <w:sz w:val="20"/>
          <w:szCs w:val="20"/>
          <w:color w:val="auto"/>
        </w:rPr>
      </w:pPr>
      <w:r>
        <w:rPr>
          <w:rFonts w:ascii="Times New Roman" w:cs="Times New Roman" w:eastAsia="Times New Roman" w:hAnsi="Times New Roman"/>
          <w:sz w:val="11"/>
          <w:szCs w:val="11"/>
          <w:b w:val="1"/>
          <w:bCs w:val="1"/>
          <w:color w:val="auto"/>
        </w:rPr>
        <w:t>2019</w:t>
      </w:r>
      <w:r>
        <w:rPr>
          <w:sz w:val="20"/>
          <w:szCs w:val="20"/>
          <w:color w:val="auto"/>
        </w:rPr>
        <w:tab/>
      </w:r>
      <w:r>
        <w:rPr>
          <w:rFonts w:ascii="Times New Roman" w:cs="Times New Roman" w:eastAsia="Times New Roman" w:hAnsi="Times New Roman"/>
          <w:sz w:val="11"/>
          <w:szCs w:val="11"/>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20955</wp:posOffset>
            </wp:positionV>
            <wp:extent cx="175196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51965" cy="6985"/>
                    </a:xfrm>
                    <a:prstGeom prst="rect">
                      <a:avLst/>
                    </a:prstGeom>
                    <a:noFill/>
                  </pic:spPr>
                </pic:pic>
              </a:graphicData>
            </a:graphic>
          </wp:anchor>
        </w:drawing>
      </w:r>
    </w:p>
    <w:p>
      <w:pPr>
        <w:spacing w:after="0" w:line="2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20955</wp:posOffset>
            </wp:positionV>
            <wp:extent cx="175895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58950" cy="6985"/>
                    </a:xfrm>
                    <a:prstGeom prst="rect">
                      <a:avLst/>
                    </a:prstGeom>
                    <a:noFill/>
                  </pic:spPr>
                </pic:pic>
              </a:graphicData>
            </a:graphic>
          </wp:anchor>
        </w:drawing>
      </w:r>
    </w:p>
    <w:p>
      <w:pPr>
        <w:spacing w:after="0" w:line="2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1"/>
          <w:szCs w:val="11"/>
          <w:b w:val="1"/>
          <w:bCs w:val="1"/>
          <w:color w:val="auto"/>
        </w:rPr>
        <w:t>2019</w:t>
      </w:r>
      <w:r>
        <w:rPr>
          <w:sz w:val="20"/>
          <w:szCs w:val="20"/>
          <w:color w:val="auto"/>
        </w:rPr>
        <w:tab/>
      </w:r>
      <w:r>
        <w:rPr>
          <w:rFonts w:ascii="Times New Roman" w:cs="Times New Roman" w:eastAsia="Times New Roman" w:hAnsi="Times New Roman"/>
          <w:sz w:val="11"/>
          <w:szCs w:val="11"/>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20955</wp:posOffset>
            </wp:positionV>
            <wp:extent cx="175895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58950" cy="6985"/>
                    </a:xfrm>
                    <a:prstGeom prst="rect">
                      <a:avLst/>
                    </a:prstGeom>
                    <a:noFill/>
                  </pic:spPr>
                </pic:pic>
              </a:graphicData>
            </a:graphic>
          </wp:anchor>
        </w:drawing>
      </w:r>
    </w:p>
    <w:p>
      <w:pPr>
        <w:spacing w:after="0" w:line="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00" w:lineRule="exact"/>
        <w:rPr>
          <w:sz w:val="20"/>
          <w:szCs w:val="20"/>
          <w:color w:val="auto"/>
        </w:rPr>
      </w:pPr>
    </w:p>
    <w:p>
      <w:pPr>
        <w:sectPr>
          <w:pgSz w:w="11900" w:h="16838" w:orient="portrait"/>
          <w:cols w:equalWidth="0" w:num="2">
            <w:col w:w="8500" w:space="720"/>
            <w:col w:w="2220"/>
          </w:cols>
          <w:pgMar w:left="220" w:top="125" w:right="239" w:bottom="1440" w:gutter="0" w:footer="0" w:header="0"/>
          <w:type w:val="continuous"/>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revenue</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114,221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57,651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297,787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146,570</w:t>
            </w:r>
          </w:p>
        </w:tc>
      </w:tr>
      <w:tr>
        <w:trPr>
          <w:trHeight w:val="205"/>
        </w:trPr>
        <w:tc>
          <w:tcPr>
            <w:tcW w:w="5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gross profit</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85,000</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40,349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219,929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99,493</w:t>
            </w:r>
          </w:p>
        </w:tc>
      </w:tr>
      <w:tr>
        <w:trPr>
          <w:trHeight w:val="193"/>
        </w:trPr>
        <w:tc>
          <w:tcPr>
            <w:tcW w:w="5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 Stock-based compensation expense</w:t>
            </w:r>
          </w:p>
        </w:tc>
        <w:tc>
          <w:tcPr>
            <w:tcW w:w="38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1,666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3,164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533</w:t>
            </w:r>
          </w:p>
        </w:tc>
      </w:tr>
      <w:tr>
        <w:trPr>
          <w:trHeight w:val="23"/>
        </w:trPr>
        <w:tc>
          <w:tcPr>
            <w:tcW w:w="5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6"/>
        </w:trPr>
        <w:tc>
          <w:tcPr>
            <w:tcW w:w="5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 Amortization of acquired intangible assets</w:t>
            </w: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222</w:t>
            </w:r>
          </w:p>
        </w:tc>
      </w:tr>
      <w:tr>
        <w:trPr>
          <w:trHeight w:val="206"/>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Non-GAAP subscription gross profit</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86,727</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40,751</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223,355</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100,248</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7"/>
        </w:trPr>
        <w:tc>
          <w:tcPr>
            <w:tcW w:w="5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93"/>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Subscription gross margin</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68 %</w:t>
            </w:r>
          </w:p>
        </w:tc>
      </w:tr>
      <w:tr>
        <w:trPr>
          <w:trHeight w:val="23"/>
        </w:trPr>
        <w:tc>
          <w:tcPr>
            <w:tcW w:w="5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5"/>
        </w:trPr>
        <w:tc>
          <w:tcPr>
            <w:tcW w:w="5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3"/>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Non-GAAP subscription gross margin</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68 %</w:t>
            </w:r>
          </w:p>
        </w:tc>
      </w:tr>
    </w:tbl>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Non-GAAP Loss from Operations and Non-GAAP Operating Margin</w:t>
      </w:r>
    </w:p>
    <w:p>
      <w:pPr>
        <w:spacing w:after="0" w:line="188" w:lineRule="exact"/>
        <w:rPr>
          <w:sz w:val="20"/>
          <w:szCs w:val="20"/>
          <w:color w:val="auto"/>
        </w:rPr>
      </w:pPr>
    </w:p>
    <w:p>
      <w:pPr>
        <w:ind w:right="60" w:firstLine="517"/>
        <w:spacing w:after="0" w:line="269" w:lineRule="auto"/>
        <w:rPr>
          <w:sz w:val="20"/>
          <w:szCs w:val="20"/>
          <w:color w:val="auto"/>
        </w:rPr>
      </w:pPr>
      <w:r>
        <w:rPr>
          <w:rFonts w:ascii="Times New Roman" w:cs="Times New Roman" w:eastAsia="Times New Roman" w:hAnsi="Times New Roman"/>
          <w:sz w:val="14"/>
          <w:szCs w:val="14"/>
          <w:color w:val="auto"/>
        </w:rPr>
        <w:t>We define non-GAAP loss from operations and non-GAAP operating margin as GAAP loss from operations and GAAP operating margin, respectively, excluding stock-based compensation expense, amortization of acquired intangible assets, and acquisition-related expenses. We believe non-GAAP loss from operations and non-GAAP operating margin provide our management and investors consistency and comparability with our past financial performance and facilitate period-to-period comparisons of operations, as these metrics generally eliminate the effects of certain variables unrelated to our overall operating performance.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type w:val="continuous"/>
        </w:sectPr>
      </w:pPr>
    </w:p>
    <w:bookmarkStart w:id="53" w:name="page54"/>
    <w:bookmarkEnd w:id="5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firstLine="517"/>
        <w:spacing w:after="0" w:line="285" w:lineRule="auto"/>
        <w:rPr>
          <w:sz w:val="20"/>
          <w:szCs w:val="20"/>
          <w:color w:val="auto"/>
        </w:rPr>
      </w:pPr>
      <w:r>
        <w:rPr>
          <w:rFonts w:ascii="Times New Roman" w:cs="Times New Roman" w:eastAsia="Times New Roman" w:hAnsi="Times New Roman"/>
          <w:sz w:val="14"/>
          <w:szCs w:val="14"/>
          <w:color w:val="auto"/>
        </w:rPr>
        <w:t>The following table presents a reconciliation of our non-GAAP loss from operations to our GAAP loss from operations and our non-GAAP operating margin to our GAAP operating margin as of the periods presented:</w:t>
      </w:r>
    </w:p>
    <w:p>
      <w:pPr>
        <w:sectPr>
          <w:pgSz w:w="11900" w:h="16838" w:orient="portrait"/>
          <w:cols w:equalWidth="0" w:num="1">
            <w:col w:w="11460"/>
          </w:cols>
          <w:pgMar w:left="220" w:top="125" w:right="219" w:bottom="1440" w:gutter="0" w:footer="0" w:header="0"/>
        </w:sectPr>
      </w:pPr>
    </w:p>
    <w:p>
      <w:pPr>
        <w:spacing w:after="0" w:line="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20955</wp:posOffset>
            </wp:positionV>
            <wp:extent cx="173799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37995" cy="6985"/>
                    </a:xfrm>
                    <a:prstGeom prst="rect">
                      <a:avLst/>
                    </a:prstGeom>
                    <a:noFill/>
                  </pic:spPr>
                </pic:pic>
              </a:graphicData>
            </a:graphic>
          </wp:anchor>
        </w:drawing>
      </w:r>
    </w:p>
    <w:p>
      <w:pPr>
        <w:spacing w:after="0" w:line="26" w:lineRule="exact"/>
        <w:rPr>
          <w:sz w:val="20"/>
          <w:szCs w:val="20"/>
          <w:color w:val="auto"/>
        </w:rPr>
      </w:pPr>
    </w:p>
    <w:p>
      <w:pPr>
        <w:ind w:left="6180"/>
        <w:spacing w:after="0"/>
        <w:tabs>
          <w:tab w:leader="none" w:pos="7580" w:val="left"/>
        </w:tabs>
        <w:rPr>
          <w:sz w:val="20"/>
          <w:szCs w:val="20"/>
          <w:color w:val="auto"/>
        </w:rPr>
      </w:pPr>
      <w:r>
        <w:rPr>
          <w:rFonts w:ascii="Times New Roman" w:cs="Times New Roman" w:eastAsia="Times New Roman" w:hAnsi="Times New Roman"/>
          <w:sz w:val="11"/>
          <w:szCs w:val="11"/>
          <w:b w:val="1"/>
          <w:bCs w:val="1"/>
          <w:color w:val="auto"/>
        </w:rPr>
        <w:t>2019</w:t>
      </w:r>
      <w:r>
        <w:rPr>
          <w:sz w:val="20"/>
          <w:szCs w:val="20"/>
          <w:color w:val="auto"/>
        </w:rPr>
        <w:tab/>
      </w:r>
      <w:r>
        <w:rPr>
          <w:rFonts w:ascii="Times New Roman" w:cs="Times New Roman" w:eastAsia="Times New Roman" w:hAnsi="Times New Roman"/>
          <w:sz w:val="11"/>
          <w:szCs w:val="11"/>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20955</wp:posOffset>
            </wp:positionV>
            <wp:extent cx="173799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37995" cy="6985"/>
                    </a:xfrm>
                    <a:prstGeom prst="rect">
                      <a:avLst/>
                    </a:prstGeom>
                    <a:noFill/>
                  </pic:spPr>
                </pic:pic>
              </a:graphicData>
            </a:graphic>
          </wp:anchor>
        </w:drawing>
      </w:r>
    </w:p>
    <w:p>
      <w:pPr>
        <w:spacing w:after="0" w:line="2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20955</wp:posOffset>
            </wp:positionV>
            <wp:extent cx="184785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47850" cy="6985"/>
                    </a:xfrm>
                    <a:prstGeom prst="rect">
                      <a:avLst/>
                    </a:prstGeom>
                    <a:noFill/>
                  </pic:spPr>
                </pic:pic>
              </a:graphicData>
            </a:graphic>
          </wp:anchor>
        </w:drawing>
      </w:r>
    </w:p>
    <w:p>
      <w:pPr>
        <w:spacing w:after="0" w:line="26"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1"/>
          <w:szCs w:val="11"/>
          <w:b w:val="1"/>
          <w:bCs w:val="1"/>
          <w:color w:val="auto"/>
        </w:rPr>
        <w:t>2019</w:t>
      </w:r>
      <w:r>
        <w:rPr>
          <w:sz w:val="20"/>
          <w:szCs w:val="20"/>
          <w:color w:val="auto"/>
        </w:rPr>
        <w:tab/>
      </w:r>
      <w:r>
        <w:rPr>
          <w:rFonts w:ascii="Times New Roman" w:cs="Times New Roman" w:eastAsia="Times New Roman" w:hAnsi="Times New Roman"/>
          <w:sz w:val="11"/>
          <w:szCs w:val="11"/>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20955</wp:posOffset>
            </wp:positionV>
            <wp:extent cx="184785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47850" cy="6985"/>
                    </a:xfrm>
                    <a:prstGeom prst="rect">
                      <a:avLst/>
                    </a:prstGeom>
                    <a:noFill/>
                  </pic:spPr>
                </pic:pic>
              </a:graphicData>
            </a:graphic>
          </wp:anchor>
        </w:drawing>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00" w:lineRule="exact"/>
        <w:rPr>
          <w:sz w:val="20"/>
          <w:szCs w:val="20"/>
          <w:color w:val="auto"/>
        </w:rPr>
      </w:pPr>
    </w:p>
    <w:p>
      <w:pPr>
        <w:sectPr>
          <w:pgSz w:w="11900" w:h="16838" w:orient="portrait"/>
          <w:cols w:equalWidth="0" w:num="2">
            <w:col w:w="8320" w:space="720"/>
            <w:col w:w="2420"/>
          </w:cols>
          <w:pgMar w:left="220" w:top="125" w:right="219" w:bottom="1440" w:gutter="0" w:footer="0" w:header="0"/>
          <w:type w:val="continuous"/>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125,119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66,379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329,304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169,369</w:t>
            </w:r>
          </w:p>
        </w:tc>
      </w:tr>
      <w:tr>
        <w:trPr>
          <w:trHeight w:val="205"/>
        </w:trPr>
        <w:tc>
          <w:tcPr>
            <w:tcW w:w="5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(38,518)</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(42,091)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(114,933)</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(105,632)</w:t>
            </w:r>
          </w:p>
        </w:tc>
      </w:tr>
      <w:tr>
        <w:trPr>
          <w:trHeight w:val="193"/>
        </w:trPr>
        <w:tc>
          <w:tcPr>
            <w:tcW w:w="5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 Stock-based compensation expense</w:t>
            </w:r>
          </w:p>
        </w:tc>
        <w:tc>
          <w:tcPr>
            <w:tcW w:w="30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21,966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13,460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55,577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17,403</w:t>
            </w:r>
          </w:p>
        </w:tc>
      </w:tr>
      <w:tr>
        <w:trPr>
          <w:trHeight w:val="23"/>
        </w:trPr>
        <w:tc>
          <w:tcPr>
            <w:tcW w:w="5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5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 Amortization of acquired intangible assets</w:t>
            </w:r>
          </w:p>
        </w:tc>
        <w:tc>
          <w:tcPr>
            <w:tcW w:w="3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435</w:t>
            </w:r>
          </w:p>
        </w:tc>
      </w:tr>
      <w:tr>
        <w:trPr>
          <w:trHeight w:val="206"/>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Non-GAAP loss from operations</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(16,451)</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(28,569)</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(58,971)</w:t>
            </w: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(87,794)</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7"/>
        </w:trPr>
        <w:tc>
          <w:tcPr>
            <w:tcW w:w="5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93"/>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margin</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 %</w:t>
            </w:r>
          </w:p>
        </w:tc>
      </w:tr>
      <w:tr>
        <w:trPr>
          <w:trHeight w:val="23"/>
        </w:trPr>
        <w:tc>
          <w:tcPr>
            <w:tcW w:w="5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5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3"/>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Non-GAAP operating margin</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w:t>
            </w:r>
          </w:p>
        </w:tc>
      </w:tr>
    </w:tbl>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Free Cash Flow and Free Cash Flow Margin</w:t>
      </w:r>
    </w:p>
    <w:p>
      <w:pPr>
        <w:spacing w:after="0" w:line="188" w:lineRule="exact"/>
        <w:rPr>
          <w:sz w:val="20"/>
          <w:szCs w:val="20"/>
          <w:color w:val="auto"/>
        </w:rPr>
      </w:pPr>
    </w:p>
    <w:p>
      <w:pPr>
        <w:ind w:firstLine="517"/>
        <w:spacing w:after="0" w:line="263" w:lineRule="auto"/>
        <w:rPr>
          <w:sz w:val="20"/>
          <w:szCs w:val="20"/>
          <w:color w:val="auto"/>
        </w:rPr>
      </w:pPr>
      <w:r>
        <w:rPr>
          <w:rFonts w:ascii="Times New Roman" w:cs="Times New Roman" w:eastAsia="Times New Roman" w:hAnsi="Times New Roman"/>
          <w:sz w:val="14"/>
          <w:szCs w:val="14"/>
          <w:color w:val="auto"/>
        </w:rPr>
        <w:t>Free cash flow is a non-GAAP financial measure that we define as net cash used in operating activities less purchases of property and equipment, capitalized internal-use software, acquisition of intangible assets, and cash used for business combinations. Free cash flow margin is calculated as free cash flow divided by total revenue. We monitor free cash flow as one measure of our overall business performance, which enables us to analyze our future performance without the effects of non-cash items and allow us to better understand the cash needs of our business. While we believe that free cash flow is useful in evaluating our business, free cash flow is a non-GAAP financial measure that has limitations as an analytical tool, and free cash flow should not be considered as an alternative to, or substitute for, net cash used in operating activities in accordance with GAAP. The utility of free cash flow as a measure of our liquidity is further limited as it does not represent the total increase or decrease in our cash balance for any given period. In addition, other companies, including companies in our industry, may calculate free cash flow differently or not at all, which reduces the usefulness of free cash flow as a tool for comparison.</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a reconciliation of free cash flow and free cash flow margin to net cash used in operating activities:</w:t>
      </w:r>
    </w:p>
    <w:p>
      <w:pPr>
        <w:sectPr>
          <w:pgSz w:w="11900" w:h="16838" w:orient="portrait"/>
          <w:cols w:equalWidth="0" w:num="1">
            <w:col w:w="11460"/>
          </w:cols>
          <w:pgMar w:left="220" w:top="125" w:right="219" w:bottom="1440" w:gutter="0" w:footer="0" w:header="0"/>
          <w:type w:val="continuous"/>
        </w:sectPr>
      </w:pPr>
    </w:p>
    <w:p>
      <w:pPr>
        <w:spacing w:after="0" w:line="5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20955</wp:posOffset>
            </wp:positionV>
            <wp:extent cx="175895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58950" cy="6985"/>
                    </a:xfrm>
                    <a:prstGeom prst="rect">
                      <a:avLst/>
                    </a:prstGeom>
                    <a:noFill/>
                  </pic:spPr>
                </pic:pic>
              </a:graphicData>
            </a:graphic>
          </wp:anchor>
        </w:drawing>
      </w:r>
    </w:p>
    <w:p>
      <w:pPr>
        <w:spacing w:after="0" w:line="26" w:lineRule="exact"/>
        <w:rPr>
          <w:sz w:val="20"/>
          <w:szCs w:val="20"/>
          <w:color w:val="auto"/>
        </w:rPr>
      </w:pPr>
    </w:p>
    <w:p>
      <w:pPr>
        <w:ind w:left="6360"/>
        <w:spacing w:after="0"/>
        <w:tabs>
          <w:tab w:leader="none" w:pos="7780" w:val="left"/>
        </w:tabs>
        <w:rPr>
          <w:sz w:val="20"/>
          <w:szCs w:val="20"/>
          <w:color w:val="auto"/>
        </w:rPr>
      </w:pPr>
      <w:r>
        <w:rPr>
          <w:rFonts w:ascii="Times New Roman" w:cs="Times New Roman" w:eastAsia="Times New Roman" w:hAnsi="Times New Roman"/>
          <w:sz w:val="11"/>
          <w:szCs w:val="11"/>
          <w:b w:val="1"/>
          <w:bCs w:val="1"/>
          <w:color w:val="auto"/>
        </w:rPr>
        <w:t>2019</w:t>
      </w:r>
      <w:r>
        <w:rPr>
          <w:sz w:val="20"/>
          <w:szCs w:val="20"/>
          <w:color w:val="auto"/>
        </w:rPr>
        <w:tab/>
      </w:r>
      <w:r>
        <w:rPr>
          <w:rFonts w:ascii="Times New Roman" w:cs="Times New Roman" w:eastAsia="Times New Roman" w:hAnsi="Times New Roman"/>
          <w:sz w:val="11"/>
          <w:szCs w:val="11"/>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20955</wp:posOffset>
            </wp:positionV>
            <wp:extent cx="175895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58950" cy="6985"/>
                    </a:xfrm>
                    <a:prstGeom prst="rect">
                      <a:avLst/>
                    </a:prstGeom>
                    <a:noFill/>
                  </pic:spPr>
                </pic:pic>
              </a:graphicData>
            </a:graphic>
          </wp:anchor>
        </w:drawing>
      </w:r>
    </w:p>
    <w:p>
      <w:pPr>
        <w:spacing w:after="0" w:line="2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20955</wp:posOffset>
            </wp:positionV>
            <wp:extent cx="175895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58950" cy="6985"/>
                    </a:xfrm>
                    <a:prstGeom prst="rect">
                      <a:avLst/>
                    </a:prstGeom>
                    <a:noFill/>
                  </pic:spPr>
                </pic:pic>
              </a:graphicData>
            </a:graphic>
          </wp:anchor>
        </w:drawing>
      </w:r>
    </w:p>
    <w:p>
      <w:pPr>
        <w:spacing w:after="0" w:line="2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1"/>
          <w:szCs w:val="11"/>
          <w:b w:val="1"/>
          <w:bCs w:val="1"/>
          <w:color w:val="auto"/>
        </w:rPr>
        <w:t>2019</w:t>
      </w:r>
      <w:r>
        <w:rPr>
          <w:sz w:val="20"/>
          <w:szCs w:val="20"/>
          <w:color w:val="auto"/>
        </w:rPr>
        <w:tab/>
      </w:r>
      <w:r>
        <w:rPr>
          <w:rFonts w:ascii="Times New Roman" w:cs="Times New Roman" w:eastAsia="Times New Roman" w:hAnsi="Times New Roman"/>
          <w:sz w:val="11"/>
          <w:szCs w:val="11"/>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20955</wp:posOffset>
            </wp:positionV>
            <wp:extent cx="175895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58950" cy="6985"/>
                    </a:xfrm>
                    <a:prstGeom prst="rect">
                      <a:avLst/>
                    </a:prstGeom>
                    <a:noFill/>
                  </pic:spPr>
                </pic:pic>
              </a:graphicData>
            </a:graphic>
          </wp:anchor>
        </w:drawing>
      </w:r>
    </w:p>
    <w:p>
      <w:pPr>
        <w:spacing w:after="0" w:line="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00" w:lineRule="exact"/>
        <w:rPr>
          <w:sz w:val="20"/>
          <w:szCs w:val="20"/>
          <w:color w:val="auto"/>
        </w:rPr>
      </w:pPr>
    </w:p>
    <w:p>
      <w:pPr>
        <w:sectPr>
          <w:pgSz w:w="11900" w:h="16838" w:orient="portrait"/>
          <w:cols w:equalWidth="0" w:num="2">
            <w:col w:w="8500" w:space="720"/>
            <w:col w:w="2240"/>
          </w:cols>
          <w:pgMar w:left="220" w:top="125" w:right="219" w:bottom="1440" w:gutter="0" w:footer="0" w:header="0"/>
          <w:type w:val="continuous"/>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125,119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66,379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329,304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169,369</w:t>
            </w:r>
          </w:p>
        </w:tc>
      </w:tr>
      <w:tr>
        <w:trPr>
          <w:trHeight w:val="205"/>
        </w:trPr>
        <w:tc>
          <w:tcPr>
            <w:tcW w:w="5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4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38,635</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(3,639)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33,836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(38,776)</w:t>
            </w:r>
          </w:p>
        </w:tc>
      </w:tr>
      <w:tr>
        <w:trPr>
          <w:trHeight w:val="193"/>
        </w:trPr>
        <w:tc>
          <w:tcPr>
            <w:tcW w:w="5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Less: Purchases of property and equipment</w:t>
            </w:r>
          </w:p>
        </w:tc>
        <w:tc>
          <w:tcPr>
            <w:tcW w:w="40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(29,689)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(7,596)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(66,848)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(21,664)</w:t>
            </w:r>
          </w:p>
        </w:tc>
      </w:tr>
      <w:tr>
        <w:trPr>
          <w:trHeight w:val="23"/>
        </w:trPr>
        <w:tc>
          <w:tcPr>
            <w:tcW w:w="5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6"/>
        </w:trPr>
        <w:tc>
          <w:tcPr>
            <w:tcW w:w="5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Capitalized internal-use software</w:t>
            </w:r>
          </w:p>
        </w:tc>
        <w:tc>
          <w:tcPr>
            <w:tcW w:w="4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(1,898)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(1,841)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(5,042)</w:t>
            </w:r>
          </w:p>
        </w:tc>
      </w:tr>
      <w:tr>
        <w:trPr>
          <w:trHeight w:val="206"/>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Free cash flow</w:t>
            </w: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7,048</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(13,076)</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(38,220)</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(65,482)</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67"/>
        </w:trPr>
        <w:tc>
          <w:tcPr>
            <w:tcW w:w="5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93"/>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(27,262)</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(36,486)</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(57,516)</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(131,359)</w:t>
            </w:r>
          </w:p>
        </w:tc>
      </w:tr>
      <w:tr>
        <w:trPr>
          <w:trHeight w:val="23"/>
        </w:trPr>
        <w:tc>
          <w:tcPr>
            <w:tcW w:w="5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8,094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678,834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190,714</w:t>
            </w:r>
          </w:p>
        </w:tc>
      </w:tr>
      <w:tr>
        <w:trPr>
          <w:trHeight w:val="23"/>
        </w:trPr>
        <w:tc>
          <w:tcPr>
            <w:tcW w:w="58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operating activities as a percentage of revenue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68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(5) %</w:t>
            </w:r>
          </w:p>
        </w:tc>
        <w:tc>
          <w:tcPr>
            <w:tcW w:w="144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10 %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193"/>
        </w:trPr>
        <w:tc>
          <w:tcPr>
            <w:tcW w:w="5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Less: Purchases of property and equipment as a percentage of revenue</w:t>
            </w:r>
          </w:p>
        </w:tc>
        <w:tc>
          <w:tcPr>
            <w:tcW w:w="204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color w:val="auto"/>
              </w:rPr>
              <w:t>(24) %</w:t>
            </w:r>
          </w:p>
        </w:tc>
        <w:tc>
          <w:tcPr>
            <w:tcW w:w="14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(11) %</w:t>
            </w:r>
          </w:p>
        </w:tc>
        <w:tc>
          <w:tcPr>
            <w:tcW w:w="14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(20) %</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23"/>
        </w:trPr>
        <w:tc>
          <w:tcPr>
            <w:tcW w:w="56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5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Capitalized internal-use software as a percentage of revenue</w:t>
            </w:r>
          </w:p>
        </w:tc>
        <w:tc>
          <w:tcPr>
            <w:tcW w:w="2040" w:type="dxa"/>
            <w:vAlign w:val="bottom"/>
            <w:tcBorders>
              <w:bottom w:val="single" w:sz="8" w:color="CCEEFF"/>
            </w:tcBorders>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(2) %</w:t>
            </w:r>
          </w:p>
        </w:tc>
        <w:tc>
          <w:tcPr>
            <w:tcW w:w="142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(3) %</w:t>
            </w:r>
          </w:p>
        </w:tc>
        <w:tc>
          <w:tcPr>
            <w:tcW w:w="14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(2)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93"/>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Free cash flow margin</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(20) %</w:t>
            </w:r>
          </w:p>
        </w:tc>
        <w:tc>
          <w:tcPr>
            <w:tcW w:w="14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(12) %</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 %</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type w:val="continuous"/>
        </w:sectPr>
      </w:pPr>
    </w:p>
    <w:bookmarkStart w:id="54" w:name="page55"/>
    <w:bookmarkEnd w:id="5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June 2019, upon completion of our IPO, we received net proceeds of $659.2 million, after deducting underwriters’ discounts and commissions and estimated offering expenses of $44.8</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million.</w:t>
      </w:r>
    </w:p>
    <w:p>
      <w:pPr>
        <w:spacing w:after="0" w:line="170" w:lineRule="exact"/>
        <w:rPr>
          <w:sz w:val="20"/>
          <w:szCs w:val="20"/>
          <w:color w:val="auto"/>
        </w:rPr>
      </w:pPr>
    </w:p>
    <w:p>
      <w:pPr>
        <w:ind w:firstLine="517"/>
        <w:spacing w:after="0" w:line="264" w:lineRule="auto"/>
        <w:rPr>
          <w:sz w:val="20"/>
          <w:szCs w:val="20"/>
          <w:color w:val="auto"/>
        </w:rPr>
      </w:pPr>
      <w:r>
        <w:rPr>
          <w:rFonts w:ascii="Times New Roman" w:cs="Times New Roman" w:eastAsia="Times New Roman" w:hAnsi="Times New Roman"/>
          <w:sz w:val="14"/>
          <w:szCs w:val="14"/>
          <w:color w:val="auto"/>
        </w:rPr>
        <w:t>Prior to our IPO, we financed our operations principally through private placements of our equity securities, payments received from customers using our Falcon platform and professional services, and borrowings under our credit facility. As of October 31, 2019, we had cash equivalents, consisting of money market funds, corporate debt securities, and US Treasuries, of $743.6 million, and marketable securities, consisting of corporate debt securities and U.S. treasury securities, of $90.1 million. Our cash and cash equivalents primarily consist of highly liquid investments. Since our inception, we have generated operating losses, as reflected in our accumulated deficit of $609.1 million as of October 31, 2019. We expect to continue to incur operating losses for the foreseeable future due to the investments we intend to continue to make in sales and marketing and research and development, and due to additional general and administrative costs we expect to incur as a public company. As a result, we may require additional capital resources to execute strategic initiatives to grow our business.</w:t>
      </w:r>
    </w:p>
    <w:p>
      <w:pPr>
        <w:spacing w:after="0" w:line="144" w:lineRule="exact"/>
        <w:rPr>
          <w:sz w:val="20"/>
          <w:szCs w:val="20"/>
          <w:color w:val="auto"/>
        </w:rPr>
      </w:pPr>
    </w:p>
    <w:p>
      <w:pPr>
        <w:ind w:right="20" w:firstLine="517"/>
        <w:spacing w:after="0" w:line="269" w:lineRule="auto"/>
        <w:rPr>
          <w:sz w:val="20"/>
          <w:szCs w:val="20"/>
          <w:color w:val="auto"/>
        </w:rPr>
      </w:pPr>
      <w:r>
        <w:rPr>
          <w:rFonts w:ascii="Times New Roman" w:cs="Times New Roman" w:eastAsia="Times New Roman" w:hAnsi="Times New Roman"/>
          <w:sz w:val="14"/>
          <w:szCs w:val="14"/>
          <w:color w:val="auto"/>
        </w:rPr>
        <w:t>We typically invoice our subscription customers annually in advance. Therefore, a substantial source of our cash is from such prepayments, which are included on our condensed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October 31, 2019, we had deferred revenue of $447.6 million, of which $335.8 million was recorded as a current liability and is expected to be recorded as revenue in the next 12 months, provided all other revenue recognition criteria have been met.</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3"/>
          </w:tcPr>
          <w:p>
            <w:pPr>
              <w:jc w:val="center"/>
              <w:ind w:right="252"/>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r>
      <w:tr>
        <w:trPr>
          <w:trHeight w:val="152"/>
        </w:trPr>
        <w:tc>
          <w:tcPr>
            <w:tcW w:w="8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2019</w:t>
            </w: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48"/>
        </w:trPr>
        <w:tc>
          <w:tcPr>
            <w:tcW w:w="8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jc w:val="center"/>
              <w:ind w:left="495"/>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Pr>
          <w:p>
            <w:pPr>
              <w:spacing w:after="0"/>
              <w:rPr>
                <w:sz w:val="12"/>
                <w:szCs w:val="12"/>
                <w:color w:val="auto"/>
              </w:rPr>
            </w:pPr>
          </w:p>
        </w:tc>
      </w:tr>
      <w:tr>
        <w:trPr>
          <w:trHeight w:val="52"/>
        </w:trPr>
        <w:tc>
          <w:tcPr>
            <w:tcW w:w="8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196"/>
        </w:trPr>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33,836</w:t>
            </w:r>
          </w:p>
        </w:tc>
        <w:tc>
          <w:tcPr>
            <w:tcW w:w="50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(38,776)</w:t>
            </w:r>
          </w:p>
        </w:tc>
      </w:tr>
      <w:tr>
        <w:trPr>
          <w:trHeight w:val="193"/>
        </w:trPr>
        <w:tc>
          <w:tcPr>
            <w:tcW w:w="8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(57,516)</w:t>
            </w:r>
          </w:p>
        </w:tc>
        <w:tc>
          <w:tcPr>
            <w:tcW w:w="500" w:type="dxa"/>
            <w:vAlign w:val="bottom"/>
          </w:tcPr>
          <w:p>
            <w:pPr>
              <w:spacing w:after="0"/>
              <w:rPr>
                <w:sz w:val="16"/>
                <w:szCs w:val="16"/>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(131,359)</w:t>
            </w:r>
          </w:p>
        </w:tc>
      </w:tr>
      <w:tr>
        <w:trPr>
          <w:trHeight w:val="23"/>
        </w:trPr>
        <w:tc>
          <w:tcPr>
            <w:tcW w:w="8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678,834</w:t>
            </w: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190,714</w:t>
            </w:r>
          </w:p>
        </w:tc>
      </w:tr>
      <w:tr>
        <w:trPr>
          <w:trHeight w:val="23"/>
        </w:trPr>
        <w:tc>
          <w:tcPr>
            <w:tcW w:w="88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r>
    </w:tbl>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88" w:lineRule="exact"/>
        <w:rPr>
          <w:sz w:val="20"/>
          <w:szCs w:val="20"/>
          <w:color w:val="auto"/>
        </w:rPr>
      </w:pPr>
    </w:p>
    <w:p>
      <w:pPr>
        <w:ind w:right="40" w:firstLine="517"/>
        <w:spacing w:after="0" w:line="264" w:lineRule="auto"/>
        <w:rPr>
          <w:sz w:val="20"/>
          <w:szCs w:val="20"/>
          <w:color w:val="auto"/>
        </w:rPr>
      </w:pPr>
      <w:r>
        <w:rPr>
          <w:rFonts w:ascii="Times New Roman" w:cs="Times New Roman" w:eastAsia="Times New Roman" w:hAnsi="Times New Roman"/>
          <w:sz w:val="14"/>
          <w:szCs w:val="14"/>
          <w:color w:val="auto"/>
        </w:rPr>
        <w:t>Net cash provided by operating activities during the nine months ended October 31, 2019 was $33.8 million, which resulted from a net loss of $113.4 million, adjusted for non-cash charges of $101.5 million and net cash inflow of $45.7 million from changes in operating assets and liabilities. Non-cash charges primarily consisted of $55.6 million in stock-based compensation expense, $24.1 million of amortization of deferred contract acquisition costs, $16.0 million of depreciation and amortization, and $6.0 million due to the change in the fair value of our redeemable convertible preferred stock warrant liability. The net cash inflow from changes in operating assets and liabilities was primarily due to a $157.2 million increase in deferred revenue and a $17.6 million increase in accrued payroll and benefits, partially offset by a $55.2 million increase in deferred contract acquisition costs, a $53.6 million increase in accounts receivable, and a $19.9 million increase in prepaid expenses and other assets.</w:t>
      </w:r>
    </w:p>
    <w:p>
      <w:pPr>
        <w:spacing w:after="0" w:line="144" w:lineRule="exact"/>
        <w:rPr>
          <w:sz w:val="20"/>
          <w:szCs w:val="20"/>
          <w:color w:val="auto"/>
        </w:rPr>
      </w:pPr>
    </w:p>
    <w:p>
      <w:pPr>
        <w:ind w:right="40" w:firstLine="517"/>
        <w:spacing w:after="0" w:line="266" w:lineRule="auto"/>
        <w:rPr>
          <w:sz w:val="20"/>
          <w:szCs w:val="20"/>
          <w:color w:val="auto"/>
        </w:rPr>
      </w:pPr>
      <w:r>
        <w:rPr>
          <w:rFonts w:ascii="Times New Roman" w:cs="Times New Roman" w:eastAsia="Times New Roman" w:hAnsi="Times New Roman"/>
          <w:sz w:val="14"/>
          <w:szCs w:val="14"/>
          <w:color w:val="auto"/>
        </w:rPr>
        <w:t>Net cash used in operating activities during the nine months ended October 31, 2018 was $38.8 million, which resulted from a net loss of $108.8 million, adjusted for non-cash charges of $50.6 million and net cash inflow of $19.5 million from changes in operating assets and liabilities. Non-cash charges primarily consisted of $19.3 million of amortization of deferred contract acquisition costs, $17.4 million in stock-based compensation expense, $10.2 million of depreciation and amortization, and $2.9 million due to the change in the fair value of our redeemable convertible preferred stock warrant liability. The net cash inflow from changes in operating assets and liabilities was primarily due to a $72.2 million increase in deferred revenue, partially offset by a $27.5 million increase in deferred contract acquisition costs, an increase in accounts receivable of $17.9 million, and a $6.3 million decrease in accounts payable.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88"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Net cash used in investing activities during the nine months ended October 31, 2019 of $57.5 million was primarily due to purchases of marketable securities of $187.7 million and purchases of property and equipment of $66.8 million, partially offset by maturities of marketable securities of $197.8 million.</w:t>
      </w:r>
    </w:p>
    <w:p>
      <w:pPr>
        <w:spacing w:after="0" w:line="123" w:lineRule="exact"/>
        <w:rPr>
          <w:sz w:val="20"/>
          <w:szCs w:val="20"/>
          <w:color w:val="auto"/>
        </w:rPr>
      </w:pPr>
    </w:p>
    <w:p>
      <w:pPr>
        <w:ind w:right="140" w:firstLine="517"/>
        <w:spacing w:after="0" w:line="294" w:lineRule="auto"/>
        <w:rPr>
          <w:sz w:val="20"/>
          <w:szCs w:val="20"/>
          <w:color w:val="auto"/>
        </w:rPr>
      </w:pPr>
      <w:r>
        <w:rPr>
          <w:rFonts w:ascii="Times New Roman" w:cs="Times New Roman" w:eastAsia="Times New Roman" w:hAnsi="Times New Roman"/>
          <w:sz w:val="14"/>
          <w:szCs w:val="14"/>
          <w:color w:val="auto"/>
        </w:rPr>
        <w:t>Net cash used in investing activities during the nine months ended October 31, 2018 of $131.4 million was primarily due to purchases of marketable securities of $135.3 million, purchases of property and equipment of $21.7 million, and capitalized internal-use software of $5.0 million, partially offset by maturities of marketable securities of $30.6 million.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88" w:lineRule="exact"/>
        <w:rPr>
          <w:sz w:val="20"/>
          <w:szCs w:val="20"/>
          <w:color w:val="auto"/>
        </w:rPr>
      </w:pPr>
    </w:p>
    <w:p>
      <w:pPr>
        <w:ind w:right="60" w:firstLine="517"/>
        <w:spacing w:after="0" w:line="275" w:lineRule="auto"/>
        <w:rPr>
          <w:sz w:val="20"/>
          <w:szCs w:val="20"/>
          <w:color w:val="auto"/>
        </w:rPr>
      </w:pPr>
      <w:r>
        <w:rPr>
          <w:rFonts w:ascii="Times New Roman" w:cs="Times New Roman" w:eastAsia="Times New Roman" w:hAnsi="Times New Roman"/>
          <w:sz w:val="14"/>
          <w:szCs w:val="14"/>
          <w:color w:val="auto"/>
        </w:rPr>
        <w:t>Net cash provided by financing activities of $678.8 million during the nine months ended October 31, 2019 was primarily due to our IPO. On June 14, 2019, we closed our IPO in which we sold 20,700,000 shares of Class A common stock. The shares were sold at a public offering price of $34.00 per share for net proceeds of $665.1 million, after deducting underwriters’ discounts and commissions. In addition, there was proceeds from the exercise of stock options of $19.6 million during the nine months ended October 31, 2019.</w:t>
      </w:r>
    </w:p>
    <w:p>
      <w:pPr>
        <w:spacing w:after="0" w:line="136" w:lineRule="exact"/>
        <w:rPr>
          <w:sz w:val="20"/>
          <w:szCs w:val="20"/>
          <w:color w:val="auto"/>
        </w:rPr>
      </w:pPr>
    </w:p>
    <w:p>
      <w:pPr>
        <w:ind w:right="120" w:firstLine="517"/>
        <w:spacing w:after="0" w:line="294" w:lineRule="auto"/>
        <w:rPr>
          <w:sz w:val="20"/>
          <w:szCs w:val="20"/>
          <w:color w:val="auto"/>
        </w:rPr>
      </w:pPr>
      <w:r>
        <w:rPr>
          <w:rFonts w:ascii="Times New Roman" w:cs="Times New Roman" w:eastAsia="Times New Roman" w:hAnsi="Times New Roman"/>
          <w:sz w:val="14"/>
          <w:szCs w:val="14"/>
          <w:color w:val="auto"/>
        </w:rPr>
        <w:t>Net cash provided by financing activities of $190.7 million during the nine months ended October 31, 2018 was primarily due to net proceeds from the issuance of our Series E redeemable convertible preferred stock of $206.9 million partially offset by net repayments of bank loans of $16.2 million.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Debt Obligations</w:t>
      </w:r>
    </w:p>
    <w:p>
      <w:pPr>
        <w:spacing w:after="0" w:line="188" w:lineRule="exact"/>
        <w:rPr>
          <w:sz w:val="20"/>
          <w:szCs w:val="20"/>
          <w:color w:val="auto"/>
        </w:rPr>
      </w:pPr>
    </w:p>
    <w:p>
      <w:pPr>
        <w:ind w:right="100" w:firstLine="517"/>
        <w:spacing w:after="0" w:line="261" w:lineRule="auto"/>
        <w:rPr>
          <w:sz w:val="20"/>
          <w:szCs w:val="20"/>
          <w:color w:val="auto"/>
        </w:rPr>
      </w:pPr>
      <w:r>
        <w:rPr>
          <w:rFonts w:ascii="Times New Roman" w:cs="Times New Roman" w:eastAsia="Times New Roman" w:hAnsi="Times New Roman"/>
          <w:sz w:val="14"/>
          <w:szCs w:val="14"/>
          <w:color w:val="auto"/>
        </w:rPr>
        <w:t>In April 2019, we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 We also have the option to request an incremental facility of up to an additional $75.0 million from one or more of the lenders under the Credit Agreement. The amount we may borrow under the Credit Agreement may not exceed the lesser of $150.0 million or our ordinary course recurring subscription revenue for the most recent month, as determined under the Credit Agreement, multiplied by a number that is (i) 6, for the first year after entry into the Credit Agreement; (ii) 5, for the second year after entry into the Credit Agreement; and (iii) 4, thereafter. Under the terms of the Credit Agreement, revolving loans may be either Eurodollar Loans or ABR Loans. Outstanding Eurodollar Loans incur interest at the Eurodollar Rate, which is defined in the Credit Agreement as LIBOR (or any successor thereto), plus a margin between 2.50% and 3.00%, depending on usage. Outstanding ABR Loans incur interest at the highest of (a) the Prime Rate, as published by the Wall Street Journal, (b) the federal funds rate in effect for such day plus 0.50%, and (c) the Eurodollar Rate plus 1.00%, in each case plus a margin between 1.50% and 2.00%, depending on usage. We are charged a commitment fee of 0.2% to 0.3% per year for committed but unused amounts. The Credit Agreement will terminate on April 19, 2022.</w:t>
      </w:r>
    </w:p>
    <w:p>
      <w:pPr>
        <w:spacing w:after="0" w:line="149" w:lineRule="exact"/>
        <w:rPr>
          <w:sz w:val="20"/>
          <w:szCs w:val="20"/>
          <w:color w:val="auto"/>
        </w:rPr>
      </w:pPr>
    </w:p>
    <w:p>
      <w:pPr>
        <w:ind w:firstLine="517"/>
        <w:spacing w:after="0" w:line="264" w:lineRule="auto"/>
        <w:rPr>
          <w:sz w:val="20"/>
          <w:szCs w:val="20"/>
          <w:color w:val="auto"/>
        </w:rPr>
      </w:pPr>
      <w:r>
        <w:rPr>
          <w:rFonts w:ascii="Times New Roman" w:cs="Times New Roman" w:eastAsia="Times New Roman" w:hAnsi="Times New Roman"/>
          <w:sz w:val="14"/>
          <w:szCs w:val="14"/>
          <w:color w:val="auto"/>
        </w:rPr>
        <w:t>The Credit Agreement is collateralized by substantially all of our current and future property, rights, and assets, including, but not limited to, cash, goods, equipment, contractual rights, financial assets, and intangible assets of the Company and our subsidiaries. The Credit Agreement contains covenants limiting our ability to, among other things, dispose of assets, undergo a change in control, merge or consolidate, make acquisitions, incur debt, incur liens, pay dividends, repurchase stock, and make investments, in each case subject to certain exceptions. The Credit Agreement also contains financial covenants requiring us to maintain the year-over-year growth rate of its ordinary course recurring subscription revenue above specified rates and to maintain minimum liquidity at specified levels. We were in compliance with all covenants as of October 31, 2019. The Credit Agreement contains events of default that include, among others, non-payment of principal, interest, or fees, breach of covenants, inaccuracy of representations and warranties, cross defaults to certain other indebtedness, bankruptcy and insolvency events, and material judgments.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 amounts were outstanding under the Credit Agreement as of October 31, 2019.</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Strategic Investments</w:t>
      </w:r>
    </w:p>
    <w:p>
      <w:pPr>
        <w:spacing w:after="0" w:line="188" w:lineRule="exact"/>
        <w:rPr>
          <w:sz w:val="20"/>
          <w:szCs w:val="20"/>
          <w:color w:val="auto"/>
        </w:rPr>
      </w:pPr>
    </w:p>
    <w:p>
      <w:pPr>
        <w:ind w:right="40" w:firstLine="517"/>
        <w:spacing w:after="0" w:line="264" w:lineRule="auto"/>
        <w:rPr>
          <w:sz w:val="20"/>
          <w:szCs w:val="20"/>
          <w:color w:val="auto"/>
        </w:rPr>
      </w:pPr>
      <w:r>
        <w:rPr>
          <w:rFonts w:ascii="Times New Roman" w:cs="Times New Roman" w:eastAsia="Times New Roman" w:hAnsi="Times New Roman"/>
          <w:sz w:val="14"/>
          <w:szCs w:val="14"/>
          <w:color w:val="auto"/>
        </w:rPr>
        <w:t>In July 2019, we agreed to commit up to $10.0 million to a newly formed entity, CrowdStrike Falcon Fund LLC (“Falcon Fund”), in exchange for 50% of the sharing percentage of any distribution by Falcon Fund. Additionally, entities associated with Accel, a holder of more than 5% of our capital stock, also agreed to commit up to $10.0 million to Falcon Fund and collectively own the remaining 50% of the sharing percentage of Falcon Fund. Falcon Fund is in the business of purchasing, selling, investing and trading in minority equity and convertible debt securities of privately-held companies that develop applications that have potential for substantial contribution to CrowdStrike and its platform. Falcon Fund has a duration of ten years which may be extended for three additional years. At dissolution, Falcon Fund will be liquidated and the remaining assets will be distributed to the investors based on their sharing percentage. As of October 31, 2019, we had not yet made a contribution to Falcon Fund.</w:t>
      </w:r>
    </w:p>
    <w:p>
      <w:pPr>
        <w:spacing w:after="0" w:line="14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our contractual obligations as of October 31, 2019 and the fiscal years in which these obligations are due: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Thereafter</w:t>
            </w:r>
          </w:p>
        </w:tc>
      </w:tr>
      <w:tr>
        <w:trPr>
          <w:trHeight w:val="152"/>
        </w:trPr>
        <w:tc>
          <w:tcPr>
            <w:tcW w:w="1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9"/>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leases (1)</w:t>
            </w: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47,511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2,141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9,121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8,868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8,488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8,452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10,441</w:t>
            </w:r>
          </w:p>
        </w:tc>
      </w:tr>
      <w:tr>
        <w:trPr>
          <w:trHeight w:val="178"/>
        </w:trPr>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Data center commitments (2)</w:t>
            </w:r>
          </w:p>
        </w:tc>
        <w:tc>
          <w:tcPr>
            <w:tcW w:w="300" w:type="dxa"/>
            <w:vAlign w:val="bottom"/>
          </w:tcPr>
          <w:p>
            <w:pPr>
              <w:spacing w:after="0"/>
              <w:rPr>
                <w:sz w:val="15"/>
                <w:szCs w:val="15"/>
                <w:color w:val="auto"/>
              </w:rPr>
            </w:pP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188,455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19,879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67,159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84,568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8,218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5,888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2,743</w:t>
            </w:r>
          </w:p>
        </w:tc>
      </w:tr>
      <w:tr>
        <w:trPr>
          <w:trHeight w:val="27"/>
        </w:trPr>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5"/>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purchase obligations (3)</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38,030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7,198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15,989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8,218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2,712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2,237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1,676</w:t>
            </w:r>
          </w:p>
        </w:tc>
      </w:tr>
      <w:tr>
        <w:trPr>
          <w:trHeight w:val="193"/>
        </w:trPr>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273,996</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29,218</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92,269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101,654</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19,418</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16,577</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14,860</w:t>
            </w:r>
          </w:p>
        </w:tc>
      </w:tr>
      <w:tr>
        <w:trPr>
          <w:trHeight w:val="20"/>
        </w:trPr>
        <w:tc>
          <w:tcPr>
            <w:tcW w:w="1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spacing w:after="0" w:line="25" w:lineRule="exact"/>
        <w:rPr>
          <w:sz w:val="20"/>
          <w:szCs w:val="20"/>
          <w:color w:val="auto"/>
        </w:rPr>
      </w:pPr>
    </w:p>
    <w:p>
      <w:pPr>
        <w:ind w:left="520" w:hanging="514"/>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our facilities worldwide.</w:t>
      </w:r>
    </w:p>
    <w:p>
      <w:pPr>
        <w:spacing w:after="0" w:line="170" w:lineRule="exact"/>
        <w:rPr>
          <w:rFonts w:ascii="Times New Roman" w:cs="Times New Roman" w:eastAsia="Times New Roman" w:hAnsi="Times New Roman"/>
          <w:sz w:val="14"/>
          <w:szCs w:val="14"/>
          <w:color w:val="auto"/>
        </w:rPr>
      </w:pPr>
    </w:p>
    <w:p>
      <w:pPr>
        <w:ind w:left="520" w:hanging="514"/>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non-cancelable commitments to data center vendors.</w:t>
      </w:r>
    </w:p>
    <w:p>
      <w:pPr>
        <w:spacing w:after="0" w:line="183" w:lineRule="exact"/>
        <w:rPr>
          <w:rFonts w:ascii="Times New Roman" w:cs="Times New Roman" w:eastAsia="Times New Roman" w:hAnsi="Times New Roman"/>
          <w:sz w:val="14"/>
          <w:szCs w:val="14"/>
          <w:color w:val="auto"/>
        </w:rPr>
      </w:pPr>
    </w:p>
    <w:p>
      <w:pPr>
        <w:ind w:left="520" w:hanging="514"/>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non-cancelable purchase commitments with various parties to purchase products and services entered into in the normal course of business.</w:t>
      </w:r>
    </w:p>
    <w:p>
      <w:pPr>
        <w:spacing w:after="0" w:line="179"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Indemnification</w:t>
      </w:r>
    </w:p>
    <w:p>
      <w:pPr>
        <w:spacing w:after="0" w:line="188" w:lineRule="exact"/>
        <w:rPr>
          <w:sz w:val="20"/>
          <w:szCs w:val="20"/>
          <w:color w:val="auto"/>
        </w:rPr>
      </w:pPr>
    </w:p>
    <w:p>
      <w:pPr>
        <w:ind w:firstLine="517"/>
        <w:spacing w:after="0" w:line="265" w:lineRule="auto"/>
        <w:rPr>
          <w:sz w:val="20"/>
          <w:szCs w:val="20"/>
          <w:color w:val="auto"/>
        </w:rPr>
      </w:pPr>
      <w:r>
        <w:rPr>
          <w:rFonts w:ascii="Times New Roman" w:cs="Times New Roman" w:eastAsia="Times New Roman" w:hAnsi="Times New Roman"/>
          <w:sz w:val="14"/>
          <w:szCs w:val="14"/>
          <w:color w:val="auto"/>
        </w:rPr>
        <w:t>Our subscription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any time after the execution of the agreement. Typically, these indemnification provisions do not provide for a maximum potential amount of future payments we could be required to make. However, in the past we have not been obligated to make significant payments for these obligations and no liabilities have been recorded for these obligations on our condensed consolidated balance sheet as of October 31, 2019 or January 31, 2019.</w:t>
      </w:r>
    </w:p>
    <w:p>
      <w:pPr>
        <w:spacing w:after="0" w:line="318" w:lineRule="exact"/>
        <w:rPr>
          <w:sz w:val="20"/>
          <w:szCs w:val="20"/>
          <w:color w:val="auto"/>
        </w:rPr>
      </w:pPr>
    </w:p>
    <w:p>
      <w:pPr>
        <w:ind w:right="320" w:firstLine="517"/>
        <w:spacing w:after="0" w:line="269" w:lineRule="auto"/>
        <w:rPr>
          <w:sz w:val="20"/>
          <w:szCs w:val="20"/>
          <w:color w:val="auto"/>
        </w:rPr>
      </w:pPr>
      <w:r>
        <w:rPr>
          <w:rFonts w:ascii="Times New Roman" w:cs="Times New Roman" w:eastAsia="Times New Roman" w:hAnsi="Times New Roman"/>
          <w:sz w:val="14"/>
          <w:szCs w:val="14"/>
          <w:color w:val="auto"/>
        </w:rPr>
        <w:t>We also indemnify our officers and directors for certain events or occurrences, subject to certain limits, while the officer is or was serving at our request in such capacity. The maximum amount of potential future indemnification is unlimited. However, our director and officer insurance policy limits our exposure and enables us to recover a portion of any future amounts paid. Historically, we have not been obligated to make any payments for these obligations and no liabilities have been recorded for these obligations on our condensed consolidated balance sheet as of October 31, 2019 or January 31, 2019.</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Backlog</w:t>
      </w:r>
    </w:p>
    <w:p>
      <w:pPr>
        <w:spacing w:after="0" w:line="186" w:lineRule="exact"/>
        <w:rPr>
          <w:sz w:val="20"/>
          <w:szCs w:val="20"/>
          <w:color w:val="auto"/>
        </w:rPr>
      </w:pPr>
    </w:p>
    <w:p>
      <w:pPr>
        <w:ind w:firstLine="517"/>
        <w:spacing w:after="0" w:line="263" w:lineRule="auto"/>
        <w:rPr>
          <w:sz w:val="20"/>
          <w:szCs w:val="20"/>
          <w:color w:val="auto"/>
        </w:rPr>
      </w:pPr>
      <w:r>
        <w:rPr>
          <w:rFonts w:ascii="Times New Roman" w:cs="Times New Roman" w:eastAsia="Times New Roman" w:hAnsi="Times New Roman"/>
          <w:sz w:val="14"/>
          <w:szCs w:val="14"/>
          <w:color w:val="auto"/>
        </w:rPr>
        <w:t>We enter into both single and multi-year subscription contracts for our solutions. We generally invoice the entire amount at contract signing prior to commencement of subscription period. Until such time as these amounts are invoiced, they are not recorded in deferred revenue or elsewhere in our condensed consolidated financial statements, and are considered by us to be backlog. As of October 31, 2019, we had backlog of approximately $129.5 million. Of this amount, approximately $27.5 million is not reasonably expected to be billed in the next twelve months.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31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86" w:lineRule="exact"/>
        <w:rPr>
          <w:sz w:val="20"/>
          <w:szCs w:val="20"/>
          <w:color w:val="auto"/>
        </w:rPr>
      </w:pPr>
    </w:p>
    <w:p>
      <w:pPr>
        <w:ind w:right="40" w:firstLine="517"/>
        <w:spacing w:after="0" w:line="294" w:lineRule="auto"/>
        <w:rPr>
          <w:sz w:val="20"/>
          <w:szCs w:val="20"/>
          <w:color w:val="auto"/>
        </w:rPr>
      </w:pPr>
      <w:r>
        <w:rPr>
          <w:rFonts w:ascii="Times New Roman" w:cs="Times New Roman" w:eastAsia="Times New Roman" w:hAnsi="Times New Roman"/>
          <w:sz w:val="14"/>
          <w:szCs w:val="14"/>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121"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86" w:lineRule="exact"/>
        <w:rPr>
          <w:sz w:val="20"/>
          <w:szCs w:val="20"/>
          <w:color w:val="auto"/>
        </w:rPr>
      </w:pPr>
    </w:p>
    <w:p>
      <w:pPr>
        <w:ind w:right="80" w:firstLine="517"/>
        <w:spacing w:after="0" w:line="263" w:lineRule="auto"/>
        <w:rPr>
          <w:sz w:val="20"/>
          <w:szCs w:val="20"/>
          <w:color w:val="auto"/>
        </w:rPr>
      </w:pPr>
      <w:r>
        <w:rPr>
          <w:rFonts w:ascii="Times New Roman" w:cs="Times New Roman" w:eastAsia="Times New Roman" w:hAnsi="Times New Roman"/>
          <w:sz w:val="14"/>
          <w:szCs w:val="14"/>
          <w:color w:val="auto"/>
        </w:rPr>
        <w:t>Our management’s discussion and analysis of financial condition and results of operations is based upon our financial statements and notes to our financial statements, which were prepared in accordance with GAAP. The preparation of the financial statements requires our management to make estimates and assumptions that affect the amounts reported in the financial statements and accompanying notes. Our management evaluates our estimates on an ongoing basis, including those related to the allowance for doubtful accounts, the carrying value of long-lived assets, the useful lives of long-lived assets, the fair value of financial instruments, the recognition and disclosure of contingent liabilities, the provision for income taxes and related deferred taxes, stock-based compensation, the fair value of our common stock, and the fair value of our redeemable convertible preferred stock warrants.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321" w:lineRule="exact"/>
        <w:rPr>
          <w:sz w:val="20"/>
          <w:szCs w:val="20"/>
          <w:color w:val="auto"/>
        </w:rPr>
      </w:pPr>
    </w:p>
    <w:p>
      <w:pPr>
        <w:ind w:right="40" w:firstLine="517"/>
        <w:spacing w:after="0" w:line="269" w:lineRule="auto"/>
        <w:rPr>
          <w:sz w:val="20"/>
          <w:szCs w:val="20"/>
          <w:color w:val="auto"/>
        </w:rPr>
      </w:pPr>
      <w:r>
        <w:rPr>
          <w:rFonts w:ascii="Times New Roman" w:cs="Times New Roman" w:eastAsia="Times New Roman" w:hAnsi="Times New Roman"/>
          <w:sz w:val="14"/>
          <w:szCs w:val="14"/>
          <w:color w:val="auto"/>
        </w:rPr>
        <w:t>The accounting estimates we use in the preparation of our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financial statements. By their nature, these estimates and judgments are subject to an inherent degree of uncertainty and actual results could differ materially from the amounts reported based on these estimates.</w:t>
      </w:r>
    </w:p>
    <w:p>
      <w:pPr>
        <w:spacing w:after="0" w:line="140" w:lineRule="exact"/>
        <w:rPr>
          <w:sz w:val="20"/>
          <w:szCs w:val="20"/>
          <w:color w:val="auto"/>
        </w:rPr>
      </w:pPr>
    </w:p>
    <w:p>
      <w:pPr>
        <w:ind w:right="460" w:firstLine="517"/>
        <w:spacing w:after="0" w:line="269" w:lineRule="auto"/>
        <w:rPr>
          <w:sz w:val="20"/>
          <w:szCs w:val="20"/>
          <w:color w:val="auto"/>
        </w:rPr>
      </w:pPr>
      <w:r>
        <w:rPr>
          <w:rFonts w:ascii="Times New Roman" w:cs="Times New Roman" w:eastAsia="Times New Roman" w:hAnsi="Times New Roman"/>
          <w:sz w:val="14"/>
          <w:szCs w:val="14"/>
          <w:color w:val="auto"/>
        </w:rPr>
        <w:t xml:space="preserve">Our significant accounting policies are more fully described in Note 2 of our condensed consolidated financial statements. Our critical accounting policies and our more significant judgments and estimates used in the preparation of our financial statements are discussed in “Management’s Discussion and Analysis of Financial Condition and Results of Operations” in our prospectus dated June 11, 2019 filed with the SEC pursuant to Rule 424(b) under the Securities Act of 1933, as amended, and there have been no significant changes to these policies for the nine months ended October 31, 2019, except in regard to our adoption of ASU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which is discussed below.</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88" w:lineRule="exact"/>
        <w:rPr>
          <w:sz w:val="20"/>
          <w:szCs w:val="20"/>
          <w:color w:val="auto"/>
        </w:rPr>
      </w:pPr>
    </w:p>
    <w:p>
      <w:pPr>
        <w:ind w:right="40" w:firstLine="517"/>
        <w:spacing w:after="0" w:line="275" w:lineRule="auto"/>
        <w:rPr>
          <w:sz w:val="20"/>
          <w:szCs w:val="20"/>
          <w:color w:val="auto"/>
        </w:rPr>
      </w:pPr>
      <w:r>
        <w:rPr>
          <w:rFonts w:ascii="Times New Roman" w:cs="Times New Roman" w:eastAsia="Times New Roman" w:hAnsi="Times New Roman"/>
          <w:sz w:val="14"/>
          <w:szCs w:val="14"/>
          <w:color w:val="auto"/>
        </w:rPr>
        <w:t>We adopted Accounting Standards Codification (“ASC”) Topic 606, Revenue From Contracts With Customers (“ASC 606”) on February 1, 2019, using the modified retrospective transition method. Under this method, results for reporting periods beginning on February 1, 2019 are presented under Topic 606, while prior period amounts are not adjusted and continue to be reported in accordance with historic accounting under Topic 605.</w:t>
      </w:r>
    </w:p>
    <w:p>
      <w:pPr>
        <w:spacing w:after="0" w:line="136" w:lineRule="exact"/>
        <w:rPr>
          <w:sz w:val="20"/>
          <w:szCs w:val="20"/>
          <w:color w:val="auto"/>
        </w:rPr>
      </w:pPr>
    </w:p>
    <w:p>
      <w:pPr>
        <w:ind w:right="280" w:firstLine="517"/>
        <w:spacing w:after="0" w:line="294" w:lineRule="auto"/>
        <w:rPr>
          <w:sz w:val="20"/>
          <w:szCs w:val="20"/>
          <w:color w:val="auto"/>
        </w:rPr>
      </w:pPr>
      <w:r>
        <w:rPr>
          <w:rFonts w:ascii="Times New Roman" w:cs="Times New Roman" w:eastAsia="Times New Roman" w:hAnsi="Times New Roman"/>
          <w:sz w:val="14"/>
          <w:szCs w:val="14"/>
          <w:color w:val="auto"/>
        </w:rPr>
        <w:t>We recorded a cumulative effect adjustment to opening accumulated deficit of $23.4 million, net of tax, as of the date of adoption. The change resulted from a $23.7 million reduction in commissions expense offset by a $0.3 million reduction in revenue.</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20"/>
          </w:cols>
          <w:pgMar w:left="220" w:top="125" w:right="25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80" w:firstLine="517"/>
        <w:spacing w:after="0" w:line="275" w:lineRule="auto"/>
        <w:rPr>
          <w:sz w:val="20"/>
          <w:szCs w:val="20"/>
          <w:color w:val="auto"/>
        </w:rPr>
      </w:pPr>
      <w:r>
        <w:rPr>
          <w:rFonts w:ascii="Times New Roman" w:cs="Times New Roman" w:eastAsia="Times New Roman" w:hAnsi="Times New Roman"/>
          <w:sz w:val="14"/>
          <w:szCs w:val="14"/>
          <w:color w:val="auto"/>
        </w:rPr>
        <w:t>The adoption of Topic 606 had no impact on net cash provided by or used in operating, investing, or financing activities in our consolidated statements of cash flows for the three or nine months ended October 31, 2019. As a result of adopting ASC 606 effective February 1, 2019, our commissions expense for the three months ended October 31, 2019 and the nine months ended October 31, 2019 was $6.7 million and $15.6 million lower than it would have been under ASC 605, respectively.</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Under ASC 606, we report our revenues in two categories: (i) subscriptions and (ii) professional services.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Revenues are recognized when control of these services is transferred to our customers, in an amount that reflects the consideration we expect to be entitled to in exchange for those services.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determine revenue recognition through the following steps:</w:t>
      </w:r>
    </w:p>
    <w:p>
      <w:pPr>
        <w:spacing w:after="0" w:line="184" w:lineRule="exact"/>
        <w:rPr>
          <w:sz w:val="20"/>
          <w:szCs w:val="20"/>
          <w:color w:val="auto"/>
        </w:rPr>
      </w:pPr>
    </w:p>
    <w:p>
      <w:pPr>
        <w:ind w:left="780" w:hanging="257"/>
        <w:spacing w:after="0"/>
        <w:tabs>
          <w:tab w:leader="none" w:pos="7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contract, or contracts, with a customer</w:t>
      </w:r>
    </w:p>
    <w:p>
      <w:pPr>
        <w:spacing w:after="0" w:line="184" w:lineRule="exact"/>
        <w:rPr>
          <w:sz w:val="20"/>
          <w:szCs w:val="20"/>
          <w:color w:val="auto"/>
        </w:rPr>
      </w:pPr>
    </w:p>
    <w:p>
      <w:pPr>
        <w:ind w:right="120" w:firstLine="517"/>
        <w:spacing w:after="0" w:line="269" w:lineRule="auto"/>
        <w:rPr>
          <w:sz w:val="20"/>
          <w:szCs w:val="20"/>
          <w:color w:val="auto"/>
        </w:rPr>
      </w:pPr>
      <w:r>
        <w:rPr>
          <w:rFonts w:ascii="Times New Roman" w:cs="Times New Roman" w:eastAsia="Times New Roman" w:hAnsi="Times New Roman"/>
          <w:sz w:val="14"/>
          <w:szCs w:val="14"/>
          <w:color w:val="auto"/>
        </w:rPr>
        <w:t>We consider the terms and conditions of contracts with customers and our customary business practices in identifying contracts under ASC 606. We determine we have a contract with a customer when the contract is approved, each party’s rights regarding the services to be transferred can be identified, payment terms for the services can be identified, it has been determined that the customer has the ability and intent to pay, and the contract has commercial substance.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40" w:lineRule="exact"/>
        <w:rPr>
          <w:sz w:val="20"/>
          <w:szCs w:val="20"/>
          <w:color w:val="auto"/>
        </w:rPr>
      </w:pPr>
    </w:p>
    <w:p>
      <w:pPr>
        <w:ind w:left="780" w:hanging="257"/>
        <w:spacing w:after="0"/>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performance obligations in the contract</w:t>
      </w:r>
    </w:p>
    <w:p>
      <w:pPr>
        <w:spacing w:after="0" w:line="184" w:lineRule="exact"/>
        <w:rPr>
          <w:sz w:val="20"/>
          <w:szCs w:val="20"/>
          <w:color w:val="auto"/>
        </w:rPr>
      </w:pPr>
    </w:p>
    <w:p>
      <w:pPr>
        <w:ind w:right="120" w:firstLine="517"/>
        <w:spacing w:after="0" w:line="263" w:lineRule="auto"/>
        <w:rPr>
          <w:sz w:val="20"/>
          <w:szCs w:val="20"/>
          <w:color w:val="auto"/>
        </w:rPr>
      </w:pPr>
      <w:r>
        <w:rPr>
          <w:rFonts w:ascii="Times New Roman" w:cs="Times New Roman" w:eastAsia="Times New Roman" w:hAnsi="Times New Roman"/>
          <w:sz w:val="14"/>
          <w:szCs w:val="14"/>
          <w:color w:val="auto"/>
        </w:rPr>
        <w:t>Performance obligations promised in a contract are identified based on the services that will be transferred to the customer that are both capable of being distinct, meaning that the customer can benefit from the service either on its own or together with other resources that are readily available from us or from third parties, and are distinct in the context of the contract, meaning that the transfer of the services is separately identifiable from other promises in the contract. Our performance obligations in our contracts with customers consist of (i) subscription and support services and</w:t>
      </w:r>
    </w:p>
    <w:p>
      <w:pPr>
        <w:spacing w:after="0" w:line="2" w:lineRule="exact"/>
        <w:rPr>
          <w:sz w:val="20"/>
          <w:szCs w:val="20"/>
          <w:color w:val="auto"/>
        </w:rPr>
      </w:pPr>
    </w:p>
    <w:p>
      <w:pPr>
        <w:ind w:left="220" w:hanging="214"/>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professional services.</w:t>
      </w:r>
    </w:p>
    <w:p>
      <w:pPr>
        <w:spacing w:after="0" w:line="170"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Determination of the transaction price</w:t>
      </w:r>
    </w:p>
    <w:p>
      <w:pPr>
        <w:spacing w:after="0" w:line="184" w:lineRule="exact"/>
        <w:rPr>
          <w:sz w:val="20"/>
          <w:szCs w:val="20"/>
          <w:color w:val="auto"/>
        </w:rPr>
      </w:pPr>
    </w:p>
    <w:p>
      <w:pPr>
        <w:jc w:val="both"/>
        <w:ind w:right="460" w:firstLine="517"/>
        <w:spacing w:after="0" w:line="275" w:lineRule="auto"/>
        <w:rPr>
          <w:sz w:val="20"/>
          <w:szCs w:val="20"/>
          <w:color w:val="auto"/>
        </w:rPr>
      </w:pPr>
      <w:r>
        <w:rPr>
          <w:rFonts w:ascii="Times New Roman" w:cs="Times New Roman" w:eastAsia="Times New Roman" w:hAnsi="Times New Roman"/>
          <w:sz w:val="14"/>
          <w:szCs w:val="14"/>
          <w:color w:val="auto"/>
        </w:rPr>
        <w:t>The transaction price is determined based on the consideration to which we are expected to be entitled in exchange for transferring services to the customer. Variable consideration is included in the transaction price if it is probable that a significant future reversal of cumulative revenue under the contract will not occur. None of our contracts contains a significant financing component.</w:t>
      </w:r>
    </w:p>
    <w:p>
      <w:pPr>
        <w:spacing w:after="0" w:line="136" w:lineRule="exact"/>
        <w:rPr>
          <w:sz w:val="20"/>
          <w:szCs w:val="20"/>
          <w:color w:val="auto"/>
        </w:rPr>
      </w:pPr>
    </w:p>
    <w:p>
      <w:pPr>
        <w:ind w:left="780" w:hanging="257"/>
        <w:spacing w:after="0"/>
        <w:tabs>
          <w:tab w:leader="none" w:pos="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of the transaction price to the performance obligations in the contract</w:t>
      </w:r>
    </w:p>
    <w:p>
      <w:pPr>
        <w:spacing w:after="0" w:line="184" w:lineRule="exact"/>
        <w:rPr>
          <w:sz w:val="20"/>
          <w:szCs w:val="20"/>
          <w:color w:val="auto"/>
        </w:rPr>
      </w:pPr>
    </w:p>
    <w:p>
      <w:pPr>
        <w:ind w:right="80" w:firstLine="517"/>
        <w:spacing w:after="0" w:line="294" w:lineRule="auto"/>
        <w:rPr>
          <w:sz w:val="20"/>
          <w:szCs w:val="20"/>
          <w:color w:val="auto"/>
        </w:rPr>
      </w:pPr>
      <w:r>
        <w:rPr>
          <w:rFonts w:ascii="Times New Roman" w:cs="Times New Roman" w:eastAsia="Times New Roman" w:hAnsi="Times New Roman"/>
          <w:sz w:val="14"/>
          <w:szCs w:val="14"/>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SSP.</w:t>
      </w:r>
    </w:p>
    <w:p>
      <w:pPr>
        <w:spacing w:after="0" w:line="123" w:lineRule="exact"/>
        <w:rPr>
          <w:sz w:val="20"/>
          <w:szCs w:val="20"/>
          <w:color w:val="auto"/>
        </w:rPr>
      </w:pPr>
    </w:p>
    <w:p>
      <w:pPr>
        <w:ind w:left="780" w:hanging="257"/>
        <w:spacing w:after="0"/>
        <w:tabs>
          <w:tab w:leader="none" w:pos="7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Recognition of revenue when, or as, we satisfy a performance obligation</w:t>
      </w:r>
    </w:p>
    <w:p>
      <w:pPr>
        <w:spacing w:after="0" w:line="184" w:lineRule="exact"/>
        <w:rPr>
          <w:sz w:val="20"/>
          <w:szCs w:val="20"/>
          <w:color w:val="auto"/>
        </w:rPr>
      </w:pPr>
    </w:p>
    <w:p>
      <w:pPr>
        <w:ind w:right="140" w:firstLine="517"/>
        <w:spacing w:after="0" w:line="294" w:lineRule="auto"/>
        <w:rPr>
          <w:sz w:val="20"/>
          <w:szCs w:val="20"/>
          <w:color w:val="auto"/>
        </w:rPr>
      </w:pPr>
      <w:r>
        <w:rPr>
          <w:rFonts w:ascii="Times New Roman" w:cs="Times New Roman" w:eastAsia="Times New Roman" w:hAnsi="Times New Roman"/>
          <w:sz w:val="14"/>
          <w:szCs w:val="14"/>
          <w:color w:val="auto"/>
        </w:rPr>
        <w:t>Revenue is recognized at the time the related performance obligation is satisfied by transferring the promised service to the customer. Revenue is recognized when control of the services is transferred to the customer, in an amount that reflects the consideration expected to be received in exchange for those services. We generate all our revenue from contracts with customers.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Subscription Revenue</w:t>
      </w:r>
    </w:p>
    <w:p>
      <w:pPr>
        <w:spacing w:after="0" w:line="184" w:lineRule="exact"/>
        <w:rPr>
          <w:sz w:val="20"/>
          <w:szCs w:val="20"/>
          <w:color w:val="auto"/>
        </w:rPr>
      </w:pPr>
    </w:p>
    <w:p>
      <w:pPr>
        <w:ind w:firstLine="517"/>
        <w:spacing w:after="0" w:line="269" w:lineRule="auto"/>
        <w:rPr>
          <w:sz w:val="20"/>
          <w:szCs w:val="20"/>
          <w:color w:val="auto"/>
        </w:rPr>
      </w:pPr>
      <w:r>
        <w:rPr>
          <w:rFonts w:ascii="Times New Roman" w:cs="Times New Roman" w:eastAsia="Times New Roman" w:hAnsi="Times New Roman"/>
          <w:sz w:val="14"/>
          <w:szCs w:val="14"/>
          <w:color w:val="auto"/>
        </w:rPr>
        <w:t>Our Falcon Platform technology solutions are SaaS offerings designed to continuously monitor, share, and mitigate risks from determined attackers. Customers do not have the right to take possession of the cloud-based software platform. Fees are based on several factors, including the solutions subscribed for by the customer and the number of endpoints purchased by the customer. The subscription fees are typically payable within 30 to 60 days after the execution of the arrangement, and thereafter upon renewal or subsequent installment. We initially record the subscription fees as deferred revenue and recognize revenue on a straight-line basis over the term of the agreement.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Professional Services Revenue</w:t>
      </w:r>
    </w:p>
    <w:p>
      <w:pPr>
        <w:spacing w:after="0" w:line="184" w:lineRule="exact"/>
        <w:rPr>
          <w:sz w:val="20"/>
          <w:szCs w:val="20"/>
          <w:color w:val="auto"/>
        </w:rPr>
      </w:pPr>
    </w:p>
    <w:p>
      <w:pPr>
        <w:ind w:firstLine="517"/>
        <w:spacing w:after="0" w:line="269" w:lineRule="auto"/>
        <w:rPr>
          <w:sz w:val="20"/>
          <w:szCs w:val="20"/>
          <w:color w:val="auto"/>
        </w:rPr>
      </w:pPr>
      <w:r>
        <w:rPr>
          <w:rFonts w:ascii="Times New Roman" w:cs="Times New Roman" w:eastAsia="Times New Roman" w:hAnsi="Times New Roman"/>
          <w:sz w:val="14"/>
          <w:szCs w:val="14"/>
          <w:color w:val="auto"/>
        </w:rPr>
        <w:t>We offer several types of professional services including incident response and forensic services, surge forensic and malware analysis, and attribution analysis, which are focused on responding to imminent and direct threats, assessing vulnerabilities, and recommending solutions. The professional services are available through hourly rate and fixed fee contracts, one-time and ongoing engagements, and retainer-based agreements. Revenue for time and materials arrangements is recognized as services are performed and revenue for fixed fees is recognized on a proportional performance basis as the services are performed.</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Contracts with Multiple Performance Obligations</w:t>
      </w:r>
    </w:p>
    <w:p>
      <w:pPr>
        <w:spacing w:after="0" w:line="184" w:lineRule="exact"/>
        <w:rPr>
          <w:sz w:val="20"/>
          <w:szCs w:val="20"/>
          <w:color w:val="auto"/>
        </w:rPr>
      </w:pPr>
    </w:p>
    <w:p>
      <w:pPr>
        <w:ind w:right="60" w:firstLine="517"/>
        <w:spacing w:after="0" w:line="269" w:lineRule="auto"/>
        <w:rPr>
          <w:sz w:val="20"/>
          <w:szCs w:val="20"/>
          <w:color w:val="auto"/>
        </w:rPr>
      </w:pPr>
      <w:r>
        <w:rPr>
          <w:rFonts w:ascii="Times New Roman" w:cs="Times New Roman" w:eastAsia="Times New Roman" w:hAnsi="Times New Roman"/>
          <w:sz w:val="14"/>
          <w:szCs w:val="14"/>
          <w:color w:val="auto"/>
        </w:rPr>
        <w:t>Some contracts with customers contain multiple promised services consisting of subscription and professional services that are distinct and accounted for separately. The transaction price is allocated to the separate performance obligations on a relative SSP basis. The SSP is the price at which we would sell promised subscription or professional services separately to a customer. Judgment is required to determine the SSP for each distinct performance obligation. We determine SSP based on our overall pricing objectives, taking into consideration the type of subscription or professional service and the number of endpoints.</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Variable Consideration</w:t>
      </w:r>
    </w:p>
    <w:p>
      <w:pPr>
        <w:spacing w:after="0" w:line="18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Revenue from sales is recorded at the net sales price, which is the transaction price, and includes estimates of variable consideration. The amount of variable consideration that is included in the transaction price is constrained and is included in the net sales price only to the extent that it is probable that a significant reversal in the amount of the cumulative revenue will not occur when the uncertainty is resolved.</w:t>
      </w:r>
    </w:p>
    <w:p>
      <w:pPr>
        <w:spacing w:after="0" w:line="136" w:lineRule="exact"/>
        <w:rPr>
          <w:sz w:val="20"/>
          <w:szCs w:val="20"/>
          <w:color w:val="auto"/>
        </w:rPr>
      </w:pPr>
    </w:p>
    <w:p>
      <w:pPr>
        <w:ind w:right="280" w:firstLine="517"/>
        <w:spacing w:after="0" w:line="275" w:lineRule="auto"/>
        <w:rPr>
          <w:sz w:val="20"/>
          <w:szCs w:val="20"/>
          <w:color w:val="auto"/>
        </w:rPr>
      </w:pPr>
      <w:r>
        <w:rPr>
          <w:rFonts w:ascii="Times New Roman" w:cs="Times New Roman" w:eastAsia="Times New Roman" w:hAnsi="Times New Roman"/>
          <w:sz w:val="14"/>
          <w:szCs w:val="14"/>
          <w:color w:val="auto"/>
        </w:rPr>
        <w:t>If subscriptions do not meet certain service level commitments, our customers are entitled to receive service credits, and in certain cases, refunds, each representing a form of variable consideration. We have historically not experienced any significant incidents affecting the defined levels of reliability and performance as required by its subscription contracts. Accordingly, any estimated refunds related to these agreements in the condensed consolidated financial statements is not material during the periods presented.</w:t>
      </w:r>
    </w:p>
    <w:p>
      <w:pPr>
        <w:spacing w:after="0" w:line="136" w:lineRule="exact"/>
        <w:rPr>
          <w:sz w:val="20"/>
          <w:szCs w:val="20"/>
          <w:color w:val="auto"/>
        </w:rPr>
      </w:pPr>
    </w:p>
    <w:p>
      <w:pPr>
        <w:ind w:right="20" w:firstLine="517"/>
        <w:spacing w:after="0" w:line="275" w:lineRule="auto"/>
        <w:rPr>
          <w:sz w:val="20"/>
          <w:szCs w:val="20"/>
          <w:color w:val="auto"/>
        </w:rPr>
      </w:pPr>
      <w:r>
        <w:rPr>
          <w:rFonts w:ascii="Times New Roman" w:cs="Times New Roman" w:eastAsia="Times New Roman" w:hAnsi="Times New Roman"/>
          <w:sz w:val="14"/>
          <w:szCs w:val="14"/>
          <w:color w:val="auto"/>
        </w:rPr>
        <w:t>We provide rebates and other credits within our contracts with certain resellers, which are estimated based on the most likely amounts expected to be earned or claimed on the related sales transaction. Overall, the transaction price is reduced to reflect our estimate of the amount of consideration to which it is entitled based on the terms of the contract. Estimated rebates and other credits were not material during the periods presented.</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JOBS Act Accounting Election</w:t>
      </w:r>
    </w:p>
    <w:p>
      <w:pPr>
        <w:spacing w:after="0" w:line="186"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Under the JOBS Act, emerging growth companies can delay adopting new or revised accounting standards issued after the enactment of the JOBS Act until those standards apply to private companies. We have elected to use this extended transition period under the JOBS Act.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186"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See Note 2 to our condensed consolidated financial statements included elsewhere in this Quarterly Report on Form 10-Q, for more information about the impact of certain recent accounting pronouncements on our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20"/>
          </w:cols>
          <w:pgMar w:left="220" w:top="125" w:right="25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have operations in the United States and internationally, and we are exposed to market risk in the ordinary course of business.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Inflation Rate Risk</w:t>
      </w:r>
    </w:p>
    <w:p>
      <w:pPr>
        <w:spacing w:after="0" w:line="188" w:lineRule="exact"/>
        <w:rPr>
          <w:sz w:val="20"/>
          <w:szCs w:val="20"/>
          <w:color w:val="auto"/>
        </w:rPr>
      </w:pPr>
    </w:p>
    <w:p>
      <w:pPr>
        <w:jc w:val="both"/>
        <w:ind w:right="520" w:firstLine="517"/>
        <w:spacing w:after="0" w:line="275" w:lineRule="auto"/>
        <w:rPr>
          <w:sz w:val="20"/>
          <w:szCs w:val="20"/>
          <w:color w:val="auto"/>
        </w:rPr>
      </w:pPr>
      <w:r>
        <w:rPr>
          <w:rFonts w:ascii="Times New Roman" w:cs="Times New Roman" w:eastAsia="Times New Roman" w:hAnsi="Times New Roman"/>
          <w:sz w:val="14"/>
          <w:szCs w:val="14"/>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88" w:lineRule="exact"/>
        <w:rPr>
          <w:sz w:val="20"/>
          <w:szCs w:val="20"/>
          <w:color w:val="auto"/>
        </w:rPr>
      </w:pPr>
    </w:p>
    <w:p>
      <w:pPr>
        <w:ind w:right="60" w:firstLine="517"/>
        <w:spacing w:after="0" w:line="263" w:lineRule="auto"/>
        <w:rPr>
          <w:sz w:val="20"/>
          <w:szCs w:val="20"/>
          <w:color w:val="auto"/>
        </w:rPr>
      </w:pPr>
      <w:r>
        <w:rPr>
          <w:rFonts w:ascii="Times New Roman" w:cs="Times New Roman" w:eastAsia="Times New Roman" w:hAnsi="Times New Roman"/>
          <w:sz w:val="14"/>
          <w:szCs w:val="14"/>
          <w:color w:val="auto"/>
        </w:rPr>
        <w:t>Our cash and cash equivalents primarily consist of cash on hand and highly liquid investments in corporate debt securities and money market funds, including overnight investments. Our investments are exposed to market risk due to fluctuations in interest rates, which may affect our interest income and the fair market value of our investments. As of October 31, 2019, we had cash and cash equivalents of $743.6 million and marketable securities of $90.1 million.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However, due to the short-term nature of our investment portfolio, the effect of a hypothetical 10% change in interest rates would not have had a material effect on the fair market value of our portfolio as of October 31, 2019 or January 31, 2019. We therefore do not expect our results of operations or cash flows to be materially affected by a sudden change in market interest rates.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Risk</w:t>
      </w:r>
    </w:p>
    <w:p>
      <w:pPr>
        <w:spacing w:after="0" w:line="188" w:lineRule="exact"/>
        <w:rPr>
          <w:sz w:val="20"/>
          <w:szCs w:val="20"/>
          <w:color w:val="auto"/>
        </w:rPr>
      </w:pPr>
    </w:p>
    <w:p>
      <w:pPr>
        <w:ind w:firstLine="517"/>
        <w:spacing w:after="0" w:line="263" w:lineRule="auto"/>
        <w:rPr>
          <w:sz w:val="20"/>
          <w:szCs w:val="20"/>
          <w:color w:val="auto"/>
        </w:rPr>
      </w:pPr>
      <w:r>
        <w:rPr>
          <w:rFonts w:ascii="Times New Roman" w:cs="Times New Roman" w:eastAsia="Times New Roman" w:hAnsi="Times New Roman"/>
          <w:sz w:val="14"/>
          <w:szCs w:val="14"/>
          <w:color w:val="auto"/>
        </w:rPr>
        <w:t>To date, all of our sales contracts have been denominated in U.S. dollars. A portion of our operating expenses are incurred outside the United States, denominated in foreign currencies and subject to fluctuations due to changes in foreign currency exchange rates, particularly changes in the British Pound, Australian Dollar, and Euro. The functional currency of our foreign subsidiaries is that country’s local currency.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Other income (expense), net. The effect of a hypothetical 10% change in foreign currency exchange rates would not have had a material effect on our condensed consolidated financial statements for the three or nine months ended October 31, 2019.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88" w:lineRule="exact"/>
        <w:rPr>
          <w:sz w:val="20"/>
          <w:szCs w:val="20"/>
          <w:color w:val="auto"/>
        </w:rPr>
      </w:pPr>
    </w:p>
    <w:p>
      <w:pPr>
        <w:ind w:right="20" w:firstLine="517"/>
        <w:spacing w:after="0" w:line="266"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our Chief Financial Officer, evaluated the effectiveness of our disclosure controls and procedures as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31, 2019. Based on the evaluation of our disclosure controls and procedures as of October 31, 2019, our Chief Executive Officer and Chief Financial Officer concluded that, as of such date,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disclosure controls and procedures were effective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88" w:lineRule="exact"/>
        <w:rPr>
          <w:sz w:val="20"/>
          <w:szCs w:val="20"/>
          <w:color w:val="auto"/>
        </w:rPr>
      </w:pPr>
    </w:p>
    <w:p>
      <w:pPr>
        <w:ind w:right="200" w:firstLine="517"/>
        <w:spacing w:after="0" w:line="294" w:lineRule="auto"/>
        <w:rPr>
          <w:sz w:val="20"/>
          <w:szCs w:val="20"/>
          <w:color w:val="auto"/>
        </w:rPr>
      </w:pPr>
      <w:r>
        <w:rPr>
          <w:rFonts w:ascii="Times New Roman" w:cs="Times New Roman" w:eastAsia="Times New Roman" w:hAnsi="Times New Roman"/>
          <w:sz w:val="14"/>
          <w:szCs w:val="14"/>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Inherent Limitations on Effectiveness of Controls</w:t>
      </w:r>
    </w:p>
    <w:p>
      <w:pPr>
        <w:spacing w:after="0" w:line="188" w:lineRule="exact"/>
        <w:rPr>
          <w:sz w:val="20"/>
          <w:szCs w:val="20"/>
          <w:color w:val="auto"/>
        </w:rPr>
      </w:pPr>
    </w:p>
    <w:p>
      <w:pPr>
        <w:ind w:firstLine="517"/>
        <w:spacing w:after="0" w:line="263" w:lineRule="auto"/>
        <w:rPr>
          <w:sz w:val="20"/>
          <w:szCs w:val="20"/>
          <w:color w:val="auto"/>
        </w:rPr>
      </w:pPr>
      <w:r>
        <w:rPr>
          <w:rFonts w:ascii="Times New Roman" w:cs="Times New Roman" w:eastAsia="Times New Roman" w:hAnsi="Times New Roman"/>
          <w:sz w:val="14"/>
          <w:szCs w:val="14"/>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Inherent limitations in all control systems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00"/>
          </w:cols>
          <w:pgMar w:left="220" w:top="125" w:right="27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86" w:lineRule="exact"/>
        <w:rPr>
          <w:sz w:val="20"/>
          <w:szCs w:val="20"/>
          <w:color w:val="auto"/>
        </w:rPr>
      </w:pPr>
    </w:p>
    <w:p>
      <w:pPr>
        <w:ind w:right="20" w:firstLine="517"/>
        <w:spacing w:after="0" w:line="260" w:lineRule="auto"/>
        <w:rPr>
          <w:sz w:val="20"/>
          <w:szCs w:val="20"/>
          <w:color w:val="auto"/>
        </w:rPr>
      </w:pPr>
      <w:r>
        <w:rPr>
          <w:rFonts w:ascii="Times New Roman" w:cs="Times New Roman" w:eastAsia="Times New Roman" w:hAnsi="Times New Roman"/>
          <w:sz w:val="14"/>
          <w:szCs w:val="14"/>
          <w:color w:val="auto"/>
        </w:rPr>
        <w:t>We are currently involved in proceedings before the Trademark Trial and Appeal Board, or TTAB, at the U.S. Patent and Trademark Office, or USPTO, regarding our U.S. trademark registrations for “CrowdStrike Falcon” and our U.S. application to register our “Falcon OverWatch” trademark. On November 23, 2016, Fair Isaac Corporation, or FICO, filed a Petition for Cancellation of our “CrowdStrike Falcon” trademark registrations and a Notice of Opposition against our “Falcon OverWatch” trademark application before the TTAB. On January 3, 2017, we filed answers to both the cancellation and opposition proceedings, and the proceedings thereafter were consolidated. On November 21, 2018, we filed a Petition for Partial Cancellation or Amendment of one of FICO’s “Falcon” trademark registrations, and on December 10, 2018, the parties filed a joint request to consolidate the proceedings and adjust the schedule. On January 16, 2019, FICO moved to dismiss our petition, and the TTAB thereafter suspended all proceedings pending its ruling on the motions. On July 2, 2019, the TTAB issued an order granting the request to consolidate the proceedings, and granting the motion to dismiss with leave to file an amended petition by July 22, 2019. We filed an Amended Petition for Cancellation or Amendment on July 22, 2019. On August 12, 2019, FICO moved to dismiss our Amended Petition for Cancellation. On October 1, 2019, the TTAB issued an order confirming that all proceedings were suspended as of August 12, 2019, pending disposition of the motion to dismiss. We are vigorously defending the case, but given the early stage, we are unable to predict the likelihood of success of Fair Isaac’s claims. If we do not ultimately prevail in these proceedings and in any subsequent appeal or civil action, we could ultimately be required to change the names of our solutions, which may entail significant expense and adversely affect our brand recognition.</w:t>
      </w:r>
    </w:p>
    <w:p>
      <w:pPr>
        <w:spacing w:after="0" w:line="325" w:lineRule="exact"/>
        <w:rPr>
          <w:sz w:val="20"/>
          <w:szCs w:val="20"/>
          <w:color w:val="auto"/>
        </w:rPr>
      </w:pPr>
    </w:p>
    <w:p>
      <w:pPr>
        <w:ind w:firstLine="517"/>
        <w:spacing w:after="0" w:line="275" w:lineRule="auto"/>
        <w:rPr>
          <w:sz w:val="20"/>
          <w:szCs w:val="20"/>
          <w:color w:val="auto"/>
        </w:rPr>
      </w:pPr>
      <w:r>
        <w:rPr>
          <w:rFonts w:ascii="Times New Roman" w:cs="Times New Roman" w:eastAsia="Times New Roman" w:hAnsi="Times New Roman"/>
          <w:sz w:val="14"/>
          <w:szCs w:val="14"/>
          <w:color w:val="auto"/>
        </w:rPr>
        <w:t>From time to time, we may be subject to legal proceedings arising in the ordinary course of business. In addition, from time to time, third parties may assert intellectual property infringement claims against us in the form of letters and other forms of communication. We are not currently a party to any litigation the outcome of which, if determined adversely to us, would individually or in the aggregate be reasonably expected to have a material adverse effect on our results of operations, prospects, cash flows, financial position, or brand.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6" w:lineRule="exact"/>
        <w:rPr>
          <w:sz w:val="20"/>
          <w:szCs w:val="20"/>
          <w:color w:val="auto"/>
        </w:rPr>
      </w:pPr>
    </w:p>
    <w:p>
      <w:pPr>
        <w:ind w:right="120" w:firstLine="517"/>
        <w:spacing w:after="0" w:line="266" w:lineRule="auto"/>
        <w:rPr>
          <w:sz w:val="20"/>
          <w:szCs w:val="20"/>
          <w:color w:val="auto"/>
        </w:rPr>
      </w:pPr>
      <w:r>
        <w:rPr>
          <w:rFonts w:ascii="Times New Roman" w:cs="Times New Roman" w:eastAsia="Times New Roman" w:hAnsi="Times New Roman"/>
          <w:sz w:val="14"/>
          <w:szCs w:val="14"/>
          <w:color w:val="auto"/>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experienced rapid growth in recent periods, and if we do not manage our future growth, our business and results of operations will be adversely affected.</w:t>
      </w:r>
    </w:p>
    <w:p>
      <w:pPr>
        <w:spacing w:after="0" w:line="188" w:lineRule="exact"/>
        <w:rPr>
          <w:sz w:val="20"/>
          <w:szCs w:val="20"/>
          <w:color w:val="auto"/>
        </w:rPr>
      </w:pPr>
    </w:p>
    <w:p>
      <w:pPr>
        <w:ind w:right="20" w:firstLine="517"/>
        <w:spacing w:after="0" w:line="263" w:lineRule="auto"/>
        <w:rPr>
          <w:sz w:val="20"/>
          <w:szCs w:val="20"/>
          <w:color w:val="auto"/>
        </w:rPr>
      </w:pPr>
      <w:r>
        <w:rPr>
          <w:rFonts w:ascii="Times New Roman" w:cs="Times New Roman" w:eastAsia="Times New Roman" w:hAnsi="Times New Roman"/>
          <w:sz w:val="14"/>
          <w:szCs w:val="14"/>
          <w:color w:val="auto"/>
        </w:rPr>
        <w:t>We have experienced rapid revenue growth in recent periods and we expect to continue to invest broadly across our organization to support our growth. For example, our headcount grew from 324 employees as of January 31, 2016, to 550 employees as of January 31, 2017, to 910 employees as of January 31, 2018, to 1,455 employees as of January 31, 2019 and to 2,078 employees as of October 31, 2019. Although we have experienced rapid growth historically, we may not sustain our current growth rates, nor can we assure you that our investments to support our growth will be successful. The growth and expansion of our business will require us to invest significant financial and operational resources and the continuous dedication of our management team. We have encountered and will continue to encounter risks and difficulties frequently experienced by rapidly growing companies in evolving industries, including market acceptance of our Falcon platform, adding new customers, intense competition, and our ability to manage our costs and operating expenses. Our future success will depend in part on our ability to manage our growth effectively, which will require us to, among other things:</w:t>
      </w:r>
    </w:p>
    <w:p>
      <w:pPr>
        <w:spacing w:after="0" w:line="145" w:lineRule="exact"/>
        <w:rPr>
          <w:sz w:val="20"/>
          <w:szCs w:val="20"/>
          <w:color w:val="auto"/>
        </w:rPr>
      </w:pPr>
    </w:p>
    <w:p>
      <w:pPr>
        <w:ind w:left="780" w:hanging="257"/>
        <w:spacing w:after="0"/>
        <w:tabs>
          <w:tab w:leader="none" w:pos="7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attract, integrate, and retain a large number of new employees, particularly members of our sales and marketing and research and development teams;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improve our Falcon platform, including our cloud modules, and IT infrastructure, including expanding and optimizing our data centers, to support our business needs;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80" w:right="120" w:hanging="257"/>
        <w:spacing w:after="0" w:line="294" w:lineRule="auto"/>
        <w:tabs>
          <w:tab w:leader="none" w:pos="77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22"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improve our financial, management, and compliance systems and controls.</w:t>
      </w:r>
    </w:p>
    <w:p>
      <w:pPr>
        <w:spacing w:after="0" w:line="184" w:lineRule="exact"/>
        <w:rPr>
          <w:sz w:val="20"/>
          <w:szCs w:val="20"/>
          <w:color w:val="auto"/>
        </w:rPr>
      </w:pPr>
    </w:p>
    <w:p>
      <w:pPr>
        <w:ind w:right="220" w:firstLine="517"/>
        <w:spacing w:after="0" w:line="275" w:lineRule="auto"/>
        <w:rPr>
          <w:sz w:val="20"/>
          <w:szCs w:val="20"/>
          <w:color w:val="auto"/>
        </w:rPr>
      </w:pPr>
      <w:r>
        <w:rPr>
          <w:rFonts w:ascii="Times New Roman" w:cs="Times New Roman" w:eastAsia="Times New Roman" w:hAnsi="Times New Roman"/>
          <w:sz w:val="14"/>
          <w:szCs w:val="14"/>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history of losses and may not be able to achieve or sustain profitability in the future.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have incurred net losses in all periods since our inception, and we may not achieve or maintain profitability in the future. We experienced net losses of $91.3 million, $135.5 million,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$140.1 million for fiscal 2017, fiscal 2018, and fiscal 2019, respectively. As of October 31, 2019, we had an accumulated deficit of $609.1 million. While we have experienced significant growth 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in recent periods, we cannot predict when or whether we will reach or maintain profitability. We also expect our operating expenses to increase in the future as we continue to invest for our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future growth, which will negatively affect our results of operations if our total revenue does not increase. We cannot assure you that these investments will result in substantial increases in our total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or improvements in our results of operations. In addition to the anticipated costs to grow our business, we also expect to incur significant additional legal, accounting, and other expenses as 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newly public company. Any failure to increase our revenue as we invest in our business or to manage our costs could prevent us from achieving or maintaining profitability or positive cash flow.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limited operating history makes it difficult to evaluate our current business and future prospects, and may increase the risk of your investment.</w:t>
      </w:r>
    </w:p>
    <w:p>
      <w:pPr>
        <w:spacing w:after="0" w:line="188" w:lineRule="exact"/>
        <w:rPr>
          <w:sz w:val="20"/>
          <w:szCs w:val="20"/>
          <w:color w:val="auto"/>
        </w:rPr>
      </w:pPr>
    </w:p>
    <w:p>
      <w:pPr>
        <w:ind w:right="40" w:firstLine="517"/>
        <w:spacing w:after="0" w:line="263" w:lineRule="auto"/>
        <w:rPr>
          <w:sz w:val="20"/>
          <w:szCs w:val="20"/>
          <w:color w:val="auto"/>
        </w:rPr>
      </w:pPr>
      <w:r>
        <w:rPr>
          <w:rFonts w:ascii="Times New Roman" w:cs="Times New Roman" w:eastAsia="Times New Roman" w:hAnsi="Times New Roman"/>
          <w:sz w:val="14"/>
          <w:szCs w:val="14"/>
          <w:color w:val="auto"/>
        </w:rPr>
        <w:t>We were founded in November 2011 and launched our first endpoint security solution in 2013. Our limited operating history makes it difficult to evaluate our current business, future prospects, and other trends, including our ability to plan for and model future growth. We have encountered and will continue to encounter risks, uncertainties, and difficulties frequently experienced by rapidly growing companies in evolving industries, including our ability to achieve broad market acceptance of cloud-based, SaaS-delivered endpoint security solutions and our Falcon platform, attract additional customers, grow partnerships, compete effectively, build and maintain effective compliance programs, and manage increasing expenses as we continue to invest in our business. If we do not address these risks, uncertainties, and difficulties successfully, our business, and results of operations will be harmed. Further, we have limited historical financial data, and we operate in a rapidly evolving market. As a result, any predictions about our future revenue and expenses may not be as accurate as they would be if we had a longer operating history or operated in a more predictable market.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organizations do not adopt cloud-based SaaS-delivered endpoint security solutions, our ability to grow our business and results of operations may be adversely affected.</w:t>
      </w:r>
    </w:p>
    <w:p>
      <w:pPr>
        <w:spacing w:after="0" w:line="188" w:lineRule="exact"/>
        <w:rPr>
          <w:sz w:val="20"/>
          <w:szCs w:val="20"/>
          <w:color w:val="auto"/>
        </w:rPr>
      </w:pPr>
    </w:p>
    <w:p>
      <w:pPr>
        <w:ind w:right="20" w:firstLine="517"/>
        <w:spacing w:after="0" w:line="261" w:lineRule="auto"/>
        <w:rPr>
          <w:sz w:val="20"/>
          <w:szCs w:val="20"/>
          <w:color w:val="auto"/>
        </w:rPr>
      </w:pPr>
      <w:r>
        <w:rPr>
          <w:rFonts w:ascii="Times New Roman" w:cs="Times New Roman" w:eastAsia="Times New Roman" w:hAnsi="Times New Roman"/>
          <w:sz w:val="14"/>
          <w:szCs w:val="14"/>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if we or other SaaS security providers experience security incidents, loss or disclosure of customer data, disruptions in delivery, or other problems, the market for SaaS solutions as a whole, including our security solutions, will be negatively affected. You should consider our business and prospects in light of the risks and difficulties we encounter in this new and evolving market.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20"/>
          </w:cols>
          <w:pgMar w:left="220" w:top="125" w:right="25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attract new customers, our future results of operations could be harmed.</w:t>
      </w:r>
    </w:p>
    <w:p>
      <w:pPr>
        <w:spacing w:after="0" w:line="188" w:lineRule="exact"/>
        <w:rPr>
          <w:sz w:val="20"/>
          <w:szCs w:val="20"/>
          <w:color w:val="auto"/>
        </w:rPr>
      </w:pPr>
    </w:p>
    <w:p>
      <w:pPr>
        <w:ind w:firstLine="517"/>
        <w:spacing w:after="0" w:line="260" w:lineRule="auto"/>
        <w:rPr>
          <w:sz w:val="20"/>
          <w:szCs w:val="20"/>
          <w:color w:val="auto"/>
        </w:rPr>
      </w:pPr>
      <w:r>
        <w:rPr>
          <w:rFonts w:ascii="Times New Roman" w:cs="Times New Roman" w:eastAsia="Times New Roman" w:hAnsi="Times New Roman"/>
          <w:sz w:val="14"/>
          <w:szCs w:val="14"/>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future deterioration in general economic conditions may cause our customers to cut their overall security and IT operations spending, and such cuts may fall disproportionately on cloud-based security solutions like ours. Economic weakness, customer financial difficulties, and constrained spending on security and IT operations may result in decreased revenue and adversely affect our results of operations and financial conditions. Additionally, if the incidence of cyberattacks were to decline, or enterprises or governments perceive that the general level of cyberattacks has declined,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customers do not renew their subscriptions for our products and add additional cloud modules to their subscriptions, our future results of operations could be harmed.</w:t>
      </w:r>
    </w:p>
    <w:p>
      <w:pPr>
        <w:spacing w:after="0" w:line="188" w:lineRule="exact"/>
        <w:rPr>
          <w:sz w:val="20"/>
          <w:szCs w:val="20"/>
          <w:color w:val="auto"/>
        </w:rPr>
      </w:pPr>
    </w:p>
    <w:p>
      <w:pPr>
        <w:ind w:firstLine="517"/>
        <w:spacing w:after="0" w:line="262" w:lineRule="auto"/>
        <w:rPr>
          <w:sz w:val="20"/>
          <w:szCs w:val="20"/>
          <w:color w:val="auto"/>
        </w:rPr>
      </w:pPr>
      <w:r>
        <w:rPr>
          <w:rFonts w:ascii="Times New Roman" w:cs="Times New Roman" w:eastAsia="Times New Roman" w:hAnsi="Times New Roman"/>
          <w:sz w:val="14"/>
          <w:szCs w:val="14"/>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our customers may renew for shorter contract subscription lengths or cease using certain cloud modules.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and general economic conditions. If our efforts to maintain and expand our relationships with our existing customers are not successful, our business, results of operations, and financial condition may materially suffer.</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intense competition and could lose market share to our competitors, which could adversely affect our business, financial condition, and results of operations.</w:t>
      </w:r>
    </w:p>
    <w:p>
      <w:pPr>
        <w:spacing w:after="0" w:line="188" w:lineRule="exact"/>
        <w:rPr>
          <w:sz w:val="20"/>
          <w:szCs w:val="20"/>
          <w:color w:val="auto"/>
        </w:rPr>
      </w:pPr>
    </w:p>
    <w:p>
      <w:pPr>
        <w:ind w:right="140" w:firstLine="517"/>
        <w:spacing w:after="0" w:line="266" w:lineRule="auto"/>
        <w:rPr>
          <w:sz w:val="20"/>
          <w:szCs w:val="20"/>
          <w:color w:val="auto"/>
        </w:rPr>
      </w:pPr>
      <w:r>
        <w:rPr>
          <w:rFonts w:ascii="Times New Roman" w:cs="Times New Roman" w:eastAsia="Times New Roman" w:hAnsi="Times New Roman"/>
          <w:sz w:val="14"/>
          <w:szCs w:val="14"/>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42" w:lineRule="exact"/>
        <w:rPr>
          <w:sz w:val="20"/>
          <w:szCs w:val="20"/>
          <w:color w:val="auto"/>
        </w:rPr>
      </w:pPr>
    </w:p>
    <w:p>
      <w:pPr>
        <w:ind w:left="780" w:hanging="257"/>
        <w:spacing w:after="0"/>
        <w:tabs>
          <w:tab w:leader="none" w:pos="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capabilities, including performance and reliability, of our Falcon platform, including our cloud modules, services, and features compared to those of our competitors;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the ability of our competitors, to improve existing products, services, and features, or to develop new ones to address evolving customer needs;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retain, and motivate talented employees;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relationships with channel partners;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our sales and marketing efforts; and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5" w:name="page66"/>
    <w:bookmarkEnd w:id="6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right="4920" w:firstLine="3"/>
        <w:spacing w:after="0" w:line="514" w:lineRule="auto"/>
        <w:tabs>
          <w:tab w:leader="none" w:pos="77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or consolidation within our industry, which may result in more formidable competitors. Our competitors include the following by general category:</w:t>
      </w:r>
    </w:p>
    <w:p>
      <w:pPr>
        <w:ind w:left="780" w:right="500" w:hanging="257"/>
        <w:spacing w:after="0" w:line="294" w:lineRule="auto"/>
        <w:tabs>
          <w:tab w:leader="none" w:pos="77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legacy antivirus product providers, such as McAfee, Inc., Broadcom Inc. (Symantec), and Microsoft Corporation, who offer a broad range of approaches and solutions including traditional antivirus and signature-based protection;</w:t>
      </w:r>
    </w:p>
    <w:p>
      <w:pPr>
        <w:spacing w:after="0" w:line="122" w:lineRule="exact"/>
        <w:rPr>
          <w:rFonts w:ascii="Times New Roman" w:cs="Times New Roman" w:eastAsia="Times New Roman" w:hAnsi="Times New Roman"/>
          <w:sz w:val="14"/>
          <w:szCs w:val="14"/>
          <w:color w:val="auto"/>
        </w:rPr>
      </w:pPr>
    </w:p>
    <w:p>
      <w:pPr>
        <w:ind w:left="780" w:right="340" w:hanging="257"/>
        <w:spacing w:after="0" w:line="294" w:lineRule="auto"/>
        <w:tabs>
          <w:tab w:leader="none" w:pos="77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alternative endpoint security providers, such as Blackberry Cylance and VMWare, Inc. (Carbon Black), who offer point products based on malware-only or application whitelisting techniques; and</w:t>
      </w:r>
    </w:p>
    <w:p>
      <w:pPr>
        <w:spacing w:after="0" w:line="122"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network security vendors, such as Palo Alto Networks, Inc. and FireEye, Inc., who are supplementing their core perimeter-based offerings with endpoint security solutions.</w:t>
      </w:r>
    </w:p>
    <w:p>
      <w:pPr>
        <w:spacing w:after="0" w:line="184" w:lineRule="exact"/>
        <w:rPr>
          <w:sz w:val="20"/>
          <w:szCs w:val="20"/>
          <w:color w:val="auto"/>
        </w:rPr>
      </w:pPr>
    </w:p>
    <w:p>
      <w:pPr>
        <w:ind w:firstLine="517"/>
        <w:spacing w:after="0" w:line="259" w:lineRule="auto"/>
        <w:rPr>
          <w:sz w:val="20"/>
          <w:szCs w:val="20"/>
          <w:color w:val="auto"/>
        </w:rPr>
      </w:pPr>
      <w:r>
        <w:rPr>
          <w:rFonts w:ascii="Times New Roman" w:cs="Times New Roman" w:eastAsia="Times New Roman" w:hAnsi="Times New Roman"/>
          <w:sz w:val="14"/>
          <w:szCs w:val="14"/>
          <w:color w:val="auto"/>
        </w:rPr>
        <w:t>Many of these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or they may have other financial, technical, or other resource advantages.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many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platform. Furthermore, even if the functionality offered by other security and IT operations providers is different and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Competitive pricing pressure may reduce our gross profits and adversely affect our financial results.</w:t>
      </w:r>
    </w:p>
    <w:p>
      <w:pPr>
        <w:spacing w:after="0" w:line="188" w:lineRule="exact"/>
        <w:rPr>
          <w:sz w:val="20"/>
          <w:szCs w:val="20"/>
          <w:color w:val="auto"/>
        </w:rPr>
      </w:pPr>
    </w:p>
    <w:p>
      <w:pPr>
        <w:ind w:right="100" w:firstLine="517"/>
        <w:spacing w:after="0" w:line="266" w:lineRule="auto"/>
        <w:rPr>
          <w:sz w:val="20"/>
          <w:szCs w:val="20"/>
          <w:color w:val="auto"/>
        </w:rPr>
      </w:pPr>
      <w:r>
        <w:rPr>
          <w:rFonts w:ascii="Times New Roman" w:cs="Times New Roman" w:eastAsia="Times New Roman" w:hAnsi="Times New Roman"/>
          <w:sz w:val="14"/>
          <w:szCs w:val="14"/>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Competition continues to increase in the market segments in which we operate, and we expect competition to further increase in the future. Larger competitors with more diverse product and service offerings may reduce the price of products or subscriptions that compete with ours or may bundle them with other products and subscriptions.</w:t>
      </w:r>
    </w:p>
    <w:p>
      <w:pPr>
        <w:spacing w:after="0" w:line="138" w:lineRule="exact"/>
        <w:rPr>
          <w:sz w:val="20"/>
          <w:szCs w:val="20"/>
          <w:color w:val="auto"/>
        </w:rPr>
      </w:pPr>
    </w:p>
    <w:p>
      <w:pPr>
        <w:ind w:right="24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19" w:lineRule="exact"/>
        <w:rPr>
          <w:sz w:val="20"/>
          <w:szCs w:val="20"/>
          <w:color w:val="auto"/>
        </w:rPr>
      </w:pPr>
    </w:p>
    <w:p>
      <w:pPr>
        <w:ind w:right="80" w:firstLine="517"/>
        <w:spacing w:after="0" w:line="266" w:lineRule="auto"/>
        <w:rPr>
          <w:sz w:val="20"/>
          <w:szCs w:val="20"/>
          <w:color w:val="auto"/>
        </w:rPr>
      </w:pPr>
      <w:r>
        <w:rPr>
          <w:rFonts w:ascii="Times New Roman" w:cs="Times New Roman" w:eastAsia="Times New Roman" w:hAnsi="Times New Roman"/>
          <w:sz w:val="14"/>
          <w:szCs w:val="14"/>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solutions, our solutions could become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66" w:name="page67"/>
    <w:bookmarkEnd w:id="6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4"/>
          <w:szCs w:val="14"/>
          <w:color w:val="auto"/>
        </w:rPr>
        <w:t>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140" w:lineRule="exact"/>
        <w:rPr>
          <w:sz w:val="20"/>
          <w:szCs w:val="20"/>
          <w:color w:val="auto"/>
        </w:rPr>
      </w:pPr>
    </w:p>
    <w:p>
      <w:pPr>
        <w:ind w:right="40" w:firstLine="517"/>
        <w:spacing w:after="0" w:line="263" w:lineRule="auto"/>
        <w:rPr>
          <w:sz w:val="20"/>
          <w:szCs w:val="20"/>
          <w:color w:val="auto"/>
        </w:rPr>
      </w:pPr>
      <w:r>
        <w:rPr>
          <w:rFonts w:ascii="Times New Roman" w:cs="Times New Roman" w:eastAsia="Times New Roman" w:hAnsi="Times New Roman"/>
          <w:sz w:val="14"/>
          <w:szCs w:val="14"/>
          <w:color w:val="auto"/>
        </w:rPr>
        <w:t>Moreover, as our cloud native security platform is adopted by an increasing number of enterprises and governments, it is possible that the individuals and organizations behind advanced cyberattacks will begin to focus on finding ways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could result in personally-identifiable information and other customer data being accessible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45" w:lineRule="exact"/>
        <w:rPr>
          <w:sz w:val="20"/>
          <w:szCs w:val="20"/>
          <w:color w:val="auto"/>
        </w:rPr>
      </w:pPr>
    </w:p>
    <w:p>
      <w:pPr>
        <w:ind w:firstLine="517"/>
        <w:spacing w:after="0" w:line="262" w:lineRule="auto"/>
        <w:rPr>
          <w:sz w:val="20"/>
          <w:szCs w:val="20"/>
          <w:color w:val="auto"/>
        </w:rPr>
      </w:pPr>
      <w:r>
        <w:rPr>
          <w:rFonts w:ascii="Times New Roman" w:cs="Times New Roman" w:eastAsia="Times New Roman" w:hAnsi="Times New Roman"/>
          <w:sz w:val="14"/>
          <w:szCs w:val="14"/>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or were implicated in failing to block such attack.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42" w:lineRule="exact"/>
        <w:rPr>
          <w:sz w:val="20"/>
          <w:szCs w:val="20"/>
          <w:color w:val="auto"/>
        </w:rPr>
      </w:pPr>
    </w:p>
    <w:p>
      <w:pPr>
        <w:ind w:right="22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As a cybersecurity provider, we have been, and expect to continue to be, a target of cyberattacks. If our internal networks, systems, or data are or are perceived to have been compromised, our reputation may be damaged and our financial results may be negatively affected.</w:t>
      </w:r>
    </w:p>
    <w:p>
      <w:pPr>
        <w:spacing w:after="0" w:line="119" w:lineRule="exact"/>
        <w:rPr>
          <w:sz w:val="20"/>
          <w:szCs w:val="20"/>
          <w:color w:val="auto"/>
        </w:rPr>
      </w:pPr>
    </w:p>
    <w:p>
      <w:pPr>
        <w:ind w:right="20" w:firstLine="517"/>
        <w:spacing w:after="0" w:line="262" w:lineRule="auto"/>
        <w:rPr>
          <w:sz w:val="20"/>
          <w:szCs w:val="20"/>
          <w:color w:val="auto"/>
        </w:rPr>
      </w:pPr>
      <w:r>
        <w:rPr>
          <w:rFonts w:ascii="Times New Roman" w:cs="Times New Roman" w:eastAsia="Times New Roman" w:hAnsi="Times New Roman"/>
          <w:sz w:val="14"/>
          <w:szCs w:val="14"/>
          <w:color w:val="auto"/>
        </w:rPr>
        <w:t>As a provider of security solutions, our Falcon platform has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We are also susceptible to inadvertent compromises of our systems and data, including those arising from process, coding, or human errors. A successful attack or other incident that compromises our or our customers’ data or results in an interruption of service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146" w:lineRule="exact"/>
        <w:rPr>
          <w:sz w:val="20"/>
          <w:szCs w:val="20"/>
          <w:color w:val="auto"/>
        </w:rPr>
      </w:pPr>
    </w:p>
    <w:p>
      <w:pPr>
        <w:ind w:right="40" w:firstLine="517"/>
        <w:spacing w:after="0" w:line="263" w:lineRule="auto"/>
        <w:rPr>
          <w:sz w:val="20"/>
          <w:szCs w:val="20"/>
          <w:color w:val="auto"/>
        </w:rPr>
      </w:pPr>
      <w:r>
        <w:rPr>
          <w:rFonts w:ascii="Times New Roman" w:cs="Times New Roman" w:eastAsia="Times New Roman" w:hAnsi="Times New Roman"/>
          <w:sz w:val="14"/>
          <w:szCs w:val="14"/>
          <w:color w:val="auto"/>
        </w:rPr>
        <w:t>It is virtually impossible for us to entirely eliminate the risk of such compromises, interruptions in service, or other security incidents affecting our internal systems or data. Organizations are subject to a wide variety of attacks on their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could damage our relationships with our existing customers and could have a negative effect on our ability to attract and retain new customers. We have expended, and anticipate continuing to expend, significant amounts and resources in an effort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7" w:name="page68"/>
    <w:bookmarkEnd w:id="6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20"/>
        <w:spacing w:after="0" w:line="275" w:lineRule="auto"/>
        <w:rPr>
          <w:sz w:val="20"/>
          <w:szCs w:val="20"/>
          <w:color w:val="auto"/>
        </w:rPr>
      </w:pPr>
      <w:r>
        <w:rPr>
          <w:rFonts w:ascii="Times New Roman" w:cs="Times New Roman" w:eastAsia="Times New Roman" w:hAnsi="Times New Roman"/>
          <w:sz w:val="14"/>
          <w:szCs w:val="14"/>
          <w:color w:val="auto"/>
        </w:rPr>
        <w:t>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136" w:lineRule="exact"/>
        <w:rPr>
          <w:sz w:val="20"/>
          <w:szCs w:val="20"/>
          <w:color w:val="auto"/>
        </w:rPr>
      </w:pPr>
    </w:p>
    <w:p>
      <w:pPr>
        <w:ind w:firstLine="517"/>
        <w:spacing w:after="0" w:line="269" w:lineRule="auto"/>
        <w:rPr>
          <w:sz w:val="20"/>
          <w:szCs w:val="20"/>
          <w:color w:val="auto"/>
        </w:rPr>
      </w:pPr>
      <w:r>
        <w:rPr>
          <w:rFonts w:ascii="Times New Roman" w:cs="Times New Roman" w:eastAsia="Times New Roman" w:hAnsi="Times New Roman"/>
          <w:sz w:val="14"/>
          <w:szCs w:val="14"/>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 and reputation.</w:t>
      </w:r>
    </w:p>
    <w:p>
      <w:pPr>
        <w:spacing w:after="0" w:line="136"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19" w:lineRule="exact"/>
        <w:rPr>
          <w:sz w:val="20"/>
          <w:szCs w:val="20"/>
          <w:color w:val="auto"/>
        </w:rPr>
      </w:pPr>
    </w:p>
    <w:p>
      <w:pPr>
        <w:ind w:firstLine="517"/>
        <w:spacing w:after="0" w:line="269" w:lineRule="auto"/>
        <w:rPr>
          <w:sz w:val="20"/>
          <w:szCs w:val="20"/>
          <w:color w:val="auto"/>
        </w:rPr>
      </w:pPr>
      <w:r>
        <w:rPr>
          <w:rFonts w:ascii="Times New Roman" w:cs="Times New Roman" w:eastAsia="Times New Roman" w:hAnsi="Times New Roman"/>
          <w:sz w:val="14"/>
          <w:szCs w:val="14"/>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factors, many of which are beyond our control, can affect the delivery, availability, and the performance of our Falcon platform:</w:t>
      </w:r>
    </w:p>
    <w:p>
      <w:pPr>
        <w:spacing w:after="0" w:line="184" w:lineRule="exact"/>
        <w:rPr>
          <w:sz w:val="20"/>
          <w:szCs w:val="20"/>
          <w:color w:val="auto"/>
        </w:rPr>
      </w:pPr>
    </w:p>
    <w:p>
      <w:pPr>
        <w:ind w:left="780" w:hanging="257"/>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and maintenance of the infrastructure of the internet;</w:t>
      </w:r>
    </w:p>
    <w:p>
      <w:pPr>
        <w:spacing w:after="0" w:line="183" w:lineRule="exact"/>
        <w:rPr>
          <w:rFonts w:ascii="Times New Roman" w:cs="Times New Roman" w:eastAsia="Times New Roman" w:hAnsi="Times New Roman"/>
          <w:sz w:val="14"/>
          <w:szCs w:val="14"/>
          <w:color w:val="auto"/>
        </w:rPr>
      </w:pPr>
    </w:p>
    <w:p>
      <w:pPr>
        <w:ind w:left="780" w:right="440" w:hanging="257"/>
        <w:spacing w:after="0" w:line="294" w:lineRule="auto"/>
        <w:tabs>
          <w:tab w:leader="none" w:pos="77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and availability of third-party providers of cloud infrastructure services, such as AWS, with the necessary speed, data capacity and security for providing reliable internet access and services;</w:t>
      </w:r>
    </w:p>
    <w:p>
      <w:pPr>
        <w:spacing w:after="0" w:line="122" w:lineRule="exact"/>
        <w:rPr>
          <w:rFonts w:ascii="Times New Roman" w:cs="Times New Roman" w:eastAsia="Times New Roman" w:hAnsi="Times New Roman"/>
          <w:sz w:val="14"/>
          <w:szCs w:val="14"/>
          <w:color w:val="auto"/>
        </w:rPr>
      </w:pPr>
    </w:p>
    <w:p>
      <w:pPr>
        <w:ind w:left="780" w:right="400" w:hanging="257"/>
        <w:spacing w:after="0" w:line="294" w:lineRule="auto"/>
        <w:tabs>
          <w:tab w:leader="none" w:pos="77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22" w:lineRule="exact"/>
        <w:rPr>
          <w:rFonts w:ascii="Times New Roman" w:cs="Times New Roman" w:eastAsia="Times New Roman" w:hAnsi="Times New Roman"/>
          <w:sz w:val="14"/>
          <w:szCs w:val="14"/>
          <w:color w:val="auto"/>
        </w:rPr>
      </w:pPr>
    </w:p>
    <w:p>
      <w:pPr>
        <w:ind w:left="780" w:right="340" w:hanging="257"/>
        <w:spacing w:after="0" w:line="294" w:lineRule="auto"/>
        <w:tabs>
          <w:tab w:leader="none" w:pos="77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physical or electronic break-ins, acts of war or terrorism, human error or interference (including by disgruntled employees, former employees or contractors) and other catastrophic events;</w:t>
      </w:r>
    </w:p>
    <w:p>
      <w:pPr>
        <w:spacing w:after="0" w:line="122"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cyberattacks, including denial of service attacks, targeted at us, our data centers, or the infrastructure of the internet;</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us to maintain and update our cloud infrastructure to meet our data capacity requirements;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errors, defects or performance problems in our software, including third-party software incorporated in our software;</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improper deployment or configuration of our solutions;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our redundancy systems, in the event of a service disruption at one of our data centers, to provide failover to other data centers in our data center network; and</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our disaster recovery and business continuity arrangements.</w:t>
      </w:r>
    </w:p>
    <w:p>
      <w:pPr>
        <w:spacing w:after="0" w:line="184" w:lineRule="exact"/>
        <w:rPr>
          <w:sz w:val="20"/>
          <w:szCs w:val="20"/>
          <w:color w:val="auto"/>
        </w:rPr>
      </w:pPr>
    </w:p>
    <w:p>
      <w:pPr>
        <w:ind w:right="180" w:firstLine="517"/>
        <w:spacing w:after="0" w:line="269" w:lineRule="auto"/>
        <w:rPr>
          <w:sz w:val="20"/>
          <w:szCs w:val="20"/>
          <w:color w:val="auto"/>
        </w:rPr>
      </w:pPr>
      <w:r>
        <w:rPr>
          <w:rFonts w:ascii="Times New Roman" w:cs="Times New Roman" w:eastAsia="Times New Roman" w:hAnsi="Times New Roman"/>
          <w:sz w:val="14"/>
          <w:szCs w:val="14"/>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68" w:name="page69"/>
    <w:bookmarkEnd w:id="6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4"/>
          <w:szCs w:val="14"/>
          <w:color w:val="auto"/>
        </w:rPr>
        <w:t>solution is unreliable. While we do not consider them to have been material,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88" w:lineRule="exact"/>
        <w:rPr>
          <w:sz w:val="20"/>
          <w:szCs w:val="20"/>
          <w:color w:val="auto"/>
        </w:rPr>
      </w:pPr>
    </w:p>
    <w:p>
      <w:pPr>
        <w:ind w:right="60" w:firstLine="517"/>
        <w:spacing w:after="0" w:line="261" w:lineRule="auto"/>
        <w:rPr>
          <w:sz w:val="20"/>
          <w:szCs w:val="20"/>
          <w:color w:val="auto"/>
        </w:rPr>
      </w:pPr>
      <w:r>
        <w:rPr>
          <w:rFonts w:ascii="Times New Roman" w:cs="Times New Roman" w:eastAsia="Times New Roman" w:hAnsi="Times New Roman"/>
          <w:sz w:val="14"/>
          <w:szCs w:val="14"/>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317" w:lineRule="exact"/>
        <w:rPr>
          <w:sz w:val="20"/>
          <w:szCs w:val="20"/>
          <w:color w:val="auto"/>
        </w:rPr>
      </w:pPr>
    </w:p>
    <w:p>
      <w:pPr>
        <w:ind w:right="32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19" w:lineRule="exact"/>
        <w:rPr>
          <w:sz w:val="20"/>
          <w:szCs w:val="20"/>
          <w:color w:val="auto"/>
        </w:rPr>
      </w:pPr>
    </w:p>
    <w:p>
      <w:pPr>
        <w:ind w:right="60" w:firstLine="517"/>
        <w:spacing w:after="0" w:line="266" w:lineRule="auto"/>
        <w:rPr>
          <w:sz w:val="20"/>
          <w:szCs w:val="20"/>
          <w:color w:val="auto"/>
        </w:rPr>
      </w:pPr>
      <w:r>
        <w:rPr>
          <w:rFonts w:ascii="Times New Roman" w:cs="Times New Roman" w:eastAsia="Times New Roman" w:hAnsi="Times New Roman"/>
          <w:sz w:val="14"/>
          <w:szCs w:val="14"/>
          <w:color w:val="auto"/>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may not be fully reflected in our results of operations until future periods. We may also be unable to timely reduce our cost structure in line with a significant deterioration in sales or renewals that would adversely affect our results of operations and financial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88" w:lineRule="exact"/>
        <w:rPr>
          <w:sz w:val="20"/>
          <w:szCs w:val="20"/>
          <w:color w:val="auto"/>
        </w:rPr>
      </w:pPr>
    </w:p>
    <w:p>
      <w:pPr>
        <w:ind w:firstLine="517"/>
        <w:spacing w:after="0" w:line="275" w:lineRule="auto"/>
        <w:rPr>
          <w:sz w:val="20"/>
          <w:szCs w:val="20"/>
          <w:color w:val="auto"/>
        </w:rPr>
      </w:pPr>
      <w:r>
        <w:rPr>
          <w:rFonts w:ascii="Times New Roman" w:cs="Times New Roman" w:eastAsia="Times New Roman" w:hAnsi="Times New Roman"/>
          <w:sz w:val="14"/>
          <w:szCs w:val="14"/>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136" w:lineRule="exact"/>
        <w:rPr>
          <w:sz w:val="20"/>
          <w:szCs w:val="20"/>
          <w:color w:val="auto"/>
        </w:rPr>
      </w:pPr>
    </w:p>
    <w:p>
      <w:pPr>
        <w:ind w:left="780" w:hanging="257"/>
        <w:spacing w:after="0"/>
        <w:tabs>
          <w:tab w:leader="none" w:pos="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new and retain existing customers;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budgeting cycles, seasonal buying patterns, and purchasing practices of customers;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length of our sales cycles;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customer or channel partner requirements or market needs;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growth rate of the cloud-based SaaS-delivered endpoint security solutions market;</w:t>
      </w:r>
    </w:p>
    <w:p>
      <w:pPr>
        <w:spacing w:after="0" w:line="183" w:lineRule="exact"/>
        <w:rPr>
          <w:rFonts w:ascii="Times New Roman" w:cs="Times New Roman" w:eastAsia="Times New Roman" w:hAnsi="Times New Roman"/>
          <w:sz w:val="14"/>
          <w:szCs w:val="14"/>
          <w:color w:val="auto"/>
        </w:rPr>
      </w:pPr>
    </w:p>
    <w:p>
      <w:pPr>
        <w:ind w:left="780" w:right="380" w:hanging="257"/>
        <w:spacing w:after="0" w:line="294" w:lineRule="auto"/>
        <w:tabs>
          <w:tab w:leader="none" w:pos="77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new product and service introductions by us or our competitors or any other competitive developments, including consolidation among our customers or competitors;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20"/>
          </w:cols>
          <w:pgMar w:left="220" w:top="125" w:right="259" w:bottom="1440" w:gutter="0" w:footer="0" w:header="0"/>
        </w:sectPr>
      </w:pPr>
    </w:p>
    <w:bookmarkStart w:id="69" w:name="page70"/>
    <w:bookmarkEnd w:id="6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80" w:hanging="257"/>
        <w:spacing w:after="0"/>
        <w:tabs>
          <w:tab w:leader="none" w:pos="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awareness of cybersecurity threats, particularly advanced cyberattacks, and the market adoption of our Falcon platform;</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expand our business domestically and internationally;</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decisions by organizations to purchase security solutions from larger, more established security vendors or from their primary IT equipment vendors;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pricing policies or those of our competitors;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disruption in our relationship with channel partners;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insolvency or credit difficulties confronting our customers, affecting their ability to purchase or pay for our solutions;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security breaches of, technical difficulties with or interruptions to, the use of our Falcon platform;</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extraordinary expenses such as litigation or other dispute-related settlement payments or outcomes;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both domestic and in our foreign markets;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accounting pronouncements or changes in our accounting policies or practices;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media coverage or publicity;</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events;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operating costs and capital expenditures related to the expansion of our business; and</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or decreases in our expenses caused by fluctuations in foreign currency exchange rates.</w:t>
      </w:r>
    </w:p>
    <w:p>
      <w:pPr>
        <w:spacing w:after="0" w:line="184" w:lineRule="exact"/>
        <w:rPr>
          <w:sz w:val="20"/>
          <w:szCs w:val="20"/>
          <w:color w:val="auto"/>
        </w:rPr>
      </w:pPr>
    </w:p>
    <w:p>
      <w:pPr>
        <w:ind w:firstLine="517"/>
        <w:spacing w:after="0" w:line="266" w:lineRule="auto"/>
        <w:rPr>
          <w:sz w:val="20"/>
          <w:szCs w:val="20"/>
          <w:color w:val="auto"/>
        </w:rPr>
      </w:pPr>
      <w:r>
        <w:rPr>
          <w:rFonts w:ascii="Times New Roman" w:cs="Times New Roman" w:eastAsia="Times New Roman" w:hAnsi="Times New Roman"/>
          <w:sz w:val="14"/>
          <w:szCs w:val="14"/>
          <w:color w:val="auto"/>
        </w:rPr>
        <w:t>In addition, we experience seasonal fluctuations in our financial results as we typically receive a higher percentage of our annual orders from new customers, as well as renewal orders from existing customers, in our fourth fiscal quarter as compared to other quarters due to the annual budget approval process of many of our customers.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sales cycles can be long and unpredictable, and our sales efforts require considerable time and expense.</w:t>
      </w:r>
    </w:p>
    <w:p>
      <w:pPr>
        <w:spacing w:after="0" w:line="188" w:lineRule="exact"/>
        <w:rPr>
          <w:sz w:val="20"/>
          <w:szCs w:val="20"/>
          <w:color w:val="auto"/>
        </w:rPr>
      </w:pPr>
    </w:p>
    <w:p>
      <w:pPr>
        <w:ind w:firstLine="517"/>
        <w:spacing w:after="0" w:line="269" w:lineRule="auto"/>
        <w:rPr>
          <w:sz w:val="20"/>
          <w:szCs w:val="20"/>
          <w:color w:val="auto"/>
        </w:rPr>
      </w:pPr>
      <w:r>
        <w:rPr>
          <w:rFonts w:ascii="Times New Roman" w:cs="Times New Roman" w:eastAsia="Times New Roman" w:hAnsi="Times New Roman"/>
          <w:sz w:val="14"/>
          <w:szCs w:val="14"/>
          <w:color w:val="auto"/>
        </w:rPr>
        <w:t>Our revenue recognition is difficult to predict because of the length and unpredictability of the sales cycle for our Falcon platform, particularly with respect to large organizations and government entities.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our sales cycle.</w:t>
      </w:r>
    </w:p>
    <w:p>
      <w:pPr>
        <w:spacing w:after="0" w:line="140" w:lineRule="exact"/>
        <w:rPr>
          <w:sz w:val="20"/>
          <w:szCs w:val="20"/>
          <w:color w:val="auto"/>
        </w:rPr>
      </w:pPr>
    </w:p>
    <w:p>
      <w:pPr>
        <w:ind w:right="100" w:firstLine="517"/>
        <w:spacing w:after="0" w:line="269" w:lineRule="auto"/>
        <w:rPr>
          <w:sz w:val="20"/>
          <w:szCs w:val="20"/>
          <w:color w:val="auto"/>
        </w:rPr>
      </w:pPr>
      <w:r>
        <w:rPr>
          <w:rFonts w:ascii="Times New Roman" w:cs="Times New Roman" w:eastAsia="Times New Roman" w:hAnsi="Times New Roman"/>
          <w:sz w:val="14"/>
          <w:szCs w:val="14"/>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360"/>
          </w:cols>
          <w:pgMar w:left="220" w:top="125" w:right="319" w:bottom="1440" w:gutter="0" w:footer="0" w:header="0"/>
        </w:sectPr>
      </w:pPr>
    </w:p>
    <w:bookmarkStart w:id="70" w:name="page71"/>
    <w:bookmarkEnd w:id="7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our key technical, sales and management personnel to grow our business, and the loss of one or more key employees could harm our business.</w:t>
      </w:r>
    </w:p>
    <w:p>
      <w:pPr>
        <w:spacing w:after="0" w:line="188" w:lineRule="exact"/>
        <w:rPr>
          <w:sz w:val="20"/>
          <w:szCs w:val="20"/>
          <w:color w:val="auto"/>
        </w:rPr>
      </w:pPr>
    </w:p>
    <w:p>
      <w:pPr>
        <w:ind w:firstLine="517"/>
        <w:spacing w:after="0" w:line="266" w:lineRule="auto"/>
        <w:rPr>
          <w:sz w:val="20"/>
          <w:szCs w:val="20"/>
          <w:color w:val="auto"/>
        </w:rPr>
      </w:pPr>
      <w:r>
        <w:rPr>
          <w:rFonts w:ascii="Times New Roman" w:cs="Times New Roman" w:eastAsia="Times New Roman" w:hAnsi="Times New Roman"/>
          <w:sz w:val="14"/>
          <w:szCs w:val="14"/>
          <w:color w:val="auto"/>
        </w:rPr>
        <w:t>Our future success is substantially dependent on our ability to attract, retain, and motivate the members of our management team and other key employees throughout our organization. In particular, we are highly dependent on the services of George Kurtz, our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If Mr. Kurtz, or one or more of our key employees, or members of our management team resigns or otherwise ceases to provide us with their service, our business could be harmed.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attract and retain qualified personnel, our business could be harmed.</w:t>
      </w:r>
    </w:p>
    <w:p>
      <w:pPr>
        <w:spacing w:after="0" w:line="188" w:lineRule="exact"/>
        <w:rPr>
          <w:sz w:val="20"/>
          <w:szCs w:val="20"/>
          <w:color w:val="auto"/>
        </w:rPr>
      </w:pPr>
    </w:p>
    <w:p>
      <w:pPr>
        <w:ind w:right="20" w:firstLine="517"/>
        <w:spacing w:after="0" w:line="261" w:lineRule="auto"/>
        <w:rPr>
          <w:sz w:val="20"/>
          <w:szCs w:val="20"/>
          <w:color w:val="auto"/>
        </w:rPr>
      </w:pPr>
      <w:r>
        <w:rPr>
          <w:rFonts w:ascii="Times New Roman" w:cs="Times New Roman" w:eastAsia="Times New Roman" w:hAnsi="Times New Roman"/>
          <w:sz w:val="14"/>
          <w:szCs w:val="14"/>
          <w:color w:val="auto"/>
        </w:rPr>
        <w:t>There is also significant competition for personnel with the skills and technical knowledge that we require across our technology, cyber, sales, professional services, and administrative support functions. Competition for these personnel in the San Francisco Bay Area, where our headquarters are located, and in other locations where we maintain offices,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46" w:lineRule="exact"/>
        <w:rPr>
          <w:sz w:val="20"/>
          <w:szCs w:val="20"/>
          <w:color w:val="auto"/>
        </w:rPr>
      </w:pPr>
    </w:p>
    <w:p>
      <w:pPr>
        <w:ind w:firstLine="517"/>
        <w:spacing w:after="0" w:line="266" w:lineRule="auto"/>
        <w:rPr>
          <w:sz w:val="20"/>
          <w:szCs w:val="20"/>
          <w:color w:val="auto"/>
        </w:rPr>
      </w:pPr>
      <w:r>
        <w:rPr>
          <w:rFonts w:ascii="Times New Roman" w:cs="Times New Roman" w:eastAsia="Times New Roman" w:hAnsi="Times New Roman"/>
          <w:sz w:val="14"/>
          <w:szCs w:val="14"/>
          <w:color w:val="auto"/>
        </w:rPr>
        <w:t>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 fulfill our current or future needs could adversely affect our business, results of operations and financial condition.</w:t>
      </w:r>
    </w:p>
    <w:p>
      <w:pPr>
        <w:spacing w:after="0" w:line="138"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If we are not able to maintain and enhance our CrowdStrike and Falcon brand and our reputation as a provider of high-efficacy security solutions, our business and results of operations may be adversely affected.</w:t>
      </w:r>
    </w:p>
    <w:p>
      <w:pPr>
        <w:spacing w:after="0" w:line="119" w:lineRule="exact"/>
        <w:rPr>
          <w:sz w:val="20"/>
          <w:szCs w:val="20"/>
          <w:color w:val="auto"/>
        </w:rPr>
      </w:pPr>
    </w:p>
    <w:p>
      <w:pPr>
        <w:ind w:right="40" w:firstLine="517"/>
        <w:spacing w:after="0" w:line="266" w:lineRule="auto"/>
        <w:rPr>
          <w:sz w:val="20"/>
          <w:szCs w:val="20"/>
          <w:color w:val="auto"/>
        </w:rPr>
      </w:pPr>
      <w:r>
        <w:rPr>
          <w:rFonts w:ascii="Times New Roman" w:cs="Times New Roman" w:eastAsia="Times New Roman" w:hAnsi="Times New Roman"/>
          <w:sz w:val="14"/>
          <w:szCs w:val="14"/>
          <w:color w:val="auto"/>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will depend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42" w:lineRule="exact"/>
        <w:rPr>
          <w:sz w:val="20"/>
          <w:szCs w:val="20"/>
          <w:color w:val="auto"/>
        </w:rPr>
      </w:pPr>
    </w:p>
    <w:p>
      <w:pPr>
        <w:ind w:right="100" w:firstLine="517"/>
        <w:spacing w:after="0" w:line="264" w:lineRule="auto"/>
        <w:rPr>
          <w:sz w:val="20"/>
          <w:szCs w:val="20"/>
          <w:color w:val="auto"/>
        </w:rPr>
      </w:pPr>
      <w:r>
        <w:rPr>
          <w:rFonts w:ascii="Times New Roman" w:cs="Times New Roman" w:eastAsia="Times New Roman" w:hAnsi="Times New Roman"/>
          <w:sz w:val="14"/>
          <w:szCs w:val="14"/>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1" w:name="page72"/>
    <w:bookmarkEnd w:id="7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technology alliance partners may affect our brand and reputation if customers do not have a positive experience with these partners. In addition, we have in the past worked, and continue to work, with high profile customers as well as assist in analyzing and remediating high profile cyberattacks. Our work with such customers has exposed us to publicity and media coverage. Negative publicity about us, including about the efficacy and reliability of our Falcon platform, our products offerings, our professional services, and the customers we work with, even if inaccurate, could adversely affect our reputation and brand.</w:t>
      </w:r>
    </w:p>
    <w:p>
      <w:pPr>
        <w:spacing w:after="0" w:line="136"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19" w:lineRule="exact"/>
        <w:rPr>
          <w:sz w:val="20"/>
          <w:szCs w:val="20"/>
          <w:color w:val="auto"/>
        </w:rPr>
      </w:pPr>
    </w:p>
    <w:p>
      <w:pPr>
        <w:ind w:right="20" w:firstLine="517"/>
        <w:spacing w:after="0" w:line="263" w:lineRule="auto"/>
        <w:rPr>
          <w:sz w:val="20"/>
          <w:szCs w:val="20"/>
          <w:color w:val="auto"/>
        </w:rPr>
      </w:pPr>
      <w:r>
        <w:rPr>
          <w:rFonts w:ascii="Times New Roman" w:cs="Times New Roman" w:eastAsia="Times New Roman" w:hAnsi="Times New Roman"/>
          <w:sz w:val="14"/>
          <w:szCs w:val="14"/>
          <w:color w:val="auto"/>
        </w:rPr>
        <w:t>In addition to our direct sales force, we rely on our channel partners to sell and support our Falcon platform. A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41"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19" w:lineRule="exact"/>
        <w:rPr>
          <w:sz w:val="20"/>
          <w:szCs w:val="20"/>
          <w:color w:val="auto"/>
        </w:rPr>
      </w:pPr>
    </w:p>
    <w:p>
      <w:pPr>
        <w:ind w:right="20" w:firstLine="517"/>
        <w:spacing w:after="0" w:line="266" w:lineRule="auto"/>
        <w:rPr>
          <w:sz w:val="20"/>
          <w:szCs w:val="20"/>
          <w:color w:val="auto"/>
        </w:rPr>
      </w:pPr>
      <w:r>
        <w:rPr>
          <w:rFonts w:ascii="Times New Roman" w:cs="Times New Roman" w:eastAsia="Times New Roman" w:hAnsi="Times New Roman"/>
          <w:sz w:val="14"/>
          <w:szCs w:val="14"/>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Although we anticipate that they may increase in the future, sales to U.S. federal, state, and local governmental agencies have not accounted for, and may never account for, a significant portion of our revenue. U.S. federal, state and local government sales are subject to a number of challenges and risks that may adversely impact our business. Sales to such government entities include the following risks:</w:t>
      </w:r>
    </w:p>
    <w:p>
      <w:pPr>
        <w:spacing w:after="0" w:line="142" w:lineRule="exact"/>
        <w:rPr>
          <w:sz w:val="20"/>
          <w:szCs w:val="20"/>
          <w:color w:val="auto"/>
        </w:rPr>
      </w:pPr>
    </w:p>
    <w:p>
      <w:pPr>
        <w:ind w:left="780" w:right="100" w:hanging="257"/>
        <w:spacing w:after="0" w:line="294" w:lineRule="auto"/>
        <w:tabs>
          <w:tab w:leader="none" w:pos="77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to governmental agencies can be highly competitive, expensive and time consuming, often requiring significant upfront time and expense without any assurance that such efforts will generate a sale;</w:t>
      </w:r>
    </w:p>
    <w:p>
      <w:pPr>
        <w:spacing w:after="0" w:line="122" w:lineRule="exact"/>
        <w:rPr>
          <w:rFonts w:ascii="Times New Roman" w:cs="Times New Roman" w:eastAsia="Times New Roman" w:hAnsi="Times New Roman"/>
          <w:sz w:val="14"/>
          <w:szCs w:val="14"/>
          <w:color w:val="auto"/>
        </w:rPr>
      </w:pPr>
    </w:p>
    <w:p>
      <w:pPr>
        <w:jc w:val="both"/>
        <w:ind w:left="780" w:right="180" w:hanging="257"/>
        <w:spacing w:after="0" w:line="275" w:lineRule="auto"/>
        <w:tabs>
          <w:tab w:leader="none" w:pos="77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certification requirements applicable to our products may change and, in doing so, restrict our ability to sell into the U.S. federal government sector until we have attained the revised certification. For example, although we are currently certified under the Federal Risk and Authorization Management Program, or FedRAMP, such certification is costly to maintain and if we lost our certification in the future it would restrict our ability to sell to government customers;</w:t>
      </w:r>
    </w:p>
    <w:p>
      <w:pPr>
        <w:spacing w:after="0" w:line="136" w:lineRule="exact"/>
        <w:rPr>
          <w:rFonts w:ascii="Times New Roman" w:cs="Times New Roman" w:eastAsia="Times New Roman" w:hAnsi="Times New Roman"/>
          <w:sz w:val="14"/>
          <w:szCs w:val="14"/>
          <w:color w:val="auto"/>
        </w:rPr>
      </w:pPr>
    </w:p>
    <w:p>
      <w:pPr>
        <w:ind w:left="780" w:right="200" w:hanging="257"/>
        <w:spacing w:after="0" w:line="294" w:lineRule="auto"/>
        <w:tabs>
          <w:tab w:leader="none" w:pos="77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demand and payment for our Falcon platform may be impacted by public sector budgetary cycles and funding authorizations, with funding reductions or delays adversely affecting public sector demand for our Falcon platform;</w:t>
      </w:r>
    </w:p>
    <w:p>
      <w:pPr>
        <w:spacing w:after="0" w:line="122" w:lineRule="exact"/>
        <w:rPr>
          <w:rFonts w:ascii="Times New Roman" w:cs="Times New Roman" w:eastAsia="Times New Roman" w:hAnsi="Times New Roman"/>
          <w:sz w:val="14"/>
          <w:szCs w:val="14"/>
          <w:color w:val="auto"/>
        </w:rPr>
      </w:pPr>
    </w:p>
    <w:p>
      <w:pPr>
        <w:ind w:left="780" w:right="60" w:hanging="257"/>
        <w:spacing w:after="0" w:line="275" w:lineRule="auto"/>
        <w:tabs>
          <w:tab w:leader="none" w:pos="77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136" w:lineRule="exact"/>
        <w:rPr>
          <w:rFonts w:ascii="Times New Roman" w:cs="Times New Roman" w:eastAsia="Times New Roman" w:hAnsi="Times New Roman"/>
          <w:sz w:val="14"/>
          <w:szCs w:val="14"/>
          <w:color w:val="auto"/>
        </w:rPr>
      </w:pPr>
    </w:p>
    <w:p>
      <w:pPr>
        <w:ind w:left="780" w:right="440" w:hanging="257"/>
        <w:spacing w:after="0" w:line="294" w:lineRule="auto"/>
        <w:tabs>
          <w:tab w:leader="none" w:pos="77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123" w:lineRule="exact"/>
        <w:rPr>
          <w:sz w:val="20"/>
          <w:szCs w:val="20"/>
          <w:color w:val="auto"/>
        </w:rPr>
      </w:pPr>
    </w:p>
    <w:p>
      <w:pPr>
        <w:ind w:right="320" w:firstLine="517"/>
        <w:spacing w:after="0" w:line="294" w:lineRule="auto"/>
        <w:rPr>
          <w:sz w:val="20"/>
          <w:szCs w:val="20"/>
          <w:color w:val="auto"/>
        </w:rPr>
      </w:pPr>
      <w:r>
        <w:rPr>
          <w:rFonts w:ascii="Times New Roman" w:cs="Times New Roman" w:eastAsia="Times New Roman" w:hAnsi="Times New Roman"/>
          <w:sz w:val="14"/>
          <w:szCs w:val="14"/>
          <w:color w:val="auto"/>
        </w:rPr>
        <w:t>The occurrence of any of the foregoing could cause governments and governmental agencies to delay or refrain from purchasing our solutions in the future or otherwise have an adverse effect on our business and results of operations.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2" w:name="page73"/>
    <w:bookmarkEnd w:id="7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timely and cost-effectively scale and adapt our existing technology to meet our customers’ performance and other requirements.</w:t>
      </w:r>
    </w:p>
    <w:p>
      <w:pPr>
        <w:spacing w:after="0" w:line="188" w:lineRule="exact"/>
        <w:rPr>
          <w:sz w:val="20"/>
          <w:szCs w:val="20"/>
          <w:color w:val="auto"/>
        </w:rPr>
      </w:pPr>
    </w:p>
    <w:p>
      <w:pPr>
        <w:ind w:right="40" w:firstLine="517"/>
        <w:spacing w:after="0" w:line="261" w:lineRule="auto"/>
        <w:rPr>
          <w:sz w:val="20"/>
          <w:szCs w:val="20"/>
          <w:color w:val="auto"/>
        </w:rPr>
      </w:pPr>
      <w:r>
        <w:rPr>
          <w:rFonts w:ascii="Times New Roman" w:cs="Times New Roman" w:eastAsia="Times New Roman" w:hAnsi="Times New Roman"/>
          <w:sz w:val="14"/>
          <w:szCs w:val="14"/>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 significant amount of time to plan, develop and test improvements to our technologies and infrastructure, and we may not be able to accurately forecast demand or predict the results we will realize from such improvements. To the extent that we do not effectively scale our operations to meet the needs of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49" w:lineRule="exact"/>
        <w:rPr>
          <w:sz w:val="20"/>
          <w:szCs w:val="20"/>
          <w:color w:val="auto"/>
        </w:rPr>
      </w:pPr>
    </w:p>
    <w:p>
      <w:pPr>
        <w:ind w:right="20" w:firstLine="517"/>
        <w:spacing w:after="0" w:line="262" w:lineRule="auto"/>
        <w:rPr>
          <w:sz w:val="20"/>
          <w:szCs w:val="20"/>
          <w:color w:val="auto"/>
        </w:rPr>
      </w:pPr>
      <w:r>
        <w:rPr>
          <w:rFonts w:ascii="Times New Roman" w:cs="Times New Roman" w:eastAsia="Times New Roman" w:hAnsi="Times New Roman"/>
          <w:sz w:val="14"/>
          <w:szCs w:val="14"/>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success of our business depends in part on our ability to protect and enforce our intellectual property rights.</w:t>
      </w:r>
    </w:p>
    <w:p>
      <w:pPr>
        <w:spacing w:after="0" w:line="188" w:lineRule="exact"/>
        <w:rPr>
          <w:sz w:val="20"/>
          <w:szCs w:val="20"/>
          <w:color w:val="auto"/>
        </w:rPr>
      </w:pPr>
    </w:p>
    <w:p>
      <w:pPr>
        <w:ind w:right="20" w:firstLine="517"/>
        <w:spacing w:after="0" w:line="260" w:lineRule="auto"/>
        <w:rPr>
          <w:sz w:val="20"/>
          <w:szCs w:val="20"/>
          <w:color w:val="auto"/>
        </w:rPr>
      </w:pPr>
      <w:r>
        <w:rPr>
          <w:rFonts w:ascii="Times New Roman" w:cs="Times New Roman" w:eastAsia="Times New Roman" w:hAnsi="Times New Roman"/>
          <w:sz w:val="14"/>
          <w:szCs w:val="14"/>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51" w:lineRule="exact"/>
        <w:rPr>
          <w:sz w:val="20"/>
          <w:szCs w:val="20"/>
          <w:color w:val="auto"/>
        </w:rPr>
      </w:pPr>
    </w:p>
    <w:p>
      <w:pPr>
        <w:ind w:firstLine="517"/>
        <w:spacing w:after="0" w:line="264" w:lineRule="auto"/>
        <w:rPr>
          <w:sz w:val="20"/>
          <w:szCs w:val="20"/>
          <w:color w:val="auto"/>
        </w:rPr>
      </w:pPr>
      <w:r>
        <w:rPr>
          <w:rFonts w:ascii="Times New Roman" w:cs="Times New Roman" w:eastAsia="Times New Roman" w:hAnsi="Times New Roman"/>
          <w:sz w:val="14"/>
          <w:szCs w:val="14"/>
          <w:color w:val="auto"/>
        </w:rPr>
        <w:t>We may not be effective in policing unauthorized use of our intellectual property, and even if we do detect violations, litigation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3" w:name="page74"/>
    <w:bookmarkEnd w:id="7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4"/>
          <w:szCs w:val="14"/>
          <w:color w:val="auto"/>
        </w:rPr>
        <w:t>advantages or distinguish our services from those of our competitors or that our competitors will not independently develop similar technology, duplicate any of our technology, or design around our patents.</w:t>
      </w:r>
    </w:p>
    <w:p>
      <w:pPr>
        <w:spacing w:after="0" w:line="119" w:lineRule="exact"/>
        <w:rPr>
          <w:sz w:val="20"/>
          <w:szCs w:val="20"/>
          <w:color w:val="auto"/>
        </w:rPr>
      </w:pPr>
    </w:p>
    <w:p>
      <w:pPr>
        <w:ind w:right="36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19" w:lineRule="exact"/>
        <w:rPr>
          <w:sz w:val="20"/>
          <w:szCs w:val="20"/>
          <w:color w:val="auto"/>
        </w:rPr>
      </w:pPr>
    </w:p>
    <w:p>
      <w:pPr>
        <w:ind w:firstLine="517"/>
        <w:spacing w:after="0" w:line="261" w:lineRule="auto"/>
        <w:rPr>
          <w:sz w:val="20"/>
          <w:szCs w:val="20"/>
          <w:color w:val="auto"/>
        </w:rPr>
      </w:pPr>
      <w:r>
        <w:rPr>
          <w:rFonts w:ascii="Times New Roman" w:cs="Times New Roman" w:eastAsia="Times New Roman" w:hAnsi="Times New Roman"/>
          <w:sz w:val="14"/>
          <w:szCs w:val="14"/>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 For example, we are currently involved in proceedings before the Trademark Trial and Appeal Board at the U.S. Patent and Trademark Office regarding our U.S. trademark registrations for CrowdStrike Falcon and our U.S. application to register our Falcon OverWatch trademark. Fair Isaac Corporation, or FICO, petitioned to cancel our trademark registrations and opposed our application. If the appeal board were to find against us, it would cancel our trademark registrations for CrowdStrike Falcon and reject our application to register Falcon OverWatch. If FICO were to file an infringement action in court and if we do not prevail in that action, we could ultimately be required to change the names of our solutions, which would force us to incur significant marketing expense in establishing an alternative brand to our existing Falcon brand. We cannot assure you that we will be successful in these rebranding efforts.</w:t>
      </w:r>
    </w:p>
    <w:p>
      <w:pPr>
        <w:spacing w:after="0" w:line="146" w:lineRule="exact"/>
        <w:rPr>
          <w:sz w:val="20"/>
          <w:szCs w:val="20"/>
          <w:color w:val="auto"/>
        </w:rPr>
      </w:pPr>
    </w:p>
    <w:p>
      <w:pPr>
        <w:ind w:right="40" w:firstLine="517"/>
        <w:spacing w:after="0" w:line="263" w:lineRule="auto"/>
        <w:rPr>
          <w:sz w:val="20"/>
          <w:szCs w:val="20"/>
          <w:color w:val="auto"/>
        </w:rPr>
      </w:pPr>
      <w:r>
        <w:rPr>
          <w:rFonts w:ascii="Times New Roman" w:cs="Times New Roman" w:eastAsia="Times New Roman" w:hAnsi="Times New Roman"/>
          <w:sz w:val="14"/>
          <w:szCs w:val="14"/>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321" w:lineRule="exact"/>
        <w:rPr>
          <w:sz w:val="20"/>
          <w:szCs w:val="20"/>
          <w:color w:val="auto"/>
        </w:rPr>
      </w:pPr>
    </w:p>
    <w:p>
      <w:pPr>
        <w:ind w:right="40" w:firstLine="517"/>
        <w:spacing w:after="0" w:line="266" w:lineRule="auto"/>
        <w:rPr>
          <w:sz w:val="20"/>
          <w:szCs w:val="20"/>
          <w:color w:val="auto"/>
        </w:rPr>
      </w:pPr>
      <w:r>
        <w:rPr>
          <w:rFonts w:ascii="Times New Roman" w:cs="Times New Roman" w:eastAsia="Times New Roman" w:hAnsi="Times New Roman"/>
          <w:sz w:val="14"/>
          <w:szCs w:val="14"/>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during which we could be unable to continue to offer our affected services or features, effort and expense and may ultimately not be successful.</w:t>
      </w:r>
    </w:p>
    <w:p>
      <w:pPr>
        <w:spacing w:after="0" w:line="142" w:lineRule="exact"/>
        <w:rPr>
          <w:sz w:val="20"/>
          <w:szCs w:val="20"/>
          <w:color w:val="auto"/>
        </w:rPr>
      </w:pPr>
    </w:p>
    <w:p>
      <w:pPr>
        <w:ind w:firstLine="517"/>
        <w:spacing w:after="0" w:line="263" w:lineRule="auto"/>
        <w:rPr>
          <w:sz w:val="20"/>
          <w:szCs w:val="20"/>
          <w:color w:val="auto"/>
        </w:rPr>
      </w:pPr>
      <w:r>
        <w:rPr>
          <w:rFonts w:ascii="Times New Roman" w:cs="Times New Roman" w:eastAsia="Times New Roman" w:hAnsi="Times New Roman"/>
          <w:sz w:val="14"/>
          <w:szCs w:val="14"/>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during which we could be unable to continue to offer our affected products, subscriptions or services, effort, and expense and may ultimately not be successful. Furthermore, a successful claimant could secure a judgment or we may agree to a settlement that prevents us from distributing certain products, providing certain subscriptions or performing certain services or that requires us to pay substantial damages, royalties or other fees. Any of these events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74" w:name="page75"/>
    <w:bookmarkEnd w:id="7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license technology from third parties, and our inability to maintain those licenses could harm our business.</w:t>
      </w:r>
    </w:p>
    <w:p>
      <w:pPr>
        <w:spacing w:after="0" w:line="188" w:lineRule="exact"/>
        <w:rPr>
          <w:sz w:val="20"/>
          <w:szCs w:val="20"/>
          <w:color w:val="auto"/>
        </w:rPr>
      </w:pPr>
    </w:p>
    <w:p>
      <w:pPr>
        <w:ind w:firstLine="517"/>
        <w:spacing w:after="0" w:line="262" w:lineRule="auto"/>
        <w:rPr>
          <w:sz w:val="20"/>
          <w:szCs w:val="20"/>
          <w:color w:val="auto"/>
        </w:rPr>
      </w:pPr>
      <w:r>
        <w:rPr>
          <w:rFonts w:ascii="Times New Roman" w:cs="Times New Roman" w:eastAsia="Times New Roman" w:hAnsi="Times New Roman"/>
          <w:sz w:val="14"/>
          <w:szCs w:val="14"/>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42" w:lineRule="exact"/>
        <w:rPr>
          <w:sz w:val="20"/>
          <w:szCs w:val="20"/>
          <w:color w:val="auto"/>
        </w:rPr>
      </w:pPr>
    </w:p>
    <w:p>
      <w:pPr>
        <w:ind w:right="56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If we are not able to satisfy data protection, security, privacy, and other government- and industry-specific requirements or regulations, our business, results of operations, and financial condition could be harmed.</w:t>
      </w:r>
    </w:p>
    <w:p>
      <w:pPr>
        <w:spacing w:after="0" w:line="119" w:lineRule="exact"/>
        <w:rPr>
          <w:sz w:val="20"/>
          <w:szCs w:val="20"/>
          <w:color w:val="auto"/>
        </w:rPr>
      </w:pPr>
    </w:p>
    <w:p>
      <w:pPr>
        <w:ind w:right="40" w:firstLine="517"/>
        <w:spacing w:after="0" w:line="260" w:lineRule="auto"/>
        <w:rPr>
          <w:sz w:val="20"/>
          <w:szCs w:val="20"/>
          <w:color w:val="auto"/>
        </w:rPr>
      </w:pPr>
      <w:r>
        <w:rPr>
          <w:rFonts w:ascii="Times New Roman" w:cs="Times New Roman" w:eastAsia="Times New Roman" w:hAnsi="Times New Roman"/>
          <w:sz w:val="14"/>
          <w:szCs w:val="14"/>
          <w:color w:val="auto"/>
        </w:rPr>
        <w:t>Personal privacy, data protection, information security, telecommunications regulations, and other laws applicable to specific categories of information are significant issues in the United States, Europe and in other jurisdictions where we offer our solutions. The data that we collect, analyze, and store is subject to a variety of laws and regulations, including regulation by various government agencies. The U.S. federal government, and various state and foreign governments, have adopted or proposed limitations on the collection, distribution, use, and storage of certain categories of information, such as personally identifiable information of individuals, health information, and other sector-specific types of data, including the Federal Trade Commission, the Electronic Communication Privacy Act, Computer Fraud and Abuse Act, HIPAA, and the Gramm Leach Bliley Act. Laws and regulations outside the United States, and particularly in Europe, often are more restrictive than those in the United States. Such laws and regulations may require companies to implement privacy and security policies, permit customers to access, correct, and delete personal information stored or maintained by such companies, inform individuals of security breaches that affect their personal information, and, in some cases, obtain individuals’ consent to use personally identifiable information for certain purposes. In addition, some foreign governments require that any information of certain categories, such as financial or personally identifiable information collected in a country not be disseminated outside of that country. We also may find it necessary or desirable to join industry or other self-regulatory bodies or other information security or data protection-related organizations that require compliance with their rules pertaining to information security and data protection. We also may be bound by additional, more stringent contractual obligations relating to our collection, use and disclosure of personal, financial, and other data.</w:t>
      </w:r>
    </w:p>
    <w:p>
      <w:pPr>
        <w:spacing w:after="0" w:line="151" w:lineRule="exact"/>
        <w:rPr>
          <w:sz w:val="20"/>
          <w:szCs w:val="20"/>
          <w:color w:val="auto"/>
        </w:rPr>
      </w:pPr>
    </w:p>
    <w:p>
      <w:pPr>
        <w:ind w:firstLine="517"/>
        <w:spacing w:after="0" w:line="259" w:lineRule="auto"/>
        <w:rPr>
          <w:sz w:val="20"/>
          <w:szCs w:val="20"/>
          <w:color w:val="auto"/>
        </w:rPr>
      </w:pPr>
      <w:r>
        <w:rPr>
          <w:rFonts w:ascii="Times New Roman" w:cs="Times New Roman" w:eastAsia="Times New Roman" w:hAnsi="Times New Roman"/>
          <w:sz w:val="14"/>
          <w:szCs w:val="14"/>
          <w:color w:val="auto"/>
        </w:rPr>
        <w:t>We also expect that there will continue to be new proposed laws, regulations, and industry standards concerning privacy, data protection, information security, specific categories of data, electronic, and telecommunications services in the United States, the European Union and other jurisdictions in which we operate or may operate, and we cannot yet determine the impact such future laws, regulations, standards, or perception of their requirements may have on our business. For example, the European Commission recently adopted the European General Data Protection Regulation, or GDPR, that became fully effective in May 2018, and applies to the processing (which includes the collection and use) of certain personal data. As compared to previously-effective data protection law in the European Union, the GDPR imposes additional obligations and risk upon our business and increases substantially the penalties to which we could be subject in the event of any non-compliance. Administrative fines under the GDPR can amount up to 20 million Euros or four percent of our worldwide annual revenue for the prior fiscal year, whichever is higher. We have incurred substantial expense in complying with the obligations imposed by the GDPR and we may be required to do so in the future, potentially making significant changes in our business operations, which may adversely affect our revenue and our business overall. Additionally, because there have been very few GDPR actions enforced against companies, we are unable to predict how they will be applied to us or our customers. Despite our efforts to attempt to comply with the GDPR, a regulator may determine that we have not done so and subject us to fines and public censure, which could harm our company. Among other requirements, the GDPR regulates transfers of personal data subject to the GDPR to third countries that have not been found to provide adequate protection to such personal data, including the United States. We have undertaken certain efforts to conform transfers of personal data from the European Economic Area, or EEA, to the United States and other jurisdictions based on our understanding of current regulatory obligations and the guidance of data protection authorities. Despite this, we may be unsuccessful in establishing or maintaining conforming means of transferring such data from the EEA, in particular as a result of continued legal and legislative activity within the European Union that has challenged or called into question the legal basis for existing means of data transfers to countries that have not been found to provide adequate protection for personal data.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5" w:name="page76"/>
    <w:bookmarkEnd w:id="7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517"/>
        <w:spacing w:after="0" w:line="263" w:lineRule="auto"/>
        <w:rPr>
          <w:sz w:val="20"/>
          <w:szCs w:val="20"/>
          <w:color w:val="auto"/>
        </w:rPr>
      </w:pPr>
      <w:r>
        <w:rPr>
          <w:rFonts w:ascii="Times New Roman" w:cs="Times New Roman" w:eastAsia="Times New Roman" w:hAnsi="Times New Roman"/>
          <w:sz w:val="14"/>
          <w:szCs w:val="14"/>
          <w:color w:val="auto"/>
        </w:rPr>
        <w:t>The implementation of the GDPR has led other jurisdictions to either amend, or propose legislation to amend their existing data privacy and cybersecurity laws to resemble all or a portion of the requirements of the GDPR (e.g., for purposes of having an adequate level of data protection to facilitate data transfers from the EU) or enact new laws to do the same. Accordingly, the challenges we face in the EU will likely also apply to other jurisdictions outside the EU that adopt laws similar in construction to the GDPR or regulatory frameworks of equivalent complexity. For example, on June 28, 2018, California adopted the California Consumer Privacy Act of 2018, or CCPA. The CCPA has been characterized as the first “GDPR-like” privacy statute to be enacted in the United States because it contains a number of provisions similar to certain provisions of the GDPR. Because of this, we may need to engage in data mapping to identify any consumer information that we may be collecting from our customers through our Falcon platform. In addition, we will need to ensure that our policies permit our customers to recognize the rights granted to consumers by the CCPA. All of this will need to be done before the effective date of the CCPA on January 1, 2020.</w:t>
      </w:r>
    </w:p>
    <w:p>
      <w:pPr>
        <w:spacing w:after="0" w:line="145" w:lineRule="exact"/>
        <w:rPr>
          <w:sz w:val="20"/>
          <w:szCs w:val="20"/>
          <w:color w:val="auto"/>
        </w:rPr>
      </w:pPr>
    </w:p>
    <w:p>
      <w:pPr>
        <w:ind w:right="80" w:firstLine="517"/>
        <w:spacing w:after="0" w:line="263" w:lineRule="auto"/>
        <w:rPr>
          <w:sz w:val="20"/>
          <w:szCs w:val="20"/>
          <w:color w:val="auto"/>
        </w:rPr>
      </w:pPr>
      <w:r>
        <w:rPr>
          <w:rFonts w:ascii="Times New Roman" w:cs="Times New Roman" w:eastAsia="Times New Roman" w:hAnsi="Times New Roman"/>
          <w:sz w:val="14"/>
          <w:szCs w:val="14"/>
          <w:color w:val="auto"/>
        </w:rPr>
        <w:t>Evolving and changing definitions of personal data and personal information within the European Union, the United States, and elsewhere, especially relating to classification of IP addresses, machine identification, location data and other information, may limit or inhibit our ability to operate or expand our business, including limiting technology alliance partnerships that may involve the sharing of data. Even the perception of privacy concerns, whether or not valid, may harm our reputation, inhibit adoption of our products by current and future customers, or adversely impact our ability to attract and retain workforce talent. In addition, changes in laws or regulations that adversely affect the use of the internet, including laws impacting net neutrality, could impact our business. We expect that existing laws, regulations and standards may be interpreted in new manners in the future. Future laws, regulations, standards and other obligations, and changes in the interpretation of existing laws, regulations, standards and other obligations could require us to modify our solutions, restrict our business operations, increase our costs and impair our ability to maintain and grow our customer base and increase our revenue.</w:t>
      </w:r>
    </w:p>
    <w:p>
      <w:pPr>
        <w:spacing w:after="0" w:line="145" w:lineRule="exact"/>
        <w:rPr>
          <w:sz w:val="20"/>
          <w:szCs w:val="20"/>
          <w:color w:val="auto"/>
        </w:rPr>
      </w:pPr>
    </w:p>
    <w:p>
      <w:pPr>
        <w:ind w:right="100" w:firstLine="517"/>
        <w:spacing w:after="0" w:line="275" w:lineRule="auto"/>
        <w:rPr>
          <w:sz w:val="20"/>
          <w:szCs w:val="20"/>
          <w:color w:val="auto"/>
        </w:rPr>
      </w:pPr>
      <w:r>
        <w:rPr>
          <w:rFonts w:ascii="Times New Roman" w:cs="Times New Roman" w:eastAsia="Times New Roman" w:hAnsi="Times New Roman"/>
          <w:sz w:val="14"/>
          <w:szCs w:val="14"/>
          <w:color w:val="auto"/>
        </w:rPr>
        <w:t>Beyond broader data processing regulations affecting our business, the cybersecurity industry may face direct regulation. In 2018, Singapore introduced what is believed to be the world’s first cybersecurity licensing requirement, mandating that providers of specific types of incident response services receive a government license before providing such services. License requirements such as these may impose upon CrowdStrike significant organizational costs and high barriers of entry into new markets.</w:t>
      </w:r>
    </w:p>
    <w:p>
      <w:pPr>
        <w:spacing w:after="0" w:line="136" w:lineRule="exact"/>
        <w:rPr>
          <w:sz w:val="20"/>
          <w:szCs w:val="20"/>
          <w:color w:val="auto"/>
        </w:rPr>
      </w:pPr>
    </w:p>
    <w:p>
      <w:pPr>
        <w:ind w:right="20" w:firstLine="517"/>
        <w:spacing w:after="0" w:line="260" w:lineRule="auto"/>
        <w:rPr>
          <w:sz w:val="20"/>
          <w:szCs w:val="20"/>
          <w:color w:val="auto"/>
        </w:rPr>
      </w:pPr>
      <w:r>
        <w:rPr>
          <w:rFonts w:ascii="Times New Roman" w:cs="Times New Roman" w:eastAsia="Times New Roman" w:hAnsi="Times New Roman"/>
          <w:sz w:val="14"/>
          <w:szCs w:val="14"/>
          <w:color w:val="auto"/>
        </w:rPr>
        <w:t>Although we work to comply with applicable laws and regulations, certain applicable industry standards with which we represent compliance, and our contractual obligations and other legal obligations, those laws, regulations, standards and obligations are evolving and may be modified, interpreted and applied in an inconsistent manner from one jurisdiction to another, and may conflict with one another. In addition, they may conflict with other requirements or legal obligations that apply to our business or the security features and services that our customers expect from our solutions. As such, we cannot assure ongoing compliance with all such laws, regulations, standards and obligations. Any failure or perceived failure by us or our employees, representatives, contractors, channel partners, agents, intermediaries, or other third parties to comply with applicable laws and regulations, or applicable industry standards that we represent compliance with or that may be asserted to apply to us, or to comply with employee, customer, partner, and other data privacy and data security requirements pursuant to contract and our stated notices or policies, could result in enforcement actions against us, including fines, imprisonment of company officials and public censure, claims for damages by customers and other affected individuals, damage to our reputation and loss of goodwill (both in relation to existing customers and prospective customers), any of which could have a material adverse effect on our operations, financial performance and business. Any inability of us or our employees, representatives, contractors, channel partners, agents, intermediaries, or other third parties to adequately address privacy and security concerns, even if unfounded, or comply with applicable laws, regulations, standards and obligations, could result in additional cost and liability to us, damage our reputation, inhibit sales, and adversely affect our business and results of operations.</w:t>
      </w:r>
    </w:p>
    <w:p>
      <w:pPr>
        <w:spacing w:after="0" w:line="321"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laws and regulations applicable to our business could subject us to fines and penalties and could also cause us to lose customers in the public sector or negatively impact our ability to contract with the public sector.</w:t>
      </w:r>
    </w:p>
    <w:p>
      <w:pPr>
        <w:spacing w:after="0" w:line="119" w:lineRule="exact"/>
        <w:rPr>
          <w:sz w:val="20"/>
          <w:szCs w:val="20"/>
          <w:color w:val="auto"/>
        </w:rPr>
      </w:pPr>
    </w:p>
    <w:p>
      <w:pPr>
        <w:ind w:right="160" w:firstLine="517"/>
        <w:spacing w:after="0" w:line="274" w:lineRule="auto"/>
        <w:rPr>
          <w:sz w:val="20"/>
          <w:szCs w:val="20"/>
          <w:color w:val="auto"/>
        </w:rPr>
      </w:pPr>
      <w:r>
        <w:rPr>
          <w:rFonts w:ascii="Times New Roman" w:cs="Times New Roman" w:eastAsia="Times New Roman" w:hAnsi="Times New Roman"/>
          <w:sz w:val="14"/>
          <w:szCs w:val="14"/>
          <w:color w:val="auto"/>
        </w:rPr>
        <w:t>Our business is subject to regulation by various federal, state, local and foreign governmental agencies, including agencies responsible for monitoring and enforcing privacy and data protection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Noncompliance by us, our employees, representatives, contractors, channel partners, agents, intermediaries, or other third parties with applicable regulations or requirements could subject us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6363970</wp:posOffset>
            </wp:positionH>
            <wp:positionV relativeFrom="paragraph">
              <wp:posOffset>-142240</wp:posOffset>
            </wp:positionV>
            <wp:extent cx="2476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765" cy="6985"/>
                    </a:xfrm>
                    <a:prstGeom prst="rect">
                      <a:avLst/>
                    </a:prstGeom>
                    <a:noFill/>
                  </pic:spPr>
                </pic:pic>
              </a:graphicData>
            </a:graphic>
          </wp:anchor>
        </w:drawing>
      </w:r>
    </w:p>
    <w:p>
      <w:pPr>
        <w:spacing w:after="0" w:line="118" w:lineRule="exact"/>
        <w:rPr>
          <w:sz w:val="20"/>
          <w:szCs w:val="20"/>
          <w:color w:val="auto"/>
        </w:rPr>
      </w:pPr>
    </w:p>
    <w:p>
      <w:pPr>
        <w:ind w:left="780" w:hanging="257"/>
        <w:spacing w:after="0"/>
        <w:tabs>
          <w:tab w:leader="none" w:pos="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investigations, enforcement actions and sanctions;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20"/>
          </w:cols>
          <w:pgMar w:left="220" w:top="125" w:right="259" w:bottom="1440" w:gutter="0" w:footer="0" w:header="0"/>
        </w:sectPr>
      </w:pPr>
    </w:p>
    <w:bookmarkStart w:id="76" w:name="page77"/>
    <w:bookmarkEnd w:id="7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80" w:hanging="257"/>
        <w:spacing w:after="0"/>
        <w:tabs>
          <w:tab w:leader="none" w:pos="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mandatory changes to our Falcon platform;</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disgorgement of profits, fines and damages;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civil and criminal penalties or injunctions;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claims for damages by our customers or channel partners;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contracts;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intellectual property rights; and</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intellectual property rights; and</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temporary or permanent debarment from sales to government organizations.</w:t>
      </w:r>
    </w:p>
    <w:p>
      <w:pPr>
        <w:spacing w:after="0" w:line="184" w:lineRule="exact"/>
        <w:rPr>
          <w:sz w:val="20"/>
          <w:szCs w:val="20"/>
          <w:color w:val="auto"/>
        </w:rPr>
      </w:pPr>
    </w:p>
    <w:p>
      <w:pPr>
        <w:ind w:right="200" w:firstLine="517"/>
        <w:spacing w:after="0" w:line="275" w:lineRule="auto"/>
        <w:rPr>
          <w:sz w:val="20"/>
          <w:szCs w:val="20"/>
          <w:color w:val="auto"/>
        </w:rPr>
      </w:pPr>
      <w:r>
        <w:rPr>
          <w:rFonts w:ascii="Times New Roman" w:cs="Times New Roman" w:eastAsia="Times New Roman" w:hAnsi="Times New Roman"/>
          <w:sz w:val="14"/>
          <w:szCs w:val="14"/>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36" w:lineRule="exact"/>
        <w:rPr>
          <w:sz w:val="20"/>
          <w:szCs w:val="20"/>
          <w:color w:val="auto"/>
        </w:rPr>
      </w:pPr>
    </w:p>
    <w:p>
      <w:pPr>
        <w:ind w:right="220" w:firstLine="517"/>
        <w:spacing w:after="0" w:line="294" w:lineRule="auto"/>
        <w:rPr>
          <w:sz w:val="20"/>
          <w:szCs w:val="20"/>
          <w:color w:val="auto"/>
        </w:rPr>
      </w:pPr>
      <w:r>
        <w:rPr>
          <w:rFonts w:ascii="Times New Roman" w:cs="Times New Roman" w:eastAsia="Times New Roman" w:hAnsi="Times New Roman"/>
          <w:sz w:val="14"/>
          <w:szCs w:val="14"/>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123" w:lineRule="exact"/>
        <w:rPr>
          <w:sz w:val="20"/>
          <w:szCs w:val="20"/>
          <w:color w:val="auto"/>
        </w:rPr>
      </w:pPr>
    </w:p>
    <w:p>
      <w:pPr>
        <w:ind w:right="20" w:firstLine="517"/>
        <w:spacing w:after="0" w:line="268" w:lineRule="auto"/>
        <w:rPr>
          <w:sz w:val="20"/>
          <w:szCs w:val="20"/>
          <w:color w:val="auto"/>
        </w:rPr>
      </w:pPr>
      <w:r>
        <w:rPr>
          <w:rFonts w:ascii="Times New Roman" w:cs="Times New Roman" w:eastAsia="Times New Roman" w:hAnsi="Times New Roman"/>
          <w:sz w:val="14"/>
          <w:szCs w:val="14"/>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the public sector could result in reduced sales of our products, substantial product inventory write-offs, reputational damage, penalties, and other sanctions, any of which could harm our business, reputation, and results of operations.</w:t>
      </w:r>
    </w:p>
    <w:p>
      <w:pPr>
        <w:spacing w:after="0" w:line="311" w:lineRule="exact"/>
        <w:rPr>
          <w:sz w:val="20"/>
          <w:szCs w:val="20"/>
          <w:color w:val="auto"/>
        </w:rPr>
      </w:pPr>
    </w:p>
    <w:p>
      <w:pPr>
        <w:ind w:right="34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laws and regulations, including governmental export and import controls, sanctions, and anti-corruption laws, that could impair our ability to compete in our markets and subject us to liability if we are not in full compliance with applicable laws.</w:t>
      </w:r>
    </w:p>
    <w:p>
      <w:pPr>
        <w:spacing w:after="0" w:line="119" w:lineRule="exact"/>
        <w:rPr>
          <w:sz w:val="20"/>
          <w:szCs w:val="20"/>
          <w:color w:val="auto"/>
        </w:rPr>
      </w:pPr>
    </w:p>
    <w:p>
      <w:pPr>
        <w:ind w:firstLine="517"/>
        <w:spacing w:after="0" w:line="261" w:lineRule="auto"/>
        <w:rPr>
          <w:sz w:val="20"/>
          <w:szCs w:val="20"/>
          <w:color w:val="auto"/>
        </w:rPr>
      </w:pPr>
      <w:r>
        <w:rPr>
          <w:rFonts w:ascii="Times New Roman" w:cs="Times New Roman" w:eastAsia="Times New Roman" w:hAnsi="Times New Roman"/>
          <w:sz w:val="14"/>
          <w:szCs w:val="14"/>
          <w:color w:val="auto"/>
        </w:rPr>
        <w:t>We are subject to laws and regulations, including governmental export controls, that could subject us to liability or impair our ability to compete in our markets. Our products are subject to U.S. export controls, including the U.S. Department of Commerce’s Export Administration Regulations, and we and our employees, representatives, contractors, agents, intermediaries, and other third parties are also subject to various economic and trade sanctions regulations administered by the U.S. Treasury Department’s Office of Foreign Assets Control. We incorporate standard encryption algorithms into our products, which, along with the underlying technology, may be exported outside of the U.S. only with the required export authorizations, including by license, license exception or other appropriate government authorizations, which may require the filing of an encryption registration and classification request. Furthermore, U.S. export control laws and economic sanctions prohibit the shipment of certain cloud-based solutions to countries, governments, and persons targeted by U.S. sanctions. We also collect information about cyber threats from open sources, intermediaries, and third parties that we make available to our customers in our threat industry publications. While we have implemented certain procedures to facilitate compliance with applicable laws and regulations in connection with the collection of this information, we cannot assure you that these procedures have been effective or that we, or third parties, many of whom we do not control, have complied with all laws or regulations in this regard. Failure by our employees, representatives, contractors, channel partners, agents, intermediaries, or other third parties to comply with applicable laws and regulations in the collection of this information also could have negative consequences to us, including reputational harm, government investigations and penalties.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7" w:name="page78"/>
    <w:bookmarkEnd w:id="7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80" w:firstLine="517"/>
        <w:spacing w:after="0" w:line="266" w:lineRule="auto"/>
        <w:rPr>
          <w:sz w:val="20"/>
          <w:szCs w:val="20"/>
          <w:color w:val="auto"/>
        </w:rPr>
      </w:pPr>
      <w:r>
        <w:rPr>
          <w:rFonts w:ascii="Times New Roman" w:cs="Times New Roman" w:eastAsia="Times New Roman" w:hAnsi="Times New Roman"/>
          <w:sz w:val="14"/>
          <w:szCs w:val="14"/>
          <w:color w:val="auto"/>
        </w:rPr>
        <w:t>Although we take precautions to prevent our information collection practices and services from being provided in violation of such laws, our information collection practices and services may have been in the past, and could in the future be, provided in violation of such laws. If we or our employees, representatives, contractors, channel partners, agents, intermediaries, or other third parties fail to comply with these laws and regulations, we could be subject to civil or criminal penalties, including the possible loss of export privileges and fines. We may also be adversely affected through reputational harm, loss of access to certain markets, or otherwise. Obtaining the necessary authorizations, including any required license, for a particular transaction may be time-consuming, is not guaranteed and may result in the delay or loss of sales opportunities.</w:t>
      </w:r>
    </w:p>
    <w:p>
      <w:pPr>
        <w:spacing w:after="0" w:line="142" w:lineRule="exact"/>
        <w:rPr>
          <w:sz w:val="20"/>
          <w:szCs w:val="20"/>
          <w:color w:val="auto"/>
        </w:rPr>
      </w:pPr>
    </w:p>
    <w:p>
      <w:pPr>
        <w:ind w:right="20" w:firstLine="517"/>
        <w:spacing w:after="0" w:line="263" w:lineRule="auto"/>
        <w:rPr>
          <w:sz w:val="20"/>
          <w:szCs w:val="20"/>
          <w:color w:val="auto"/>
        </w:rPr>
      </w:pPr>
      <w:r>
        <w:rPr>
          <w:rFonts w:ascii="Times New Roman" w:cs="Times New Roman" w:eastAsia="Times New Roman" w:hAnsi="Times New Roman"/>
          <w:sz w:val="14"/>
          <w:szCs w:val="14"/>
          <w:color w:val="auto"/>
        </w:rPr>
        <w:t>Various countries regulate the import of certain encryption technology, including through import permit and license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into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results of operations, and financial condition.</w:t>
      </w:r>
    </w:p>
    <w:p>
      <w:pPr>
        <w:spacing w:after="0" w:line="145" w:lineRule="exact"/>
        <w:rPr>
          <w:sz w:val="20"/>
          <w:szCs w:val="20"/>
          <w:color w:val="auto"/>
        </w:rPr>
      </w:pPr>
    </w:p>
    <w:p>
      <w:pPr>
        <w:ind w:firstLine="517"/>
        <w:spacing w:after="0" w:line="260" w:lineRule="auto"/>
        <w:rPr>
          <w:sz w:val="20"/>
          <w:szCs w:val="20"/>
          <w:color w:val="auto"/>
        </w:rPr>
      </w:pPr>
      <w:r>
        <w:rPr>
          <w:rFonts w:ascii="Times New Roman" w:cs="Times New Roman" w:eastAsia="Times New Roman" w:hAnsi="Times New Roman"/>
          <w:sz w:val="14"/>
          <w:szCs w:val="14"/>
          <w:color w:val="auto"/>
        </w:rPr>
        <w:t>We are also subject to the U.S. Foreign Corrupt Practices Act of 1977, or FCPA, the UK Bribery Act 2010, or Bribery Act, and other anti-corruption, sanctions, anti-bribery, anti-money laundering and similar laws in the United States and other countries in which we conduct activities. Anti-corruption and anti-bribery laws, which have been enforced aggressively and are interpreted broadly, prohibit companies and their employees, agents, intermediaries, and other third parties from promising, authorizing, making or offering improper payments or other benefits to government officials and others in the private sector. We leverage third parties, including intermediaries, agents, and channel partners, to conduct our business in the U.S. and abroad, to sell subscriptions to our Falcon platform and to collect information about cyber threats. We and these third-parties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agents, intermediaries, and other third parties, even if we do not explicitly authorize such activities. While we have policies and procedures to address compliance with FCPA, Bribery Act and other anti-corruption, sanctions, anti-bribery, anti-money laundering and similar laws, we cannot assure you that they will be effective, or that all of our employees, representatives, contractors, channel partners, agents, intermediaries, or other third parties have taken, or will not take actions, in violation of our policies and applicable law, for which we may be ultimately held responsible. As we increase our international sales and business, our risks under these laws may increase. Noncompliance with these laws could subject us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harm our reputation, business, results of operations and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Some of our technology incorporates “open source” software, which could negatively affect our ability to sell our Falcon platform and subject us to possible litigation.</w:t>
      </w:r>
    </w:p>
    <w:p>
      <w:pPr>
        <w:spacing w:after="0" w:line="188" w:lineRule="exact"/>
        <w:rPr>
          <w:sz w:val="20"/>
          <w:szCs w:val="20"/>
          <w:color w:val="auto"/>
        </w:rPr>
      </w:pPr>
    </w:p>
    <w:p>
      <w:pPr>
        <w:ind w:right="80" w:firstLine="517"/>
        <w:spacing w:after="0" w:line="269" w:lineRule="auto"/>
        <w:rPr>
          <w:sz w:val="20"/>
          <w:szCs w:val="20"/>
          <w:color w:val="auto"/>
        </w:rPr>
      </w:pPr>
      <w:r>
        <w:rPr>
          <w:rFonts w:ascii="Times New Roman" w:cs="Times New Roman" w:eastAsia="Times New Roman" w:hAnsi="Times New Roman"/>
          <w:sz w:val="14"/>
          <w:szCs w:val="14"/>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40" w:lineRule="exact"/>
        <w:rPr>
          <w:sz w:val="20"/>
          <w:szCs w:val="20"/>
          <w:color w:val="auto"/>
        </w:rPr>
      </w:pPr>
    </w:p>
    <w:p>
      <w:pPr>
        <w:ind w:right="20" w:firstLine="517"/>
        <w:spacing w:after="0" w:line="266" w:lineRule="auto"/>
        <w:rPr>
          <w:sz w:val="20"/>
          <w:szCs w:val="20"/>
          <w:color w:val="auto"/>
        </w:rPr>
      </w:pPr>
      <w:r>
        <w:rPr>
          <w:rFonts w:ascii="Times New Roman" w:cs="Times New Roman" w:eastAsia="Times New Roman" w:hAnsi="Times New Roman"/>
          <w:sz w:val="14"/>
          <w:szCs w:val="14"/>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78" w:name="page79"/>
    <w:bookmarkEnd w:id="7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517"/>
        <w:spacing w:after="0" w:line="262" w:lineRule="auto"/>
        <w:rPr>
          <w:sz w:val="20"/>
          <w:szCs w:val="20"/>
          <w:color w:val="auto"/>
        </w:rPr>
      </w:pPr>
      <w:r>
        <w:rPr>
          <w:rFonts w:ascii="Times New Roman" w:cs="Times New Roman" w:eastAsia="Times New Roman" w:hAnsi="Times New Roman"/>
          <w:sz w:val="14"/>
          <w:szCs w:val="14"/>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322" w:lineRule="exact"/>
        <w:rPr>
          <w:sz w:val="20"/>
          <w:szCs w:val="20"/>
          <w:color w:val="auto"/>
        </w:rPr>
      </w:pPr>
    </w:p>
    <w:p>
      <w:pPr>
        <w:ind w:left="780" w:hanging="257"/>
        <w:spacing w:after="0"/>
        <w:tabs>
          <w:tab w:leader="none" w:pos="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resulting in time-consuming and costly litigation;</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diverting management’s time and attention from developing our business;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pay monetary damages or enter into royalty and licensing agreements that we would not normally find acceptable;</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causing delays in the deployment of our Falcon platform or service offerings to our customers;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stop offering certain services or features of our Falcon platform;</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redesign certain components of our Falcon platform using alternative non-infringing or non-open source technology, which could require significant effort and expense;</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disclose our software source code and the detailed program commands for our software; and</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satisfy indemnification obligations to our customers.</w:t>
      </w:r>
    </w:p>
    <w:p>
      <w:pPr>
        <w:spacing w:after="0" w:line="180"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19" w:lineRule="exact"/>
        <w:rPr>
          <w:sz w:val="20"/>
          <w:szCs w:val="20"/>
          <w:color w:val="auto"/>
        </w:rPr>
      </w:pPr>
    </w:p>
    <w:p>
      <w:pPr>
        <w:ind w:firstLine="517"/>
        <w:spacing w:after="0" w:line="264" w:lineRule="auto"/>
        <w:rPr>
          <w:sz w:val="20"/>
          <w:szCs w:val="20"/>
          <w:color w:val="auto"/>
        </w:rPr>
      </w:pPr>
      <w:r>
        <w:rPr>
          <w:rFonts w:ascii="Times New Roman" w:cs="Times New Roman" w:eastAsia="Times New Roman" w:hAnsi="Times New Roman"/>
          <w:sz w:val="14"/>
          <w:szCs w:val="14"/>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If we are unable to meet our stated service level commitments or if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 for such commitments. Our revenue, other results of operations and financial condition could be harmed if we suffer performance issues or downtime that exceeds the service level commitments under our agreements with our customers.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become involved in litigation that may adversely affect us.</w:t>
      </w:r>
    </w:p>
    <w:p>
      <w:pPr>
        <w:spacing w:after="0" w:line="188" w:lineRule="exact"/>
        <w:rPr>
          <w:sz w:val="20"/>
          <w:szCs w:val="20"/>
          <w:color w:val="auto"/>
        </w:rPr>
      </w:pPr>
    </w:p>
    <w:p>
      <w:pPr>
        <w:ind w:right="240" w:firstLine="517"/>
        <w:spacing w:after="0" w:line="261" w:lineRule="auto"/>
        <w:rPr>
          <w:sz w:val="20"/>
          <w:szCs w:val="20"/>
          <w:color w:val="auto"/>
        </w:rPr>
      </w:pPr>
      <w:r>
        <w:rPr>
          <w:rFonts w:ascii="Times New Roman" w:cs="Times New Roman" w:eastAsia="Times New Roman" w:hAnsi="Times New Roman"/>
          <w:sz w:val="14"/>
          <w:szCs w:val="14"/>
          <w:color w:val="auto"/>
        </w:rPr>
        <w:t>We are regularly subject to claims, suits, and government investigations and other proceedings including patent, product liability, class action, whistleblower, personal injury, property damage, labor and employment, commercial disputes, compliance with laws and regulatory requirements and other matters, and we may become subject to additional types of claims, suits, investigations and proceedings as our business develops. For example, we, along with certain other cybersecurity providers, currently are subject to a civil investigation regarding participation in cybersecurity testing standard-setting and allegations that this standard-setting facilitated a concerted refusal to deal with cybersecurity testing organizations that did not adhere to those standards. While we believe that we have acted in compliance in all material respects with applicable antitrust laws, such investigation, as well as any other claims, suits, and government investigations and proceedings that may be asserted against us in the future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79" w:name="page80"/>
    <w:bookmarkEnd w:id="7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proceedings could result in substantial damages, settlement costs, fines and penalties that 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maintain customer satisfaction depends in part on the quality of our customer support.</w:t>
      </w:r>
    </w:p>
    <w:p>
      <w:pPr>
        <w:spacing w:after="0" w:line="188" w:lineRule="exact"/>
        <w:rPr>
          <w:sz w:val="20"/>
          <w:szCs w:val="20"/>
          <w:color w:val="auto"/>
        </w:rPr>
      </w:pPr>
    </w:p>
    <w:p>
      <w:pPr>
        <w:ind w:right="180" w:firstLine="517"/>
        <w:spacing w:after="0" w:line="269" w:lineRule="auto"/>
        <w:rPr>
          <w:sz w:val="20"/>
          <w:szCs w:val="20"/>
          <w:color w:val="auto"/>
        </w:rPr>
      </w:pPr>
      <w:r>
        <w:rPr>
          <w:rFonts w:ascii="Times New Roman" w:cs="Times New Roman" w:eastAsia="Times New Roman" w:hAnsi="Times New Roman"/>
          <w:sz w:val="14"/>
          <w:szCs w:val="14"/>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our ability to sell additional modules as part of our Falcon platform to existing customers would be adversely affected and our reputation with potential customers could be damaged. Many larger organizations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136"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19" w:lineRule="exact"/>
        <w:rPr>
          <w:sz w:val="20"/>
          <w:szCs w:val="20"/>
          <w:color w:val="auto"/>
        </w:rPr>
      </w:pPr>
    </w:p>
    <w:p>
      <w:pPr>
        <w:ind w:right="60" w:firstLine="517"/>
        <w:spacing w:after="0" w:line="262" w:lineRule="auto"/>
        <w:rPr>
          <w:sz w:val="20"/>
          <w:szCs w:val="20"/>
          <w:color w:val="auto"/>
        </w:rPr>
      </w:pPr>
      <w:r>
        <w:rPr>
          <w:rFonts w:ascii="Times New Roman" w:cs="Times New Roman" w:eastAsia="Times New Roman" w:hAnsi="Times New Roman"/>
          <w:sz w:val="14"/>
          <w:szCs w:val="14"/>
          <w:color w:val="auto"/>
        </w:rPr>
        <w:t>We expect that our existing cash and cash equivalents and marketable securities will be sufficient to meet our anticipated cash needs for working capital and capital expenditures for at least the next 12 months. Retaining or expanding our current levels of personnel and products offerings may require additional funds to respond to business challenges, including the need to develop new products and enhancements to our Falcon platform, improve our operating infrastructure, or acquire complementary businesses and technologies. Our failure to raise additional capital or generate the significant capital necessary to expand our operations and invest in new products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debt financing, the holders of debt would have priority over the holders of our Class A common stock, and we may be required to accept terms that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42"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the risks of warranty claims, product returns,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19" w:lineRule="exact"/>
        <w:rPr>
          <w:sz w:val="20"/>
          <w:szCs w:val="20"/>
          <w:color w:val="auto"/>
        </w:rPr>
      </w:pPr>
    </w:p>
    <w:p>
      <w:pPr>
        <w:ind w:firstLine="517"/>
        <w:spacing w:after="0" w:line="266" w:lineRule="auto"/>
        <w:rPr>
          <w:sz w:val="20"/>
          <w:szCs w:val="20"/>
          <w:color w:val="auto"/>
        </w:rPr>
      </w:pPr>
      <w:r>
        <w:rPr>
          <w:rFonts w:ascii="Times New Roman" w:cs="Times New Roman" w:eastAsia="Times New Roman" w:hAnsi="Times New Roman"/>
          <w:sz w:val="14"/>
          <w:szCs w:val="14"/>
          <w:color w:val="auto"/>
        </w:rPr>
        <w:t>We may be subject to liability claims for damages related to errors or defects in our solutions.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do not cover our indemnification obligations as described in the section titled “Management’s Discussion and Analysis of Financial Condition and Results of Operations—Indemnification”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spacing w:after="0" w:line="142" w:lineRule="exact"/>
        <w:rPr>
          <w:sz w:val="20"/>
          <w:szCs w:val="20"/>
          <w:color w:val="auto"/>
        </w:rPr>
      </w:pPr>
    </w:p>
    <w:p>
      <w:pPr>
        <w:ind w:firstLine="517"/>
        <w:spacing w:after="0" w:line="266" w:lineRule="auto"/>
        <w:rPr>
          <w:sz w:val="20"/>
          <w:szCs w:val="20"/>
          <w:color w:val="auto"/>
        </w:rPr>
      </w:pPr>
      <w:r>
        <w:rPr>
          <w:rFonts w:ascii="Times New Roman" w:cs="Times New Roman" w:eastAsia="Times New Roman" w:hAnsi="Times New Roman"/>
          <w:sz w:val="14"/>
          <w:szCs w:val="14"/>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not to date received any indemnification claims from third parties. However, as we continue to grow, the possibility of these claims against us will increase.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0" w:name="page81"/>
    <w:bookmarkEnd w:id="8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firstLine="517"/>
        <w:spacing w:after="0" w:line="266" w:lineRule="auto"/>
        <w:rPr>
          <w:sz w:val="20"/>
          <w:szCs w:val="20"/>
          <w:color w:val="auto"/>
        </w:rPr>
      </w:pPr>
      <w:r>
        <w:rPr>
          <w:rFonts w:ascii="Times New Roman" w:cs="Times New Roman" w:eastAsia="Times New Roman" w:hAnsi="Times New Roman"/>
          <w:sz w:val="14"/>
          <w:szCs w:val="14"/>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42" w:lineRule="exact"/>
        <w:rPr>
          <w:sz w:val="20"/>
          <w:szCs w:val="20"/>
          <w:color w:val="auto"/>
        </w:rPr>
      </w:pPr>
    </w:p>
    <w:p>
      <w:pPr>
        <w:ind w:right="140" w:firstLine="517"/>
        <w:spacing w:after="0" w:line="294" w:lineRule="auto"/>
        <w:rPr>
          <w:sz w:val="20"/>
          <w:szCs w:val="20"/>
          <w:color w:val="auto"/>
        </w:rPr>
      </w:pPr>
      <w:r>
        <w:rPr>
          <w:rFonts w:ascii="Times New Roman" w:cs="Times New Roman" w:eastAsia="Times New Roman" w:hAnsi="Times New Roman"/>
          <w:sz w:val="14"/>
          <w:szCs w:val="14"/>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23" w:lineRule="exact"/>
        <w:rPr>
          <w:sz w:val="20"/>
          <w:szCs w:val="20"/>
          <w:color w:val="auto"/>
        </w:rPr>
      </w:pPr>
    </w:p>
    <w:p>
      <w:pPr>
        <w:ind w:right="60" w:firstLine="517"/>
        <w:spacing w:after="0" w:line="275" w:lineRule="auto"/>
        <w:rPr>
          <w:sz w:val="20"/>
          <w:szCs w:val="20"/>
          <w:color w:val="auto"/>
        </w:rPr>
      </w:pPr>
      <w:r>
        <w:rPr>
          <w:rFonts w:ascii="Times New Roman" w:cs="Times New Roman" w:eastAsia="Times New Roman" w:hAnsi="Times New Roman"/>
          <w:sz w:val="14"/>
          <w:szCs w:val="14"/>
          <w:color w:val="auto"/>
        </w:rPr>
        <w:t>During the course of performing certain solution-related services and our professional services, our teams may have significant access to our customers’ networks. We cannot be sure that a disgruntled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136" w:lineRule="exact"/>
        <w:rPr>
          <w:sz w:val="20"/>
          <w:szCs w:val="20"/>
          <w:color w:val="auto"/>
        </w:rPr>
      </w:pPr>
    </w:p>
    <w:p>
      <w:pPr>
        <w:ind w:firstLine="517"/>
        <w:spacing w:after="0" w:line="264" w:lineRule="auto"/>
        <w:rPr>
          <w:sz w:val="20"/>
          <w:szCs w:val="20"/>
          <w:color w:val="auto"/>
        </w:rPr>
      </w:pPr>
      <w:r>
        <w:rPr>
          <w:rFonts w:ascii="Times New Roman" w:cs="Times New Roman" w:eastAsia="Times New Roman" w:hAnsi="Times New Roman"/>
          <w:sz w:val="14"/>
          <w:szCs w:val="14"/>
          <w:color w:val="auto"/>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customers a limited warranty, subject to certain conditions, with our Falcon Complete cloud module and our potential liability under this warranty is provided by our insurance carrier to us.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40" w:lineRule="exact"/>
        <w:rPr>
          <w:sz w:val="20"/>
          <w:szCs w:val="20"/>
          <w:color w:val="auto"/>
        </w:rPr>
      </w:pPr>
    </w:p>
    <w:p>
      <w:pPr>
        <w:ind w:right="28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Our credit agreement contains restrictive covenants that limit our ability to borrow more money, to make distributions to our stockholders, and to engage in certain other activities, as well as financial covenants that may limit our operating flexibility.</w:t>
      </w:r>
    </w:p>
    <w:p>
      <w:pPr>
        <w:spacing w:after="0" w:line="119" w:lineRule="exact"/>
        <w:rPr>
          <w:sz w:val="20"/>
          <w:szCs w:val="20"/>
          <w:color w:val="auto"/>
        </w:rPr>
      </w:pPr>
    </w:p>
    <w:p>
      <w:pPr>
        <w:ind w:right="100" w:firstLine="517"/>
        <w:spacing w:after="0" w:line="263" w:lineRule="auto"/>
        <w:rPr>
          <w:sz w:val="20"/>
          <w:szCs w:val="20"/>
          <w:color w:val="auto"/>
        </w:rPr>
      </w:pPr>
      <w:r>
        <w:rPr>
          <w:rFonts w:ascii="Times New Roman" w:cs="Times New Roman" w:eastAsia="Times New Roman" w:hAnsi="Times New Roman"/>
          <w:sz w:val="14"/>
          <w:szCs w:val="14"/>
          <w:color w:val="auto"/>
        </w:rPr>
        <w:t>Our existing credit agreement contains a number of covenants that limit our ability and our subsidiaries’ ability to, among other things, transfer or dispose of assets, pay dividends or make distributions, incur additional indebtedness, create liens, make investments, loans and acquisitions, engage in transactions with affiliates, merge or consolidate with other companies, or sell substantially all of our assets. Our credit agreement is guaranteed by us and certain of our subsidiaries and secured by substantially all of the assets of the borrower subsidiary, us, and the guarantor subsidiaries. The terms of our credit agreement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 Additionally, our credit agreement includes financial covenants that require us to maintain minimum growth rates of our recurring subscription revenue, and to maintain minimum liquidity at specified levels. We may not be able to generate sufficient cash flow or sales to meet the financial covenants or pay the principal or interest under the credit facility.</w:t>
      </w:r>
    </w:p>
    <w:p>
      <w:pPr>
        <w:spacing w:after="0" w:line="145" w:lineRule="exact"/>
        <w:rPr>
          <w:sz w:val="20"/>
          <w:szCs w:val="20"/>
          <w:color w:val="auto"/>
        </w:rPr>
      </w:pPr>
    </w:p>
    <w:p>
      <w:pPr>
        <w:jc w:val="both"/>
        <w:ind w:right="160" w:firstLine="517"/>
        <w:spacing w:after="0" w:line="269" w:lineRule="auto"/>
        <w:rPr>
          <w:sz w:val="20"/>
          <w:szCs w:val="20"/>
          <w:color w:val="auto"/>
        </w:rPr>
      </w:pPr>
      <w:r>
        <w:rPr>
          <w:rFonts w:ascii="Times New Roman" w:cs="Times New Roman" w:eastAsia="Times New Roman" w:hAnsi="Times New Roman"/>
          <w:sz w:val="14"/>
          <w:szCs w:val="14"/>
          <w:color w:val="auto"/>
        </w:rPr>
        <w:t>If we are unable to comply with our payment requirements, our lender may accelerate our obligations under our credit agreement and foreclose upon the collateral, or we may be forced to sell assets, restructure our indebtedness or seek additional equity capital, which would dilute our stockholders’ interests. If we fail to comply with any covenant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spacing w:after="0" w:line="136" w:lineRule="exact"/>
        <w:rPr>
          <w:sz w:val="20"/>
          <w:szCs w:val="20"/>
          <w:color w:val="auto"/>
        </w:rPr>
      </w:pPr>
    </w:p>
    <w:p>
      <w:pPr>
        <w:ind w:right="18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The requirements of being a public company may strain our resources, divert managements’ attention, and if we fail to maintain an effective system of internal controls, our ability to produce timely and accurate financial statements or comply with applicable regulations could be impaired.</w:t>
      </w:r>
    </w:p>
    <w:p>
      <w:pPr>
        <w:spacing w:after="0" w:line="119" w:lineRule="exact"/>
        <w:rPr>
          <w:sz w:val="20"/>
          <w:szCs w:val="20"/>
          <w:color w:val="auto"/>
        </w:rPr>
      </w:pPr>
    </w:p>
    <w:p>
      <w:pPr>
        <w:ind w:right="200" w:firstLine="517"/>
        <w:spacing w:after="0" w:line="294" w:lineRule="auto"/>
        <w:rPr>
          <w:sz w:val="20"/>
          <w:szCs w:val="20"/>
          <w:color w:val="auto"/>
        </w:rPr>
      </w:pPr>
      <w:r>
        <w:rPr>
          <w:rFonts w:ascii="Times New Roman" w:cs="Times New Roman" w:eastAsia="Times New Roman" w:hAnsi="Times New Roman"/>
          <w:sz w:val="14"/>
          <w:szCs w:val="14"/>
          <w:color w:val="auto"/>
        </w:rPr>
        <w:t>As a new public company, we recently became subject to the reporting requirements of the Securities Exchange Act of 1934, as amended, or the Exchange Act, the Sarbanes-Oxley Act of 2002, or the Sarbanes-Oxley Act, and the rules and regulations of Nasdaq. We expect that the requirements of these rules and regulations will increase our legal, accounting and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1" w:name="page82"/>
    <w:bookmarkEnd w:id="8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4"/>
          <w:szCs w:val="14"/>
          <w:color w:val="auto"/>
        </w:rPr>
        <w:t>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42" w:lineRule="exact"/>
        <w:rPr>
          <w:sz w:val="20"/>
          <w:szCs w:val="20"/>
          <w:color w:val="auto"/>
        </w:rPr>
      </w:pPr>
    </w:p>
    <w:p>
      <w:pPr>
        <w:ind w:firstLine="517"/>
        <w:spacing w:after="0" w:line="261" w:lineRule="auto"/>
        <w:rPr>
          <w:sz w:val="20"/>
          <w:szCs w:val="20"/>
          <w:color w:val="auto"/>
        </w:rPr>
      </w:pPr>
      <w:r>
        <w:rPr>
          <w:rFonts w:ascii="Times New Roman" w:cs="Times New Roman" w:eastAsia="Times New Roman" w:hAnsi="Times New Roman"/>
          <w:sz w:val="14"/>
          <w:szCs w:val="14"/>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results of operations,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are required to file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As a result of becoming a public company, our management if required, pursuant to Section 404 of the Sarbanes-Oxley Act, to certify financial and other information in our quarterly and annual reports and provide an annual management report on the effectiveness of our internal control over financial reporting commencing with our second Annual Report on Form 10-K. In order to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and results of operations.</w:t>
      </w:r>
    </w:p>
    <w:p>
      <w:pPr>
        <w:spacing w:after="0" w:line="321" w:lineRule="exact"/>
        <w:rPr>
          <w:sz w:val="20"/>
          <w:szCs w:val="20"/>
          <w:color w:val="auto"/>
        </w:rPr>
      </w:pPr>
    </w:p>
    <w:p>
      <w:pPr>
        <w:ind w:right="260" w:firstLine="517"/>
        <w:spacing w:after="0" w:line="269" w:lineRule="auto"/>
        <w:rPr>
          <w:sz w:val="20"/>
          <w:szCs w:val="20"/>
          <w:color w:val="auto"/>
        </w:rPr>
      </w:pPr>
      <w:r>
        <w:rPr>
          <w:rFonts w:ascii="Times New Roman" w:cs="Times New Roman" w:eastAsia="Times New Roman" w:hAnsi="Times New Roman"/>
          <w:sz w:val="14"/>
          <w:szCs w:val="14"/>
          <w:color w:val="auto"/>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 Any failure to maintain effective disclosure controls and internal control over financial reporting could have a material and adverse effect on our business and results of operations and could cause a decline in the price of our stock.</w:t>
      </w:r>
    </w:p>
    <w:p>
      <w:pPr>
        <w:spacing w:after="0" w:line="136" w:lineRule="exact"/>
        <w:rPr>
          <w:sz w:val="20"/>
          <w:szCs w:val="20"/>
          <w:color w:val="auto"/>
        </w:rPr>
      </w:pPr>
    </w:p>
    <w:p>
      <w:pPr>
        <w:ind w:right="24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results of operations and financial condition.</w:t>
      </w:r>
    </w:p>
    <w:p>
      <w:pPr>
        <w:spacing w:after="0" w:line="119" w:lineRule="exact"/>
        <w:rPr>
          <w:sz w:val="20"/>
          <w:szCs w:val="20"/>
          <w:color w:val="auto"/>
        </w:rPr>
      </w:pPr>
    </w:p>
    <w:p>
      <w:pPr>
        <w:ind w:firstLine="517"/>
        <w:spacing w:after="0" w:line="261" w:lineRule="auto"/>
        <w:rPr>
          <w:sz w:val="20"/>
          <w:szCs w:val="20"/>
          <w:color w:val="auto"/>
        </w:rPr>
      </w:pPr>
      <w:r>
        <w:rPr>
          <w:rFonts w:ascii="Times New Roman" w:cs="Times New Roman" w:eastAsia="Times New Roman" w:hAnsi="Times New Roman"/>
          <w:sz w:val="14"/>
          <w:szCs w:val="14"/>
          <w:color w:val="auto"/>
        </w:rPr>
        <w:t>As part of our business strategy, we have in the past and are likely to continue to make investments in and/or acquire complementary companies, services or technologies, such as our acquisition of Payload Security, UG.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3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Additional risks we may face in connection with acquisitions include:</w:t>
      </w:r>
    </w:p>
    <w:p>
      <w:pPr>
        <w:spacing w:after="0" w:line="184" w:lineRule="exact"/>
        <w:rPr>
          <w:sz w:val="20"/>
          <w:szCs w:val="20"/>
          <w:color w:val="auto"/>
        </w:rPr>
      </w:pPr>
    </w:p>
    <w:p>
      <w:pPr>
        <w:ind w:left="780" w:hanging="257"/>
        <w:spacing w:after="0"/>
        <w:tabs>
          <w:tab w:leader="none" w:pos="7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 time and focus from operating our business to addressing acquisition integration challenges;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coordination of research and development and sales and marketing functions;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2" w:name="page83"/>
    <w:bookmarkEnd w:id="8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80" w:hanging="257"/>
        <w:spacing w:after="0"/>
        <w:tabs>
          <w:tab w:leader="none" w:pos="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of product and service offerings;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retention of key employees from the acquired company;</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relationships with strategic partners as a result of product acquisitions or strategic positioning resulting from the acquisition;</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cultural challenges associated with integrating employees from the acquired company into our organization;</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of the acquired company’s accounting, management information, human resources and other administrative systems;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implement or improve controls, procedures, and policies at a business that prior to the acquisition may have lacked sufficiently effective controls, procedures and policies;</w:t>
      </w:r>
    </w:p>
    <w:p>
      <w:pPr>
        <w:spacing w:after="0" w:line="183" w:lineRule="exact"/>
        <w:rPr>
          <w:rFonts w:ascii="Times New Roman" w:cs="Times New Roman" w:eastAsia="Times New Roman" w:hAnsi="Times New Roman"/>
          <w:sz w:val="14"/>
          <w:szCs w:val="14"/>
          <w:color w:val="auto"/>
        </w:rPr>
      </w:pPr>
    </w:p>
    <w:p>
      <w:pPr>
        <w:ind w:left="780" w:right="340" w:hanging="257"/>
        <w:spacing w:after="0" w:line="294" w:lineRule="auto"/>
        <w:tabs>
          <w:tab w:leader="none" w:pos="77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reporting, revenue recognition or other financial or control deficiencies of the acquired company that we don’t adequately address and that cause our reported results to be incorrect;</w:t>
      </w:r>
    </w:p>
    <w:p>
      <w:pPr>
        <w:spacing w:after="0" w:line="122" w:lineRule="exact"/>
        <w:rPr>
          <w:rFonts w:ascii="Times New Roman" w:cs="Times New Roman" w:eastAsia="Times New Roman" w:hAnsi="Times New Roman"/>
          <w:sz w:val="14"/>
          <w:szCs w:val="14"/>
          <w:color w:val="auto"/>
        </w:rPr>
      </w:pPr>
    </w:p>
    <w:p>
      <w:pPr>
        <w:ind w:left="780" w:right="300" w:hanging="257"/>
        <w:spacing w:after="0" w:line="294" w:lineRule="auto"/>
        <w:tabs>
          <w:tab w:leader="none" w:pos="77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liability for activities of the acquired company before the acquisition, including intellectual property infringement claims, violations of laws, commercial disputes, tax liabilities and other known and unknown liabilities;</w:t>
      </w:r>
    </w:p>
    <w:p>
      <w:pPr>
        <w:spacing w:after="0" w:line="122"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write-offs or charges; and</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or other claims in connection with the acquired company, including claims from terminated employees, customers, former stockholders or other third parties.</w:t>
      </w:r>
    </w:p>
    <w:p>
      <w:pPr>
        <w:spacing w:after="0" w:line="184" w:lineRule="exact"/>
        <w:rPr>
          <w:sz w:val="20"/>
          <w:szCs w:val="20"/>
          <w:color w:val="auto"/>
        </w:rPr>
      </w:pPr>
    </w:p>
    <w:p>
      <w:pPr>
        <w:ind w:right="60" w:firstLine="517"/>
        <w:spacing w:after="0" w:line="294" w:lineRule="auto"/>
        <w:rPr>
          <w:sz w:val="20"/>
          <w:szCs w:val="20"/>
          <w:color w:val="auto"/>
        </w:rPr>
      </w:pPr>
      <w:r>
        <w:rPr>
          <w:rFonts w:ascii="Times New Roman" w:cs="Times New Roman" w:eastAsia="Times New Roman" w:hAnsi="Times New Roman"/>
          <w:sz w:val="14"/>
          <w:szCs w:val="14"/>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19"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19" w:lineRule="exact"/>
        <w:rPr>
          <w:sz w:val="20"/>
          <w:szCs w:val="20"/>
          <w:color w:val="auto"/>
        </w:rPr>
      </w:pPr>
    </w:p>
    <w:p>
      <w:pPr>
        <w:ind w:firstLine="517"/>
        <w:spacing w:after="0" w:line="266" w:lineRule="auto"/>
        <w:rPr>
          <w:sz w:val="20"/>
          <w:szCs w:val="20"/>
          <w:color w:val="auto"/>
        </w:rPr>
      </w:pPr>
      <w:r>
        <w:rPr>
          <w:rFonts w:ascii="Times New Roman" w:cs="Times New Roman" w:eastAsia="Times New Roman" w:hAnsi="Times New Roman"/>
          <w:sz w:val="14"/>
          <w:szCs w:val="14"/>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international operations and plans for future international expansion expose us to significant risks, and failure to manage those risks could adversely impact our business.</w:t>
      </w:r>
    </w:p>
    <w:p>
      <w:pPr>
        <w:spacing w:after="0" w:line="188" w:lineRule="exact"/>
        <w:rPr>
          <w:sz w:val="20"/>
          <w:szCs w:val="20"/>
          <w:color w:val="auto"/>
        </w:rPr>
      </w:pPr>
    </w:p>
    <w:p>
      <w:pPr>
        <w:jc w:val="both"/>
        <w:ind w:right="80" w:firstLine="517"/>
        <w:spacing w:after="0" w:line="269" w:lineRule="auto"/>
        <w:rPr>
          <w:sz w:val="20"/>
          <w:szCs w:val="20"/>
          <w:color w:val="auto"/>
        </w:rPr>
      </w:pPr>
      <w:r>
        <w:rPr>
          <w:rFonts w:ascii="Times New Roman" w:cs="Times New Roman" w:eastAsia="Times New Roman" w:hAnsi="Times New Roman"/>
          <w:sz w:val="14"/>
          <w:szCs w:val="14"/>
          <w:color w:val="auto"/>
        </w:rPr>
        <w:t>We derived approximately 13%, 16%, 23%, and 26% of our total revenue from our international customers for fiscal 2017, fiscal 2018, fiscal 2019, and the nine months ended October 31, 2019,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40" w:lineRule="exact"/>
        <w:rPr>
          <w:sz w:val="20"/>
          <w:szCs w:val="20"/>
          <w:color w:val="auto"/>
        </w:rPr>
      </w:pPr>
    </w:p>
    <w:p>
      <w:pPr>
        <w:ind w:left="780" w:hanging="257"/>
        <w:spacing w:after="0"/>
        <w:tabs>
          <w:tab w:leader="none" w:pos="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difficulty in negotiating contracts with standard terms, enforcing contracts and managing collections, and longer collection periods;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costs of doing business internationally, including costs incurred in establishing and maintaining office space and equipment for our international operations;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83" w:name="page84"/>
    <w:bookmarkEnd w:id="8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80" w:hanging="257"/>
        <w:spacing w:after="0"/>
        <w:tabs>
          <w:tab w:leader="none" w:pos="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communication and integration problems resulting from cultural and geographic dispersion;</w:t>
      </w:r>
    </w:p>
    <w:p>
      <w:pPr>
        <w:spacing w:after="0" w:line="183" w:lineRule="exact"/>
        <w:rPr>
          <w:rFonts w:ascii="Times New Roman" w:cs="Times New Roman" w:eastAsia="Times New Roman" w:hAnsi="Times New Roman"/>
          <w:sz w:val="14"/>
          <w:szCs w:val="14"/>
          <w:color w:val="auto"/>
        </w:rPr>
      </w:pPr>
    </w:p>
    <w:p>
      <w:pPr>
        <w:ind w:left="780" w:right="220" w:hanging="257"/>
        <w:spacing w:after="0" w:line="294" w:lineRule="auto"/>
        <w:tabs>
          <w:tab w:leader="none" w:pos="77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trade restrictions and foreign legal requirements, including any importation, certification, and localization of our Falcon platform that may be required in foreign countries;</w:t>
      </w:r>
    </w:p>
    <w:p>
      <w:pPr>
        <w:spacing w:after="0" w:line="122"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risk of unexpected changes in regulatory practices, tariffs, and tax laws and treaties;</w:t>
      </w:r>
    </w:p>
    <w:p>
      <w:pPr>
        <w:spacing w:after="0" w:line="183" w:lineRule="exact"/>
        <w:rPr>
          <w:rFonts w:ascii="Times New Roman" w:cs="Times New Roman" w:eastAsia="Times New Roman" w:hAnsi="Times New Roman"/>
          <w:sz w:val="14"/>
          <w:szCs w:val="14"/>
          <w:color w:val="auto"/>
        </w:rPr>
      </w:pPr>
    </w:p>
    <w:p>
      <w:pPr>
        <w:ind w:left="780" w:right="120" w:hanging="257"/>
        <w:spacing w:after="0" w:line="294" w:lineRule="auto"/>
        <w:tabs>
          <w:tab w:leader="none" w:pos="77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anti-bribery laws, including, without limitation, compliance with the U.S. Foreign Corrupt Practices Act of 1977, as amended, the U.S. Travel Act and the UK Bribery Act 2010, violations of which could lead to significant fines, penalties, and collateral consequences for our company;</w:t>
      </w:r>
    </w:p>
    <w:p>
      <w:pPr>
        <w:spacing w:after="0" w:line="122" w:lineRule="exact"/>
        <w:rPr>
          <w:rFonts w:ascii="Times New Roman" w:cs="Times New Roman" w:eastAsia="Times New Roman" w:hAnsi="Times New Roman"/>
          <w:sz w:val="14"/>
          <w:szCs w:val="14"/>
          <w:color w:val="auto"/>
        </w:rPr>
      </w:pPr>
    </w:p>
    <w:p>
      <w:pPr>
        <w:ind w:left="780" w:hanging="257"/>
        <w:spacing w:after="0" w:line="294" w:lineRule="auto"/>
        <w:tabs>
          <w:tab w:leader="none" w:pos="77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22"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uncertainty of protection for intellectual property rights in some countries;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political conditions in these foreign markets;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exchange controls or tax regulations that might prevent us from repatriating cash earned outside the United States;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instability in some countries;</w:t>
      </w:r>
    </w:p>
    <w:p>
      <w:pPr>
        <w:spacing w:after="0" w:line="183" w:lineRule="exact"/>
        <w:rPr>
          <w:rFonts w:ascii="Times New Roman" w:cs="Times New Roman" w:eastAsia="Times New Roman" w:hAnsi="Times New Roman"/>
          <w:sz w:val="14"/>
          <w:szCs w:val="14"/>
          <w:color w:val="auto"/>
        </w:rPr>
      </w:pPr>
    </w:p>
    <w:p>
      <w:pPr>
        <w:ind w:left="780" w:right="480" w:hanging="257"/>
        <w:spacing w:after="0" w:line="294" w:lineRule="auto"/>
        <w:tabs>
          <w:tab w:leader="none" w:pos="77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double taxation of our international earnings and potentially adverse tax consequences due to changes in the tax laws of the United States or the foreign jurisdictions in which we operate;</w:t>
      </w:r>
    </w:p>
    <w:p>
      <w:pPr>
        <w:spacing w:after="0" w:line="122"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costs for the localization of our services, including translation into foreign languages and adaptation for local practices and regulatory requirements;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requirements to comply with foreign privacy, data protection, and information security laws and regulations and the risks and costs of noncompliance;</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difficulty in identifying, attracting and retaining local qualified personnel, and the costs and expenses associated with such activities;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difficulty identifying qualified channel partners and maintaining successful relationships with such partners;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employment practices and labor relations issues; and</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managing and staffing international offices and increased travel, infrastructure, and legal compliance costs associated with multiple international locations.</w:t>
      </w:r>
    </w:p>
    <w:p>
      <w:pPr>
        <w:spacing w:after="0" w:line="184" w:lineRule="exact"/>
        <w:rPr>
          <w:sz w:val="20"/>
          <w:szCs w:val="20"/>
          <w:color w:val="auto"/>
        </w:rPr>
      </w:pPr>
    </w:p>
    <w:p>
      <w:pPr>
        <w:ind w:right="240" w:firstLine="517"/>
        <w:spacing w:after="0" w:line="269" w:lineRule="auto"/>
        <w:rPr>
          <w:sz w:val="20"/>
          <w:szCs w:val="20"/>
          <w:color w:val="auto"/>
        </w:rPr>
      </w:pPr>
      <w:r>
        <w:rPr>
          <w:rFonts w:ascii="Times New Roman" w:cs="Times New Roman" w:eastAsia="Times New Roman" w:hAnsi="Times New Roman"/>
          <w:sz w:val="14"/>
          <w:szCs w:val="14"/>
          <w:color w:val="auto"/>
        </w:rPr>
        <w:t>Additionally,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British Pound, Indian Rupee, and Euro,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140" w:lineRule="exact"/>
        <w:rPr>
          <w:sz w:val="20"/>
          <w:szCs w:val="20"/>
          <w:color w:val="auto"/>
        </w:rPr>
      </w:pPr>
    </w:p>
    <w:p>
      <w:pPr>
        <w:ind w:right="60" w:firstLine="517"/>
        <w:spacing w:after="0" w:line="275" w:lineRule="auto"/>
        <w:rPr>
          <w:sz w:val="20"/>
          <w:szCs w:val="20"/>
          <w:color w:val="auto"/>
        </w:rPr>
      </w:pPr>
      <w:r>
        <w:rPr>
          <w:rFonts w:ascii="Times New Roman" w:cs="Times New Roman" w:eastAsia="Times New Roman" w:hAnsi="Times New Roman"/>
          <w:sz w:val="14"/>
          <w:szCs w:val="14"/>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4" w:name="page85"/>
    <w:bookmarkEnd w:id="8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requirements of being a public company may strain our resources and divert management’s attention.</w:t>
      </w:r>
    </w:p>
    <w:p>
      <w:pPr>
        <w:spacing w:after="0" w:line="188" w:lineRule="exact"/>
        <w:rPr>
          <w:sz w:val="20"/>
          <w:szCs w:val="20"/>
          <w:color w:val="auto"/>
        </w:rPr>
      </w:pPr>
    </w:p>
    <w:p>
      <w:pPr>
        <w:ind w:right="140" w:firstLine="517"/>
        <w:spacing w:after="0" w:line="263" w:lineRule="auto"/>
        <w:rPr>
          <w:sz w:val="20"/>
          <w:szCs w:val="20"/>
          <w:color w:val="auto"/>
        </w:rPr>
      </w:pPr>
      <w:r>
        <w:rPr>
          <w:rFonts w:ascii="Times New Roman" w:cs="Times New Roman" w:eastAsia="Times New Roman" w:hAnsi="Times New Roman"/>
          <w:sz w:val="14"/>
          <w:szCs w:val="14"/>
          <w:color w:val="auto"/>
        </w:rPr>
        <w:t>As a public company, we are subject to the reporting and corporate governance requirements of the Exchange Act, the listing requirements of the Nasdaq Global Select Market and other securities rules and regulations, including the Sarbanes-Oxley Act and the Dodd-Frank Wall Street Reform and Consumer Protection Act. Compliance with these rules and regulations will increase our legal and financial compliance costs, make some activities more difficult, time-consuming, or costly and increase demand on our systems and resources, the effects of which will be magnified after we are no longer an “emerging growth company” as defined in the JOBS Act. Among other things, the Exchange Act requires that we file annual, quarterly and current reports with respect to our business and results of operations and maintain effective disclosure controls and procedures and internal control over financial reporting. In order to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and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federal income tax reform could adversely affect us.</w:t>
      </w:r>
    </w:p>
    <w:p>
      <w:pPr>
        <w:spacing w:after="0" w:line="188" w:lineRule="exact"/>
        <w:rPr>
          <w:sz w:val="20"/>
          <w:szCs w:val="20"/>
          <w:color w:val="auto"/>
        </w:rPr>
      </w:pPr>
    </w:p>
    <w:p>
      <w:pPr>
        <w:ind w:firstLine="517"/>
        <w:spacing w:after="0" w:line="263" w:lineRule="auto"/>
        <w:rPr>
          <w:sz w:val="20"/>
          <w:szCs w:val="20"/>
          <w:color w:val="auto"/>
        </w:rPr>
      </w:pPr>
      <w:r>
        <w:rPr>
          <w:rFonts w:ascii="Times New Roman" w:cs="Times New Roman" w:eastAsia="Times New Roman" w:hAnsi="Times New Roman"/>
          <w:sz w:val="14"/>
          <w:szCs w:val="14"/>
          <w:color w:val="auto"/>
        </w:rPr>
        <w:t>In December 2017, the United States adopted new tax law legislation commonly referred to as the Tax Cuts and Jobs Act of 2017, or the Tax Act, which significantly reforms the Internal Revenue Code of 1986, as amended, or the Internal Revenue Code. The Tax Act, among other things, includes changes to U.S. federal tax rates, imposes significant additional limitations on the deductibility of interest and the use of net operating losses generated in tax years beginning after December 31, 2017, allows for the expensing of certain capital expenditures, and puts into effect the migration from a “worldwide” system of taxation to a territorial system. Further changes to U.S. tax laws, including limitations on the ability of taxpayers to claim and utilize foreign tax credits, as well as changes to U.S. tax laws that may be enacted in the future, could impact the tax treatment of our foreign earnings. Due to expansion of our international business activities, any changes in the U.S. taxation of such activities may increase our worldwide effective tax rate and adversely affect our financial condition and results of operations. The enactment of legislation implementing changes in the U.S. taxation of international business activities or the adoption of other tax reform policies could adversely impact our financial position and results of operations.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Tax Act did not have a material impact on our financial statements for fiscal 2019, other than disclosures in our year-end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 carryforwards and certain other tax attributes may be limited.</w:t>
      </w:r>
    </w:p>
    <w:p>
      <w:pPr>
        <w:spacing w:after="0" w:line="188" w:lineRule="exact"/>
        <w:rPr>
          <w:sz w:val="20"/>
          <w:szCs w:val="20"/>
          <w:color w:val="auto"/>
        </w:rPr>
      </w:pPr>
    </w:p>
    <w:p>
      <w:pPr>
        <w:ind w:right="80" w:firstLine="517"/>
        <w:spacing w:after="0" w:line="264" w:lineRule="auto"/>
        <w:rPr>
          <w:sz w:val="20"/>
          <w:szCs w:val="20"/>
          <w:color w:val="auto"/>
        </w:rPr>
      </w:pPr>
      <w:r>
        <w:rPr>
          <w:rFonts w:ascii="Times New Roman" w:cs="Times New Roman" w:eastAsia="Times New Roman" w:hAnsi="Times New Roman"/>
          <w:sz w:val="14"/>
          <w:szCs w:val="14"/>
          <w:color w:val="auto"/>
        </w:rPr>
        <w:t>As of January 31, 2019, we had aggregate U.S. federal and state net operating loss carryforwards of $376.0 million and $287.8 million, respectively, which may be available to offset future taxable income for income tax purposes. If not utilized, the federal net operating loss carryforwards will begin to expire in 2031, and the state net operating loss carryforwards will begin to expire in 2021. As of January 31, 2019, we had federal and California research and development credit carryforwards of $7.4 million and $3.7 million, respectively. The federal research and development credit carryforwards begin to expire in 2031, and the California carryforwards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spacing w:after="0" w:line="144" w:lineRule="exact"/>
        <w:rPr>
          <w:sz w:val="20"/>
          <w:szCs w:val="20"/>
          <w:color w:val="auto"/>
        </w:rPr>
      </w:pPr>
    </w:p>
    <w:p>
      <w:pPr>
        <w:ind w:firstLine="517"/>
        <w:spacing w:after="0" w:line="266" w:lineRule="auto"/>
        <w:rPr>
          <w:sz w:val="20"/>
          <w:szCs w:val="20"/>
          <w:color w:val="auto"/>
        </w:rPr>
      </w:pPr>
      <w:r>
        <w:rPr>
          <w:rFonts w:ascii="Times New Roman" w:cs="Times New Roman" w:eastAsia="Times New Roman" w:hAnsi="Times New Roman"/>
          <w:sz w:val="14"/>
          <w:szCs w:val="14"/>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5" w:name="page86"/>
    <w:bookmarkEnd w:id="8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19" w:lineRule="exact"/>
        <w:rPr>
          <w:sz w:val="20"/>
          <w:szCs w:val="20"/>
          <w:color w:val="auto"/>
        </w:rPr>
      </w:pPr>
    </w:p>
    <w:p>
      <w:pPr>
        <w:ind w:right="60" w:firstLine="517"/>
        <w:spacing w:after="0" w:line="269" w:lineRule="auto"/>
        <w:rPr>
          <w:sz w:val="20"/>
          <w:szCs w:val="20"/>
          <w:color w:val="auto"/>
        </w:rPr>
      </w:pPr>
      <w:r>
        <w:rPr>
          <w:rFonts w:ascii="Times New Roman" w:cs="Times New Roman" w:eastAsia="Times New Roman" w:hAnsi="Times New Roman"/>
          <w:sz w:val="14"/>
          <w:szCs w:val="14"/>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136"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19" w:lineRule="exact"/>
        <w:rPr>
          <w:sz w:val="20"/>
          <w:szCs w:val="20"/>
          <w:color w:val="auto"/>
        </w:rPr>
      </w:pPr>
    </w:p>
    <w:p>
      <w:pPr>
        <w:ind w:right="120" w:firstLine="517"/>
        <w:spacing w:after="0" w:line="263" w:lineRule="auto"/>
        <w:rPr>
          <w:sz w:val="20"/>
          <w:szCs w:val="20"/>
          <w:color w:val="auto"/>
        </w:rPr>
      </w:pPr>
      <w:r>
        <w:rPr>
          <w:rFonts w:ascii="Times New Roman" w:cs="Times New Roman" w:eastAsia="Times New Roman" w:hAnsi="Times New Roman"/>
          <w:sz w:val="14"/>
          <w:szCs w:val="14"/>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45" w:lineRule="exact"/>
        <w:rPr>
          <w:sz w:val="20"/>
          <w:szCs w:val="20"/>
          <w:color w:val="auto"/>
        </w:rPr>
      </w:pPr>
    </w:p>
    <w:p>
      <w:pPr>
        <w:ind w:firstLine="517"/>
        <w:spacing w:after="0" w:line="262" w:lineRule="auto"/>
        <w:rPr>
          <w:sz w:val="20"/>
          <w:szCs w:val="20"/>
          <w:color w:val="auto"/>
        </w:rPr>
      </w:pPr>
      <w:r>
        <w:rPr>
          <w:rFonts w:ascii="Times New Roman" w:cs="Times New Roman" w:eastAsia="Times New Roman" w:hAnsi="Times New Roman"/>
          <w:sz w:val="14"/>
          <w:szCs w:val="14"/>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42" w:lineRule="exact"/>
        <w:rPr>
          <w:sz w:val="20"/>
          <w:szCs w:val="20"/>
          <w:color w:val="auto"/>
        </w:rPr>
      </w:pPr>
    </w:p>
    <w:p>
      <w:pPr>
        <w:ind w:right="26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Our reported financial results may be affected by changes in accounting principles generally accepted in the United States, such as the adoption of ASC 606, and difficulties in implementing these changes could cause us to fail to meet our financial reporting obligations, which could result in regulatory discipline and harm investors’ confidence in us.</w:t>
      </w:r>
    </w:p>
    <w:p>
      <w:pPr>
        <w:spacing w:after="0" w:line="119" w:lineRule="exact"/>
        <w:rPr>
          <w:sz w:val="20"/>
          <w:szCs w:val="20"/>
          <w:color w:val="auto"/>
        </w:rPr>
      </w:pPr>
    </w:p>
    <w:p>
      <w:pPr>
        <w:ind w:firstLine="517"/>
        <w:spacing w:after="0" w:line="262" w:lineRule="auto"/>
        <w:rPr>
          <w:sz w:val="20"/>
          <w:szCs w:val="20"/>
          <w:color w:val="auto"/>
        </w:rPr>
      </w:pPr>
      <w:r>
        <w:rPr>
          <w:rFonts w:ascii="Times New Roman" w:cs="Times New Roman" w:eastAsia="Times New Roman" w:hAnsi="Times New Roman"/>
          <w:sz w:val="14"/>
          <w:szCs w:val="14"/>
          <w:color w:val="auto"/>
        </w:rPr>
        <w:t>Accounting principles generally accepted in the United States, or U.S. GAAP, are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In particular, in May 2014, the FASB issued ASC 606, Revenue from Contracts with Customers, which supersedes the revenue recognition requirements in ASC 605, Revenue Recognition. The core principle of ASC 606 is that an entity should recognize revenue to depict the transfer of promised goods or services to customers in an amount that reflects the consideration to which the entity expects to be entitled in exchange for those goods or services. As an ‘‘emerging growth company,’’ we are allowed under the JOBS Act to delay adoption of new or revised accounting pronouncements applicable to public companies until such pronouncements are made applicable to private companies. We elected to take advantage of this extended transition period under the JOBS Act, which resulted in ASC 606 becoming effective for us beginning on February 1, 2019. We have adopted using the modified retrospective transition method. Any difficulties in implementing these pronouncements could cause us to fail to meet our financial reporting obligations, which could result in regulatory discipline and harm investors’ confidence in us.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6" w:name="page87"/>
    <w:bookmarkEnd w:id="8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42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19" w:lineRule="exact"/>
        <w:rPr>
          <w:sz w:val="20"/>
          <w:szCs w:val="20"/>
          <w:color w:val="auto"/>
        </w:rPr>
      </w:pPr>
    </w:p>
    <w:p>
      <w:pPr>
        <w:ind w:right="20" w:firstLine="517"/>
        <w:spacing w:after="0" w:line="262"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doubtful accounts; valuation of common stock and redeemable convertible preferred stock warrants; carrying value and useful lives of long-lived assets; loss contingencies; and the provision for income taxes and related deferred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Class A common stock.</w:t>
      </w:r>
    </w:p>
    <w:p>
      <w:pPr>
        <w:spacing w:after="0" w:line="146" w:lineRule="exact"/>
        <w:rPr>
          <w:sz w:val="20"/>
          <w:szCs w:val="20"/>
          <w:color w:val="auto"/>
        </w:rPr>
      </w:pPr>
    </w:p>
    <w:p>
      <w:pPr>
        <w:ind w:right="40" w:firstLine="517"/>
        <w:spacing w:after="0" w:line="266" w:lineRule="auto"/>
        <w:rPr>
          <w:sz w:val="20"/>
          <w:szCs w:val="20"/>
          <w:color w:val="auto"/>
        </w:rPr>
      </w:pPr>
      <w:r>
        <w:rPr>
          <w:rFonts w:ascii="Times New Roman" w:cs="Times New Roman" w:eastAsia="Times New Roman" w:hAnsi="Times New Roman"/>
          <w:sz w:val="14"/>
          <w:szCs w:val="14"/>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38"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the risks of earthquakes, fire, floods, and other natural catastrophic events, and to interruption by man-made problems such as power disruptions, computer viruses, data security breaches or terrorism.</w:t>
      </w:r>
    </w:p>
    <w:p>
      <w:pPr>
        <w:spacing w:after="0" w:line="119" w:lineRule="exact"/>
        <w:rPr>
          <w:sz w:val="20"/>
          <w:szCs w:val="20"/>
          <w:color w:val="auto"/>
        </w:rPr>
      </w:pPr>
    </w:p>
    <w:p>
      <w:pPr>
        <w:ind w:firstLine="517"/>
        <w:spacing w:after="0" w:line="260" w:lineRule="auto"/>
        <w:rPr>
          <w:sz w:val="20"/>
          <w:szCs w:val="20"/>
          <w:color w:val="auto"/>
        </w:rPr>
      </w:pPr>
      <w:r>
        <w:rPr>
          <w:rFonts w:ascii="Times New Roman" w:cs="Times New Roman" w:eastAsia="Times New Roman" w:hAnsi="Times New Roman"/>
          <w:sz w:val="14"/>
          <w:szCs w:val="14"/>
          <w:color w:val="auto"/>
        </w:rPr>
        <w:t>Our corporate headquarters are located in the San Francisco Bay Area, a region known for seismic activity. A significant natural disaster, such as an earthquake, a fire, a flood, or significant power outage could have a material adverse impact on our business, results of operations, and financial condition. Natural disasters could affect our personnel,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In the event that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our internal systems may be victimized by such attacks.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Acts of terrorism and other geo-political unrest could also cause disruptions in our business or the business of our supply chain, manufacturers, logistics providers, partners, or customers or the economy as a whole. Any disruption in the business of our supply chain, manufacturers, logistics providers, partners or end-customers that impacts sales at the end of a fiscal quarter could have a significant adverse impact on our financial results. All of the aforementioned risks may be further increased if the disaster recovery plans for us and our suppliers prove to be inadequate. To the extent that any of the above should result in delays or cancellations of customer orders, or the delay in the manufacture, deployment or shipment of our products, our business, financial condition and results of operations would be adversely affected.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Class A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Class A common stock may be volatile, and you could lose all or part of your investment.</w:t>
      </w:r>
    </w:p>
    <w:p>
      <w:pPr>
        <w:spacing w:after="0" w:line="188" w:lineRule="exact"/>
        <w:rPr>
          <w:sz w:val="20"/>
          <w:szCs w:val="20"/>
          <w:color w:val="auto"/>
        </w:rPr>
      </w:pPr>
    </w:p>
    <w:p>
      <w:pPr>
        <w:ind w:right="20" w:firstLine="517"/>
        <w:spacing w:after="0" w:line="269" w:lineRule="auto"/>
        <w:rPr>
          <w:sz w:val="20"/>
          <w:szCs w:val="20"/>
          <w:color w:val="auto"/>
        </w:rPr>
      </w:pPr>
      <w:r>
        <w:rPr>
          <w:rFonts w:ascii="Times New Roman" w:cs="Times New Roman" w:eastAsia="Times New Roman" w:hAnsi="Times New Roman"/>
          <w:sz w:val="14"/>
          <w:szCs w:val="14"/>
          <w:color w:val="auto"/>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In addition, the limited public float of our Class A common stock tends to increase the volatility of the trading price of our Class A common stock. These fluctuations could cause you to lose all or part of your investment in our Class A common stock. Factors that could cause fluctuations in the market price of our Class A common stock include the following:</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7" w:name="page88"/>
    <w:bookmarkEnd w:id="8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80" w:hanging="257"/>
        <w:spacing w:after="0"/>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or fluctuations in our results of operations;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projections we may provide to the public, any changes in these projections or our failure to meet these projections;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new products or new or terminated significant contracts, commercial relationships or capital commitments;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or financial analyst or investor reaction to our press releases, other public announcements and filings with the SEC;</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rumors and market speculation involving us or other companies in our industry;</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volume fluctuations in the overall stock market from time to time;</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operating performance and stock market valuations of other technology companies generally, or those in our industry in particular;</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of market stand-off or contractual lock-up agreements and sales of shares of our Class A common stock by us or our stockholders;</w:t>
      </w:r>
    </w:p>
    <w:p>
      <w:pPr>
        <w:spacing w:after="0" w:line="183" w:lineRule="exact"/>
        <w:rPr>
          <w:rFonts w:ascii="Times New Roman" w:cs="Times New Roman" w:eastAsia="Times New Roman" w:hAnsi="Times New Roman"/>
          <w:sz w:val="14"/>
          <w:szCs w:val="14"/>
          <w:color w:val="auto"/>
        </w:rPr>
      </w:pPr>
    </w:p>
    <w:p>
      <w:pPr>
        <w:ind w:left="780" w:right="80" w:hanging="257"/>
        <w:spacing w:after="0" w:line="294" w:lineRule="auto"/>
        <w:tabs>
          <w:tab w:leader="none" w:pos="77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industry or financial analysts to maintain coverage of us, changes in financial estimates by any analysts who follow our company, or our failure to meet these estimates or the expectations of investors;</w:t>
      </w:r>
    </w:p>
    <w:p>
      <w:pPr>
        <w:spacing w:after="0" w:line="122"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developments in our business or our competitors’ businesses or the competitive landscape generally;</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involving us, our industry or both, or investigations by regulators into our operations or those of our competitors;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our intellectual property rights or our solutions, or third-party proprietary rights;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announced or completed acquisitions of businesses or technologies by us or our competitors;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laws or regulations or new interpretations of existing laws or regulations applicable to our business;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major changes in our management or our board of directors, particularly with respect to Mr. Kurtz;</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slow or negative growth of our markets; and</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including those resulting from war, incidents of terrorism or responses to these events.</w:t>
      </w:r>
    </w:p>
    <w:p>
      <w:pPr>
        <w:spacing w:after="0" w:line="184" w:lineRule="exact"/>
        <w:rPr>
          <w:sz w:val="20"/>
          <w:szCs w:val="20"/>
          <w:color w:val="auto"/>
        </w:rPr>
      </w:pPr>
    </w:p>
    <w:p>
      <w:pPr>
        <w:ind w:right="120" w:firstLine="517"/>
        <w:spacing w:after="0" w:line="266" w:lineRule="auto"/>
        <w:rPr>
          <w:sz w:val="20"/>
          <w:szCs w:val="20"/>
          <w:color w:val="auto"/>
        </w:rPr>
      </w:pPr>
      <w:r>
        <w:rPr>
          <w:rFonts w:ascii="Times New Roman" w:cs="Times New Roman" w:eastAsia="Times New Roman" w:hAnsi="Times New Roman"/>
          <w:sz w:val="14"/>
          <w:szCs w:val="14"/>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have an adverse effect on our business, results of operations and financial condition.</w:t>
      </w:r>
    </w:p>
    <w:p>
      <w:pPr>
        <w:spacing w:after="0" w:line="138"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spacing w:after="0" w:line="22" w:lineRule="exact"/>
        <w:rPr>
          <w:sz w:val="20"/>
          <w:szCs w:val="20"/>
          <w:color w:val="auto"/>
        </w:rPr>
      </w:pPr>
    </w:p>
    <w:p>
      <w:pPr>
        <w:ind w:firstLine="517"/>
        <w:spacing w:after="0" w:line="275" w:lineRule="auto"/>
        <w:rPr>
          <w:sz w:val="20"/>
          <w:szCs w:val="20"/>
          <w:color w:val="auto"/>
        </w:rPr>
      </w:pPr>
      <w:r>
        <w:rPr>
          <w:rFonts w:ascii="Times New Roman" w:cs="Times New Roman" w:eastAsia="Times New Roman" w:hAnsi="Times New Roman"/>
          <w:sz w:val="14"/>
          <w:szCs w:val="14"/>
          <w:color w:val="auto"/>
        </w:rPr>
        <w:t>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and may make it more difficult for you to sell your Class A common stock at a time and price that you deem</w:t>
      </w: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00"/>
          </w:cols>
          <w:pgMar w:left="220" w:top="125" w:right="279" w:bottom="1440" w:gutter="0" w:footer="0" w:header="0"/>
        </w:sectPr>
      </w:pPr>
    </w:p>
    <w:bookmarkStart w:id="88" w:name="page89"/>
    <w:bookmarkEnd w:id="8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appropriate. As of November 29, 2019, we had </w:t>
      </w:r>
      <w:r>
        <w:rPr>
          <w:rFonts w:ascii="Times New Roman" w:cs="Times New Roman" w:eastAsia="Times New Roman" w:hAnsi="Times New Roman"/>
          <w:sz w:val="12"/>
          <w:szCs w:val="12"/>
          <w:color w:val="auto"/>
        </w:rPr>
        <w:t>40,871,355</w:t>
      </w:r>
      <w:r>
        <w:rPr>
          <w:rFonts w:ascii="Times New Roman" w:cs="Times New Roman" w:eastAsia="Times New Roman" w:hAnsi="Times New Roman"/>
          <w:sz w:val="14"/>
          <w:szCs w:val="14"/>
          <w:color w:val="auto"/>
        </w:rPr>
        <w:t xml:space="preserve"> shares of Class A common stock outstanding and </w:t>
      </w:r>
      <w:r>
        <w:rPr>
          <w:rFonts w:ascii="Times New Roman" w:cs="Times New Roman" w:eastAsia="Times New Roman" w:hAnsi="Times New Roman"/>
          <w:sz w:val="12"/>
          <w:szCs w:val="12"/>
          <w:color w:val="auto"/>
        </w:rPr>
        <w:t>164,673,516</w:t>
      </w:r>
      <w:r>
        <w:rPr>
          <w:rFonts w:ascii="Times New Roman" w:cs="Times New Roman" w:eastAsia="Times New Roman" w:hAnsi="Times New Roman"/>
          <w:sz w:val="14"/>
          <w:szCs w:val="14"/>
          <w:color w:val="auto"/>
        </w:rPr>
        <w:t xml:space="preserve"> shares of Class B common stock outstanding.</w:t>
      </w:r>
    </w:p>
    <w:p>
      <w:pPr>
        <w:spacing w:after="0" w:line="184" w:lineRule="exact"/>
        <w:rPr>
          <w:sz w:val="20"/>
          <w:szCs w:val="20"/>
          <w:color w:val="auto"/>
        </w:rPr>
      </w:pPr>
    </w:p>
    <w:p>
      <w:pPr>
        <w:ind w:right="20" w:firstLine="517"/>
        <w:spacing w:after="0" w:line="294" w:lineRule="auto"/>
        <w:rPr>
          <w:sz w:val="20"/>
          <w:szCs w:val="20"/>
          <w:color w:val="auto"/>
        </w:rPr>
      </w:pPr>
      <w:r>
        <w:rPr>
          <w:rFonts w:ascii="Times New Roman" w:cs="Times New Roman" w:eastAsia="Times New Roman" w:hAnsi="Times New Roman"/>
          <w:sz w:val="14"/>
          <w:szCs w:val="14"/>
          <w:color w:val="auto"/>
        </w:rPr>
        <w:t>All of the shares of Class A common stock sold in our initial public offering are freely tradable without restrictions or further registration under the Securities Act of 1933, as amended, or the Securities Act, except for any shares held by our affiliates as defined in Rule 144 under the Securities Act.</w:t>
      </w:r>
    </w:p>
    <w:p>
      <w:pPr>
        <w:spacing w:after="0" w:line="123" w:lineRule="exact"/>
        <w:rPr>
          <w:sz w:val="20"/>
          <w:szCs w:val="20"/>
          <w:color w:val="auto"/>
        </w:rPr>
      </w:pPr>
    </w:p>
    <w:p>
      <w:pPr>
        <w:ind w:right="520" w:firstLine="517"/>
        <w:spacing w:after="0" w:line="267" w:lineRule="auto"/>
        <w:rPr>
          <w:sz w:val="20"/>
          <w:szCs w:val="20"/>
          <w:color w:val="auto"/>
        </w:rPr>
      </w:pPr>
      <w:r>
        <w:rPr>
          <w:rFonts w:ascii="Times New Roman" w:cs="Times New Roman" w:eastAsia="Times New Roman" w:hAnsi="Times New Roman"/>
          <w:sz w:val="14"/>
          <w:szCs w:val="14"/>
          <w:color w:val="auto"/>
        </w:rPr>
        <w:t>Subject to certain exceptions, we, all of our directors and executive officers and record holders of substantially all of our securities outstanding immediately prior to our initial public offering, are subject to market stand-off agreements or have agreed not to offer, sell or agree to sell, directly or indirectly, any shares of capital stock without the permission of Goldman</w:t>
      </w:r>
    </w:p>
    <w:p>
      <w:pPr>
        <w:ind w:right="60"/>
        <w:spacing w:after="0" w:line="260" w:lineRule="auto"/>
        <w:rPr>
          <w:sz w:val="20"/>
          <w:szCs w:val="20"/>
          <w:color w:val="auto"/>
        </w:rPr>
      </w:pPr>
      <w:r>
        <w:rPr>
          <w:rFonts w:ascii="Times New Roman" w:cs="Times New Roman" w:eastAsia="Times New Roman" w:hAnsi="Times New Roman"/>
          <w:sz w:val="14"/>
          <w:szCs w:val="14"/>
          <w:color w:val="auto"/>
        </w:rPr>
        <w:t>Sachs &amp; Co. LLC on behalf of the underwriters, for a period of 180 days from June 11, 2019, which is the date of the final prospectus used in connection with our initial public offering. Such period may be shortened in certain circumstances to as few as 120 days from the date of the final prospectus; however, we currently anticipate that the lock-up will not expire until 180 days from June 11, 2019. When the lock-up period expires, we and our securityholders subject to a lock-up agreement or market stand-off agreement will be able to sell our shares in the public market. In addition, Goldman Sachs &amp; Co. LLC may, in its sole discretion, release all or some portion of the shares subject to lock-up agreements prior to the expiration of the lock-up period. Sales of a substantial number of such shares upon expiration of the lock-up and market stand-off agreements, or the perception that such sales may occur, or early release of these agreements, could cause our market price to fall or make it more difficult for you to sell your Class A common stock at a time and price that you deem appropriate.</w:t>
      </w:r>
    </w:p>
    <w:p>
      <w:pPr>
        <w:spacing w:after="0" w:line="147" w:lineRule="exact"/>
        <w:rPr>
          <w:sz w:val="20"/>
          <w:szCs w:val="20"/>
          <w:color w:val="auto"/>
        </w:rPr>
      </w:pPr>
    </w:p>
    <w:p>
      <w:pPr>
        <w:ind w:right="160" w:firstLine="517"/>
        <w:spacing w:after="0" w:line="269" w:lineRule="auto"/>
        <w:rPr>
          <w:sz w:val="20"/>
          <w:szCs w:val="20"/>
          <w:color w:val="auto"/>
        </w:rPr>
      </w:pPr>
      <w:r>
        <w:rPr>
          <w:rFonts w:ascii="Times New Roman" w:cs="Times New Roman" w:eastAsia="Times New Roman" w:hAnsi="Times New Roman"/>
          <w:sz w:val="14"/>
          <w:szCs w:val="14"/>
          <w:color w:val="auto"/>
        </w:rPr>
        <w:t>In addition, holders of an aggregate of up to 163,916,832 shares of our Class B common stock are entitled to rights with respect to registration of these shares under the Securities Act pursuant to our amended and restated registration rights agreement, or RRA. If these holders of our Class B common stock, by exercising their registration rights, sell a large number of shares, they could adversely affect the market price for our Class A common stock. We have also registered the offer and sale of all shares of Class A common stock that we may issue under our equity compensation plans.</w:t>
      </w:r>
    </w:p>
    <w:p>
      <w:pPr>
        <w:spacing w:after="0" w:line="140" w:lineRule="exact"/>
        <w:rPr>
          <w:sz w:val="20"/>
          <w:szCs w:val="20"/>
          <w:color w:val="auto"/>
        </w:rPr>
      </w:pPr>
    </w:p>
    <w:p>
      <w:pPr>
        <w:ind w:firstLine="517"/>
        <w:spacing w:after="0" w:line="263" w:lineRule="auto"/>
        <w:rPr>
          <w:sz w:val="20"/>
          <w:szCs w:val="20"/>
          <w:color w:val="auto"/>
        </w:rPr>
      </w:pPr>
      <w:r>
        <w:rPr>
          <w:rFonts w:ascii="Times New Roman" w:cs="Times New Roman" w:eastAsia="Times New Roman" w:hAnsi="Times New Roman"/>
          <w:sz w:val="14"/>
          <w:szCs w:val="14"/>
          <w:color w:val="auto"/>
        </w:rPr>
        <w:t>An aggregate of approximately 6.1 million shares of our Class B common stock that are beneficially owned by George Kurtz, our President and Chief Executive Officer and a member of our board of directors, and Burt Podbere, our Chief Financial Officer, are pledged to secure obligations of Mr. Kurtz and Mr. Podbere under certain loan agreements. In the case of nonpayment at maturity or another event of default (including but not limited to the borrower’s inability to satisfy a margin call, which may be instituted by the lender following certain declines in our stock price), the lender or any transferee (in the event that the lender had assigned or otherwise transferred its rights under the pledge to a non-affiliate) may exercise its rights under the applicable loan agreement to foreclose on and sell shares pledged to cover the amount due under the loan, provided that no sales of the pledged shares may be made to third parties by the lender until 180 days after June 11, 2019, which is the date of the final prospectus used in connection with our initial public offering, or 120 days after June 11, 2019 by any transferee unaffiliated with the lender. Any transfers or sales of such pledged shares may cause the price of our Class A common stock to decline.</w:t>
      </w:r>
    </w:p>
    <w:p>
      <w:pPr>
        <w:spacing w:after="0" w:line="145" w:lineRule="exact"/>
        <w:rPr>
          <w:sz w:val="20"/>
          <w:szCs w:val="20"/>
          <w:color w:val="auto"/>
        </w:rPr>
      </w:pPr>
    </w:p>
    <w:p>
      <w:pPr>
        <w:ind w:right="360" w:firstLine="517"/>
        <w:spacing w:after="0" w:line="294" w:lineRule="auto"/>
        <w:rPr>
          <w:sz w:val="20"/>
          <w:szCs w:val="20"/>
          <w:color w:val="auto"/>
        </w:rPr>
      </w:pPr>
      <w:r>
        <w:rPr>
          <w:rFonts w:ascii="Times New Roman" w:cs="Times New Roman" w:eastAsia="Times New Roman" w:hAnsi="Times New Roman"/>
          <w:sz w:val="14"/>
          <w:szCs w:val="14"/>
          <w:color w:val="auto"/>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spacing w:after="0" w:line="119"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119" w:lineRule="exact"/>
        <w:rPr>
          <w:sz w:val="20"/>
          <w:szCs w:val="20"/>
          <w:color w:val="auto"/>
        </w:rPr>
      </w:pPr>
    </w:p>
    <w:p>
      <w:pPr>
        <w:ind w:firstLine="517"/>
        <w:spacing w:after="0" w:line="262" w:lineRule="auto"/>
        <w:rPr>
          <w:sz w:val="20"/>
          <w:szCs w:val="20"/>
          <w:color w:val="auto"/>
        </w:rPr>
      </w:pPr>
      <w:r>
        <w:rPr>
          <w:rFonts w:ascii="Times New Roman" w:cs="Times New Roman" w:eastAsia="Times New Roman" w:hAnsi="Times New Roman"/>
          <w:sz w:val="14"/>
          <w:szCs w:val="14"/>
          <w:color w:val="auto"/>
        </w:rPr>
        <w:t>The trading market for our Class A common stock will be influenced by the research and reports that industry or financial analysts publish about us or our business. We do not control these analysts or the content and opinions included in their reports. As a new public company, we may be slow to attract research coverage and the analysts who publish information about our Class A common stock will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9" w:name="page90"/>
    <w:bookmarkEnd w:id="8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spacing w:after="0" w:line="134" w:lineRule="exact"/>
        <w:rPr>
          <w:sz w:val="20"/>
          <w:szCs w:val="20"/>
          <w:color w:val="auto"/>
        </w:rPr>
      </w:pPr>
    </w:p>
    <w:p>
      <w:pPr>
        <w:ind w:firstLine="517"/>
        <w:spacing w:after="0" w:line="266" w:lineRule="auto"/>
        <w:rPr>
          <w:sz w:val="20"/>
          <w:szCs w:val="20"/>
          <w:color w:val="auto"/>
        </w:rPr>
      </w:pPr>
      <w:r>
        <w:rPr>
          <w:rFonts w:ascii="Times New Roman" w:cs="Times New Roman" w:eastAsia="Times New Roman" w:hAnsi="Times New Roman"/>
          <w:sz w:val="14"/>
          <w:szCs w:val="14"/>
          <w:color w:val="auto"/>
        </w:rPr>
        <w:t>Our Class B common stock has 10 votes per share, and our Class A common stock has one vote per share. The dual class structure of our common stock has the effect of concentrating voting control with those stockholders who held our capital stock (or options or other securities convertible into or exercisable for our capital stock) prior to the initial public offering, including our executive officers, employees, directors, principal stockholders, and their affiliates, which will limit your ability to influence the outcome of matters submitted to our stockholders for approval, including the election of our directors and the approval of any change in control transaction.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w:t>
      </w:r>
    </w:p>
    <w:p>
      <w:pPr>
        <w:spacing w:after="0" w:line="142" w:lineRule="exact"/>
        <w:rPr>
          <w:sz w:val="20"/>
          <w:szCs w:val="20"/>
          <w:color w:val="auto"/>
        </w:rPr>
      </w:pPr>
    </w:p>
    <w:p>
      <w:pPr>
        <w:ind w:right="100" w:firstLine="517"/>
        <w:spacing w:after="0" w:line="263" w:lineRule="auto"/>
        <w:rPr>
          <w:sz w:val="20"/>
          <w:szCs w:val="20"/>
          <w:color w:val="auto"/>
        </w:rPr>
      </w:pPr>
      <w:r>
        <w:rPr>
          <w:rFonts w:ascii="Times New Roman" w:cs="Times New Roman" w:eastAsia="Times New Roman" w:hAnsi="Times New Roman"/>
          <w:sz w:val="14"/>
          <w:szCs w:val="14"/>
          <w:color w:val="auto"/>
        </w:rPr>
        <w:t>Upon the closing of our initial public offering, our executive officers, directors, each of our stockholders that owned more than five percent of our outstanding capital stock, and their respective affiliates held, in aggregate, 75% of the voting power of our outstanding capital stock. Furthermore, three of our current stockholders and their affiliates held, in aggregate, 62%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Corporate action might be taken even if other stockholders, including those who purchased shares in our initial public offering, oppose them.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spacing w:after="0" w:line="145" w:lineRule="exact"/>
        <w:rPr>
          <w:sz w:val="20"/>
          <w:szCs w:val="20"/>
          <w:color w:val="auto"/>
        </w:rPr>
      </w:pPr>
    </w:p>
    <w:p>
      <w:pPr>
        <w:ind w:right="480" w:firstLine="517"/>
        <w:spacing w:after="0" w:line="294" w:lineRule="auto"/>
        <w:rPr>
          <w:sz w:val="20"/>
          <w:szCs w:val="20"/>
          <w:color w:val="auto"/>
        </w:rPr>
      </w:pPr>
      <w:r>
        <w:rPr>
          <w:rFonts w:ascii="Times New Roman" w:cs="Times New Roman" w:eastAsia="Times New Roman" w:hAnsi="Times New Roman"/>
          <w:sz w:val="14"/>
          <w:szCs w:val="14"/>
          <w:color w:val="auto"/>
        </w:rPr>
        <w:t>Further, our amended and restated certificate of incorporation provides that, to the fullest extent permitted by law, the doctrine of “corporate opportunity” does not apply to Accel and Warburg Pincus, or their respective affiliates, in a manner that would prohibit them from investing in competing businesses or doing business with our partners or customers.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Shares of our common stock are subordinate to our debts and other liabilities, resulting in a greater risk of loss for stockholders.</w:t>
      </w:r>
    </w:p>
    <w:p>
      <w:pPr>
        <w:spacing w:after="0" w:line="188" w:lineRule="exact"/>
        <w:rPr>
          <w:sz w:val="20"/>
          <w:szCs w:val="20"/>
          <w:color w:val="auto"/>
        </w:rPr>
      </w:pPr>
    </w:p>
    <w:p>
      <w:pPr>
        <w:ind w:right="220" w:firstLine="517"/>
        <w:spacing w:after="0" w:line="294" w:lineRule="auto"/>
        <w:rPr>
          <w:sz w:val="20"/>
          <w:szCs w:val="20"/>
          <w:color w:val="auto"/>
        </w:rPr>
      </w:pPr>
      <w:r>
        <w:rPr>
          <w:rFonts w:ascii="Times New Roman" w:cs="Times New Roman" w:eastAsia="Times New Roman" w:hAnsi="Times New Roman"/>
          <w:sz w:val="14"/>
          <w:szCs w:val="14"/>
          <w:color w:val="auto"/>
        </w:rPr>
        <w:t>Shares of our common stock are subordinate in right of payment to all of our current and future debt. We cannot assure that there would be any remaining funds after the payment of all of our debts for any distribution to our common stockholders.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in the foreseeable future. As a result, your ability to achieve a return on your investment will depend on appreciation in the price of our Class A common stock.</w:t>
      </w:r>
    </w:p>
    <w:p>
      <w:pPr>
        <w:spacing w:after="0" w:line="188" w:lineRule="exact"/>
        <w:rPr>
          <w:sz w:val="20"/>
          <w:szCs w:val="20"/>
          <w:color w:val="auto"/>
        </w:rPr>
      </w:pPr>
    </w:p>
    <w:p>
      <w:pPr>
        <w:ind w:right="60" w:firstLine="517"/>
        <w:spacing w:after="0" w:line="269"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spacing w:after="0" w:line="136" w:lineRule="exact"/>
        <w:rPr>
          <w:sz w:val="20"/>
          <w:szCs w:val="20"/>
          <w:color w:val="auto"/>
        </w:rPr>
      </w:pPr>
    </w:p>
    <w:p>
      <w:pPr>
        <w:ind w:right="30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we cannot be certain if the reduced disclosure requirements applicable to emerging growth companies will make our Class A common stock less attractive to investors.</w:t>
      </w:r>
    </w:p>
    <w:p>
      <w:pPr>
        <w:spacing w:after="0" w:line="119" w:lineRule="exact"/>
        <w:rPr>
          <w:sz w:val="20"/>
          <w:szCs w:val="20"/>
          <w:color w:val="auto"/>
        </w:rPr>
      </w:pPr>
    </w:p>
    <w:p>
      <w:pPr>
        <w:ind w:right="40" w:firstLine="517"/>
        <w:spacing w:after="0" w:line="264" w:lineRule="auto"/>
        <w:rPr>
          <w:sz w:val="20"/>
          <w:szCs w:val="20"/>
          <w:color w:val="auto"/>
        </w:rPr>
      </w:pPr>
      <w:r>
        <w:rPr>
          <w:rFonts w:ascii="Times New Roman" w:cs="Times New Roman" w:eastAsia="Times New Roman" w:hAnsi="Times New Roman"/>
          <w:sz w:val="14"/>
          <w:szCs w:val="14"/>
          <w:color w:val="auto"/>
        </w:rPr>
        <w:t>For so long as we remain an “emerging growth company” as defined in the JOBS Act, we may take advantage of certain exemptions from various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we are no longer an emerging growth company. We would cease to be an emerging growth company upon the earliest to occur of: (i) the first fiscal year following the fifth anniversary of our initial public offering; (ii) the first fiscal year after our annual gross revenue is $1.07 billion or more; (iii) the date on which we have, during the previous three-year period, issued more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90" w:name="page91"/>
    <w:bookmarkEnd w:id="9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 xml:space="preserve">than $1.0 billion in non-convertible debt securities; or (iv) date on which we qualify as a “large accelerated filer,” as defined in Rule 12b-2 under the Exchange Act, </w:t>
      </w:r>
      <w:r>
        <w:rPr>
          <w:rFonts w:ascii="Times New Roman" w:cs="Times New Roman" w:eastAsia="Times New Roman" w:hAnsi="Times New Roman"/>
          <w:sz w:val="14"/>
          <w:szCs w:val="14"/>
          <w:color w:val="373739"/>
        </w:rPr>
        <w:t>which would occur at the end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373739"/>
        </w:rPr>
        <w:t>the fiscal year in which the market value of our common stock held by non-affiliates exceeded $700.0 million as of the end of the second quarter of that fiscal year, and after which we have been a reporting company for at least 12 months</w:t>
      </w:r>
      <w:r>
        <w:rPr>
          <w:rFonts w:ascii="Times New Roman" w:cs="Times New Roman" w:eastAsia="Times New Roman" w:hAnsi="Times New Roman"/>
          <w:sz w:val="14"/>
          <w:szCs w:val="14"/>
          <w:color w:val="000000"/>
        </w:rPr>
        <w:t>. Further, pursuant to Section 107 of the JOBS Act, as an emerging growth company, we have elected to take advantage of the extended transition period for</w:t>
      </w:r>
      <w:r>
        <w:rPr>
          <w:rFonts w:ascii="Times New Roman" w:cs="Times New Roman" w:eastAsia="Times New Roman" w:hAnsi="Times New Roman"/>
          <w:sz w:val="14"/>
          <w:szCs w:val="14"/>
          <w:color w:val="373739"/>
        </w:rPr>
        <w:t xml:space="preserve"> </w:t>
      </w:r>
      <w:r>
        <w:rPr>
          <w:rFonts w:ascii="Times New Roman" w:cs="Times New Roman" w:eastAsia="Times New Roman" w:hAnsi="Times New Roman"/>
          <w:sz w:val="14"/>
          <w:szCs w:val="14"/>
          <w:color w:val="000000"/>
        </w:rPr>
        <w:t>complying with new or revised accounting standards until those standards would otherwise apply to private companies. As a result, our results of operations and financial statements may not be comparable to the results of operations and financial statements of other companies who have adopted the new or revised accounting standards. We cannot predict if investors will find our Class A common stock less attractive because we may rely on these exemptions. If some investors find our Class A common stock less attractive as a result, our stock price may be more volatile.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issuance of additional stock in connection with financings, acquisitions, investments, our stock incentive plans, or otherwise will dilute all other stockholders.</w:t>
      </w:r>
    </w:p>
    <w:p>
      <w:pPr>
        <w:spacing w:after="0" w:line="188" w:lineRule="exact"/>
        <w:rPr>
          <w:sz w:val="20"/>
          <w:szCs w:val="20"/>
          <w:color w:val="auto"/>
        </w:rPr>
      </w:pPr>
    </w:p>
    <w:p>
      <w:pPr>
        <w:ind w:firstLine="517"/>
        <w:spacing w:after="0" w:line="269" w:lineRule="auto"/>
        <w:rPr>
          <w:sz w:val="20"/>
          <w:szCs w:val="20"/>
          <w:color w:val="auto"/>
        </w:rPr>
      </w:pPr>
      <w:r>
        <w:rPr>
          <w:rFonts w:ascii="Times New Roman" w:cs="Times New Roman" w:eastAsia="Times New Roman" w:hAnsi="Times New Roman"/>
          <w:sz w:val="14"/>
          <w:szCs w:val="14"/>
          <w:color w:val="auto"/>
        </w:rPr>
        <w:t>Our amended and restated certificate of incorporation authorizes us to issue up to 2,000,000,000 shares of Class A common stock, up to 300,000,000 shares of Class B common stock, and up to 100,000,000 shares of preferred stock with such rights and preferences as may be determined by our board of directors. Subject to compliance with applicable rules and regulations, we may issue shares of Class A common stock or securities convertible into shares of our Class A common stock from time to time in connection with a financing, acquisition, investment, our stock incentive plans or otherwise. Any such issuance could result in substantial dilution to our existing stockholders and cause the market price of our Class A common stock to decline.</w:t>
      </w:r>
    </w:p>
    <w:p>
      <w:pPr>
        <w:spacing w:after="0" w:line="136"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spacing w:after="0" w:line="119" w:lineRule="exact"/>
        <w:rPr>
          <w:sz w:val="20"/>
          <w:szCs w:val="20"/>
          <w:color w:val="auto"/>
        </w:rPr>
      </w:pPr>
    </w:p>
    <w:p>
      <w:pPr>
        <w:ind w:right="80" w:firstLine="517"/>
        <w:spacing w:after="0" w:line="275"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36" w:lineRule="exact"/>
        <w:rPr>
          <w:sz w:val="20"/>
          <w:szCs w:val="20"/>
          <w:color w:val="auto"/>
        </w:rPr>
      </w:pPr>
    </w:p>
    <w:p>
      <w:pPr>
        <w:ind w:left="780" w:right="300" w:hanging="257"/>
        <w:spacing w:after="0" w:line="294" w:lineRule="auto"/>
        <w:tabs>
          <w:tab w:leader="none" w:pos="77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spacing w:after="0" w:line="122"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of directors with three-year staggered terms, which could delay the ability of stockholders to change the membership of a majority of our board of directors;</w:t>
      </w:r>
    </w:p>
    <w:p>
      <w:pPr>
        <w:spacing w:after="0" w:line="183" w:lineRule="exact"/>
        <w:rPr>
          <w:rFonts w:ascii="Times New Roman" w:cs="Times New Roman" w:eastAsia="Times New Roman" w:hAnsi="Times New Roman"/>
          <w:sz w:val="14"/>
          <w:szCs w:val="14"/>
          <w:color w:val="auto"/>
        </w:rPr>
      </w:pPr>
    </w:p>
    <w:p>
      <w:pPr>
        <w:ind w:left="780" w:right="540" w:hanging="257"/>
        <w:spacing w:after="0" w:line="294" w:lineRule="auto"/>
        <w:tabs>
          <w:tab w:leader="none" w:pos="77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22" w:lineRule="exact"/>
        <w:rPr>
          <w:rFonts w:ascii="Times New Roman" w:cs="Times New Roman" w:eastAsia="Times New Roman" w:hAnsi="Times New Roman"/>
          <w:sz w:val="14"/>
          <w:szCs w:val="14"/>
          <w:color w:val="auto"/>
        </w:rPr>
      </w:pPr>
    </w:p>
    <w:p>
      <w:pPr>
        <w:ind w:left="780" w:right="20" w:hanging="257"/>
        <w:spacing w:after="0" w:line="294" w:lineRule="auto"/>
        <w:tabs>
          <w:tab w:leader="none" w:pos="77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22" w:lineRule="exact"/>
        <w:rPr>
          <w:rFonts w:ascii="Times New Roman" w:cs="Times New Roman" w:eastAsia="Times New Roman" w:hAnsi="Times New Roman"/>
          <w:sz w:val="14"/>
          <w:szCs w:val="14"/>
          <w:color w:val="auto"/>
        </w:rPr>
      </w:pPr>
    </w:p>
    <w:p>
      <w:pPr>
        <w:ind w:left="780" w:right="40" w:hanging="257"/>
        <w:spacing w:after="0" w:line="275" w:lineRule="auto"/>
        <w:tabs>
          <w:tab w:leader="none" w:pos="77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spacing w:after="0" w:line="136" w:lineRule="exact"/>
        <w:rPr>
          <w:rFonts w:ascii="Times New Roman" w:cs="Times New Roman" w:eastAsia="Times New Roman" w:hAnsi="Times New Roman"/>
          <w:sz w:val="14"/>
          <w:szCs w:val="14"/>
          <w:color w:val="auto"/>
        </w:rPr>
      </w:pPr>
    </w:p>
    <w:p>
      <w:pPr>
        <w:ind w:left="780" w:right="20" w:hanging="257"/>
        <w:spacing w:after="0" w:line="275" w:lineRule="auto"/>
        <w:tabs>
          <w:tab w:leader="none" w:pos="77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36"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amendments to our amended and restated certificate of incorporation require the approval of two-thirds of the then-outstanding voting power of our capital stock; and</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91" w:name="page92"/>
    <w:bookmarkEnd w:id="9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80" w:right="100" w:hanging="257"/>
        <w:spacing w:after="0" w:line="294" w:lineRule="auto"/>
        <w:tabs>
          <w:tab w:leader="none" w:pos="77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These provisions may prohibit large stockholders, in particular those owning 15% or more of our outstanding voting stock, from merging or combining with us for a certain period of time.</w:t>
      </w:r>
    </w:p>
    <w:p>
      <w:pPr>
        <w:spacing w:after="0" w:line="18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amended and restated bylaws provide that the Court of Chancery of the State of Delaware is the exclusive forum for:</w:t>
      </w:r>
    </w:p>
    <w:p>
      <w:pPr>
        <w:spacing w:after="0" w:line="184" w:lineRule="exact"/>
        <w:rPr>
          <w:sz w:val="20"/>
          <w:szCs w:val="20"/>
          <w:color w:val="auto"/>
        </w:rPr>
      </w:pPr>
    </w:p>
    <w:p>
      <w:pPr>
        <w:ind w:left="780" w:hanging="257"/>
        <w:spacing w:after="0"/>
        <w:tabs>
          <w:tab w:leader="none" w:pos="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our behalf;</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breach of fiduciary duty;</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arising under the Delaware General Corporation Law, our amended and restated certificate of incorporation or our amended and restated bylaws;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to interpret, apply, enforce or determine the validity of our amended and restated certificate of incorporation or our amended and restated bylaws; and</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that is governed by the internal-affairs doctrine.</w:t>
      </w:r>
    </w:p>
    <w:p>
      <w:pPr>
        <w:spacing w:after="0" w:line="184" w:lineRule="exact"/>
        <w:rPr>
          <w:sz w:val="20"/>
          <w:szCs w:val="20"/>
          <w:color w:val="auto"/>
        </w:rPr>
      </w:pPr>
    </w:p>
    <w:p>
      <w:pPr>
        <w:ind w:right="40" w:firstLine="517"/>
        <w:spacing w:after="0" w:line="275" w:lineRule="auto"/>
        <w:rPr>
          <w:sz w:val="20"/>
          <w:szCs w:val="20"/>
          <w:color w:val="auto"/>
        </w:rPr>
      </w:pPr>
      <w:r>
        <w:rPr>
          <w:rFonts w:ascii="Times New Roman" w:cs="Times New Roman" w:eastAsia="Times New Roman" w:hAnsi="Times New Roman"/>
          <w:sz w:val="14"/>
          <w:szCs w:val="14"/>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36"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Shares of Equity Securities and Use of Proceeds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Proceeds from Public Offering of Common Stock</w:t>
      </w:r>
    </w:p>
    <w:p>
      <w:pPr>
        <w:spacing w:after="0" w:line="186" w:lineRule="exact"/>
        <w:rPr>
          <w:sz w:val="20"/>
          <w:szCs w:val="20"/>
          <w:color w:val="auto"/>
        </w:rPr>
      </w:pPr>
    </w:p>
    <w:p>
      <w:pPr>
        <w:ind w:right="40" w:firstLine="517"/>
        <w:spacing w:after="0" w:line="261" w:lineRule="auto"/>
        <w:rPr>
          <w:sz w:val="20"/>
          <w:szCs w:val="20"/>
          <w:color w:val="auto"/>
        </w:rPr>
      </w:pPr>
      <w:r>
        <w:rPr>
          <w:rFonts w:ascii="Times New Roman" w:cs="Times New Roman" w:eastAsia="Times New Roman" w:hAnsi="Times New Roman"/>
          <w:sz w:val="14"/>
          <w:szCs w:val="14"/>
          <w:color w:val="auto"/>
        </w:rPr>
        <w:t>On June 14, 2019, we closed our initial public offering, in which we sold 20,700,000 shares of our Class A common stock at a price to the public of $34.00 per share, including shares sold in connection with the full exercise of the underwriters’ option to purchase additional shares. The offer and sale of all of the shares in the IPO were registered under the Securities Act pursuant to a registration statement on Form S-1 (File No. 333-231461), which was declared effective by the SEC on June 11, 2019. The managing underwriter of our IPO was Goldman Sachs &amp; Co. LLC. Following the sale of the shares in connection with the closing of the IPO, the offering terminated. The aggregate offering price of the offering was $703.8 million, before deducting underwriters’ discounts and commissions of $38.7 million and before deducting an estimated $5.9 million of offering expenses payable by us. None of such expenses were paid by us to our directors, officers, or persons owning ten percent or more of our common stock or to their associates, or to our affiliates, other than payments in the ordinary course of business to officers for salaries and to non-employee directors pursuant to our director compensation policy. We estimate that we received net proceeds of $659.2 million from our initial public offering. There has been no material change in the planned use of proceeds from our IPO as described in the final prospectus used in connection with our initial public offering. Pending the uses described, we intend to invest the net proceeds in short-term interest-bearing investment-grade securities, certificates of deposit or government securities, pursuant to the investment policy approved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92" w:name="page93"/>
    <w:bookmarkEnd w:id="9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0239"/>
          </w:cols>
          <w:pgMar w:left="220" w:top="125" w:right="1440" w:bottom="1440" w:gutter="0" w:footer="0" w:header="0"/>
        </w:sectPr>
      </w:pPr>
    </w:p>
    <w:bookmarkStart w:id="93" w:name="page94"/>
    <w:bookmarkEnd w:id="9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have filed the exhibits listed on the accompanying Exhibit Index, which is incorporated herein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Index to Exhibits</w:t>
      </w:r>
    </w:p>
    <w:p>
      <w:pPr>
        <w:spacing w:after="0" w:line="52" w:lineRule="exact"/>
        <w:rPr>
          <w:sz w:val="20"/>
          <w:szCs w:val="20"/>
          <w:color w:val="auto"/>
        </w:rPr>
      </w:pPr>
    </w:p>
    <w:tbl>
      <w:tblPr>
        <w:tblLayout w:type="fixed"/>
        <w:tblInd w:w="300" w:type="dxa"/>
        <w:tblCellMar>
          <w:top w:w="0" w:type="dxa"/>
          <w:left w:w="0" w:type="dxa"/>
          <w:bottom w:w="0" w:type="dxa"/>
          <w:right w:w="0" w:type="dxa"/>
        </w:tblCellMar>
      </w:tblPr>
      <w:tr>
        <w:trPr>
          <w:trHeight w:val="150"/>
        </w:trPr>
        <w:tc>
          <w:tcPr>
            <w:tcW w:w="14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8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48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Exhibit</w:t>
            </w:r>
          </w:p>
        </w:tc>
        <w:tc>
          <w:tcPr>
            <w:tcW w:w="3720" w:type="dxa"/>
            <w:vAlign w:val="bottom"/>
            <w:vMerge w:val="restart"/>
          </w:tcPr>
          <w:p>
            <w:pPr>
              <w:ind w:left="106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1120" w:type="dxa"/>
            <w:vAlign w:val="bottom"/>
            <w:vMerge w:val="restart"/>
          </w:tcPr>
          <w:p>
            <w:pPr>
              <w:ind w:left="40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600" w:type="dxa"/>
            <w:vAlign w:val="bottom"/>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60" w:type="dxa"/>
            <w:vAlign w:val="bottom"/>
          </w:tcPr>
          <w:p>
            <w:pPr>
              <w:jc w:val="center"/>
              <w:ind w:right="363"/>
              <w:spacing w:after="0" w:line="121" w:lineRule="exact"/>
              <w:rPr>
                <w:sz w:val="20"/>
                <w:szCs w:val="20"/>
                <w:color w:val="auto"/>
              </w:rPr>
            </w:pPr>
            <w:r>
              <w:rPr>
                <w:rFonts w:ascii="Times New Roman" w:cs="Times New Roman" w:eastAsia="Times New Roman" w:hAnsi="Times New Roman"/>
                <w:sz w:val="11"/>
                <w:szCs w:val="11"/>
                <w:b w:val="1"/>
                <w:bCs w:val="1"/>
                <w:color w:val="auto"/>
              </w:rPr>
              <w:t>Filing</w:t>
            </w:r>
          </w:p>
        </w:tc>
        <w:tc>
          <w:tcPr>
            <w:tcW w:w="138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50"/>
        </w:trPr>
        <w:tc>
          <w:tcPr>
            <w:tcW w:w="14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72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860" w:type="dxa"/>
            <w:vAlign w:val="bottom"/>
          </w:tcPr>
          <w:p>
            <w:pPr>
              <w:jc w:val="center"/>
              <w:ind w:right="343"/>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380" w:type="dxa"/>
            <w:vAlign w:val="bottom"/>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5715</wp:posOffset>
            </wp:positionV>
            <wp:extent cx="654875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48755" cy="69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tbl>
      <w:tblPr>
        <w:tblLayout w:type="fixed"/>
        <w:tblInd w:w="0" w:type="dxa"/>
        <w:tblCellMar>
          <w:top w:w="0" w:type="dxa"/>
          <w:left w:w="0" w:type="dxa"/>
          <w:bottom w:w="0" w:type="dxa"/>
          <w:right w:w="0" w:type="dxa"/>
        </w:tblCellMar>
      </w:tblPr>
      <w:tr>
        <w:trPr>
          <w:trHeight w:val="151"/>
        </w:trPr>
        <w:tc>
          <w:tcPr>
            <w:tcW w:w="340" w:type="dxa"/>
            <w:vAlign w:val="bottom"/>
            <w:tcBorders>
              <w:top w:val="single" w:sz="8" w:color="auto"/>
            </w:tcBorders>
            <w:gridSpan w:val="3"/>
          </w:tcPr>
          <w:p>
            <w:pPr>
              <w:ind w:left="20"/>
              <w:spacing w:after="0" w:line="151" w:lineRule="exact"/>
              <w:rPr>
                <w:rFonts w:ascii="Times New Roman" w:cs="Times New Roman" w:eastAsia="Times New Roman" w:hAnsi="Times New Roman"/>
                <w:sz w:val="14"/>
                <w:szCs w:val="14"/>
                <w:color w:val="0000FF"/>
              </w:rPr>
            </w:pPr>
            <w:hyperlink w:anchor="page9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hyperlink>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240" w:type="dxa"/>
            <w:vAlign w:val="bottom"/>
            <w:gridSpan w:val="11"/>
          </w:tcPr>
          <w:p>
            <w:pPr>
              <w:spacing w:after="0" w:line="151" w:lineRule="exact"/>
              <w:rPr>
                <w:rFonts w:ascii="Times New Roman" w:cs="Times New Roman" w:eastAsia="Times New Roman" w:hAnsi="Times New Roman"/>
                <w:sz w:val="14"/>
                <w:szCs w:val="14"/>
                <w:color w:val="0000FF"/>
              </w:rPr>
            </w:pPr>
            <w:hyperlink w:anchor="page96">
              <w:r>
                <w:rPr>
                  <w:rFonts w:ascii="Times New Roman" w:cs="Times New Roman" w:eastAsia="Times New Roman" w:hAnsi="Times New Roman"/>
                  <w:sz w:val="14"/>
                  <w:szCs w:val="14"/>
                  <w:color w:val="0000FF"/>
                </w:rPr>
                <w:t>Fourth Amendment to Office Lease between SPF Mathilda, LLC and</w:t>
              </w:r>
            </w:hyperlink>
          </w:p>
        </w:tc>
      </w:tr>
      <w:tr>
        <w:trPr>
          <w:trHeight w:val="120"/>
        </w:trPr>
        <w:tc>
          <w:tcPr>
            <w:tcW w:w="20" w:type="dxa"/>
            <w:vAlign w:val="bottom"/>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60" w:type="dxa"/>
            <w:vAlign w:val="bottom"/>
            <w:tcBorders>
              <w:top w:val="single" w:sz="8" w:color="0000FF"/>
            </w:tcBorders>
            <w:gridSpan w:val="5"/>
          </w:tcPr>
          <w:p>
            <w:pPr>
              <w:spacing w:after="0" w:line="120" w:lineRule="exact"/>
              <w:rPr>
                <w:rFonts w:ascii="Times New Roman" w:cs="Times New Roman" w:eastAsia="Times New Roman" w:hAnsi="Times New Roman"/>
                <w:sz w:val="13"/>
                <w:szCs w:val="13"/>
                <w:color w:val="0000FF"/>
              </w:rPr>
            </w:pPr>
            <w:hyperlink w:anchor="page96">
              <w:r>
                <w:rPr>
                  <w:rFonts w:ascii="Times New Roman" w:cs="Times New Roman" w:eastAsia="Times New Roman" w:hAnsi="Times New Roman"/>
                  <w:sz w:val="13"/>
                  <w:szCs w:val="13"/>
                  <w:color w:val="0000FF"/>
                </w:rPr>
                <w:t>CrowdStrike, Inc., dated August 16, 2019</w:t>
              </w:r>
            </w:hyperlink>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3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340" w:type="dxa"/>
            <w:vAlign w:val="bottom"/>
            <w:gridSpan w:val="3"/>
          </w:tcPr>
          <w:p>
            <w:pPr>
              <w:ind w:left="20"/>
              <w:spacing w:after="0"/>
              <w:rPr>
                <w:rFonts w:ascii="Times New Roman" w:cs="Times New Roman" w:eastAsia="Times New Roman" w:hAnsi="Times New Roman"/>
                <w:sz w:val="14"/>
                <w:szCs w:val="14"/>
                <w:color w:val="0000FF"/>
              </w:rPr>
            </w:pPr>
            <w:hyperlink w:anchor="page126">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hyperlink>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40" w:type="dxa"/>
            <w:vAlign w:val="bottom"/>
            <w:gridSpan w:val="11"/>
          </w:tcPr>
          <w:p>
            <w:pPr>
              <w:spacing w:after="0"/>
              <w:rPr>
                <w:rFonts w:ascii="Times New Roman" w:cs="Times New Roman" w:eastAsia="Times New Roman" w:hAnsi="Times New Roman"/>
                <w:sz w:val="14"/>
                <w:szCs w:val="14"/>
                <w:color w:val="0000FF"/>
              </w:rPr>
            </w:pPr>
            <w:hyperlink w:anchor="page126">
              <w:r>
                <w:rPr>
                  <w:rFonts w:ascii="Times New Roman" w:cs="Times New Roman" w:eastAsia="Times New Roman" w:hAnsi="Times New Roman"/>
                  <w:sz w:val="14"/>
                  <w:szCs w:val="14"/>
                  <w:color w:val="0000FF"/>
                </w:rPr>
                <w:t>Certification of the Principal Executive Officer pursuant to Exchange Act</w:t>
              </w:r>
            </w:hyperlink>
          </w:p>
        </w:tc>
      </w:tr>
      <w:tr>
        <w:trPr>
          <w:trHeight w:val="120"/>
        </w:trPr>
        <w:tc>
          <w:tcPr>
            <w:tcW w:w="20" w:type="dxa"/>
            <w:vAlign w:val="bottom"/>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0" w:type="dxa"/>
            <w:vAlign w:val="bottom"/>
            <w:tcBorders>
              <w:top w:val="single" w:sz="8" w:color="0000FF"/>
            </w:tcBorders>
            <w:gridSpan w:val="9"/>
          </w:tcPr>
          <w:p>
            <w:pPr>
              <w:spacing w:after="0" w:line="120" w:lineRule="exact"/>
              <w:rPr>
                <w:rFonts w:ascii="Times New Roman" w:cs="Times New Roman" w:eastAsia="Times New Roman" w:hAnsi="Times New Roman"/>
                <w:sz w:val="13"/>
                <w:szCs w:val="13"/>
                <w:color w:val="0000FF"/>
              </w:rPr>
            </w:pPr>
            <w:hyperlink w:anchor="page126">
              <w:r>
                <w:rPr>
                  <w:rFonts w:ascii="Times New Roman" w:cs="Times New Roman" w:eastAsia="Times New Roman" w:hAnsi="Times New Roman"/>
                  <w:sz w:val="13"/>
                  <w:szCs w:val="13"/>
                  <w:color w:val="0000FF"/>
                </w:rPr>
                <w:t>Rules 13a14(a) and 15d14(a), as adopted pursuant to Section 302 of the</w:t>
              </w:r>
            </w:hyperlink>
          </w:p>
        </w:tc>
        <w:tc>
          <w:tcPr>
            <w:tcW w:w="20" w:type="dxa"/>
            <w:vAlign w:val="bottom"/>
          </w:tcPr>
          <w:p>
            <w:pPr>
              <w:spacing w:after="0"/>
              <w:rPr>
                <w:sz w:val="10"/>
                <w:szCs w:val="10"/>
                <w:color w:val="auto"/>
              </w:rPr>
            </w:pPr>
          </w:p>
        </w:tc>
      </w:tr>
      <w:tr>
        <w:trPr>
          <w:trHeight w:val="120"/>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100" w:type="dxa"/>
            <w:vAlign w:val="bottom"/>
            <w:tcBorders>
              <w:top w:val="single" w:sz="8" w:color="0000FF"/>
            </w:tcBorders>
            <w:gridSpan w:val="8"/>
          </w:tcPr>
          <w:p>
            <w:pPr>
              <w:spacing w:after="0" w:line="120" w:lineRule="exact"/>
              <w:rPr>
                <w:rFonts w:ascii="Times New Roman" w:cs="Times New Roman" w:eastAsia="Times New Roman" w:hAnsi="Times New Roman"/>
                <w:sz w:val="13"/>
                <w:szCs w:val="13"/>
                <w:color w:val="0000FF"/>
              </w:rPr>
            </w:pPr>
            <w:hyperlink w:anchor="page126">
              <w:r>
                <w:rPr>
                  <w:rFonts w:ascii="Times New Roman" w:cs="Times New Roman" w:eastAsia="Times New Roman" w:hAnsi="Times New Roman"/>
                  <w:sz w:val="13"/>
                  <w:szCs w:val="13"/>
                  <w:color w:val="0000FF"/>
                </w:rPr>
                <w:t>Sarbanes-Oxley Act of 2002.</w:t>
              </w:r>
            </w:hyperlink>
          </w:p>
        </w:tc>
        <w:tc>
          <w:tcPr>
            <w:tcW w:w="8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r>
      <w:tr>
        <w:trPr>
          <w:trHeight w:val="20"/>
        </w:trPr>
        <w:tc>
          <w:tcPr>
            <w:tcW w:w="3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63"/>
        </w:trPr>
        <w:tc>
          <w:tcPr>
            <w:tcW w:w="340" w:type="dxa"/>
            <w:vAlign w:val="bottom"/>
            <w:gridSpan w:val="3"/>
          </w:tcPr>
          <w:p>
            <w:pPr>
              <w:ind w:left="20"/>
              <w:spacing w:after="0"/>
              <w:rPr>
                <w:rFonts w:ascii="Times New Roman" w:cs="Times New Roman" w:eastAsia="Times New Roman" w:hAnsi="Times New Roman"/>
                <w:sz w:val="14"/>
                <w:szCs w:val="14"/>
                <w:color w:val="0000FF"/>
              </w:rPr>
            </w:pPr>
            <w:hyperlink w:anchor="page127">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hyperlink>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40" w:type="dxa"/>
            <w:vAlign w:val="bottom"/>
            <w:gridSpan w:val="11"/>
          </w:tcPr>
          <w:p>
            <w:pPr>
              <w:spacing w:after="0"/>
              <w:rPr>
                <w:rFonts w:ascii="Times New Roman" w:cs="Times New Roman" w:eastAsia="Times New Roman" w:hAnsi="Times New Roman"/>
                <w:sz w:val="14"/>
                <w:szCs w:val="14"/>
                <w:color w:val="0000FF"/>
              </w:rPr>
            </w:pPr>
            <w:hyperlink w:anchor="page127">
              <w:r>
                <w:rPr>
                  <w:rFonts w:ascii="Times New Roman" w:cs="Times New Roman" w:eastAsia="Times New Roman" w:hAnsi="Times New Roman"/>
                  <w:sz w:val="14"/>
                  <w:szCs w:val="14"/>
                  <w:color w:val="0000FF"/>
                </w:rPr>
                <w:t>Certification of the Principal Financial Officer pursuant to Exchange Act</w:t>
              </w:r>
            </w:hyperlink>
          </w:p>
        </w:tc>
      </w:tr>
      <w:tr>
        <w:trPr>
          <w:trHeight w:val="120"/>
        </w:trPr>
        <w:tc>
          <w:tcPr>
            <w:tcW w:w="20" w:type="dxa"/>
            <w:vAlign w:val="bottom"/>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60" w:type="dxa"/>
            <w:vAlign w:val="bottom"/>
            <w:tcBorders>
              <w:top w:val="single" w:sz="8" w:color="0000FF"/>
            </w:tcBorders>
            <w:gridSpan w:val="8"/>
          </w:tcPr>
          <w:p>
            <w:pPr>
              <w:spacing w:after="0" w:line="120" w:lineRule="exact"/>
              <w:rPr>
                <w:rFonts w:ascii="Times New Roman" w:cs="Times New Roman" w:eastAsia="Times New Roman" w:hAnsi="Times New Roman"/>
                <w:sz w:val="13"/>
                <w:szCs w:val="13"/>
                <w:color w:val="0000FF"/>
              </w:rPr>
            </w:pPr>
            <w:hyperlink w:anchor="page127">
              <w:r>
                <w:rPr>
                  <w:rFonts w:ascii="Times New Roman" w:cs="Times New Roman" w:eastAsia="Times New Roman" w:hAnsi="Times New Roman"/>
                  <w:sz w:val="13"/>
                  <w:szCs w:val="13"/>
                  <w:color w:val="0000FF"/>
                </w:rPr>
                <w:t>Rules 13a14(a) and 15d14(a), as adopted pursuant to Section 302 of the</w:t>
              </w:r>
            </w:hyperlink>
          </w:p>
        </w:tc>
        <w:tc>
          <w:tcPr>
            <w:tcW w:w="60" w:type="dxa"/>
            <w:vAlign w:val="bottom"/>
            <w:gridSpan w:val="2"/>
          </w:tcPr>
          <w:p>
            <w:pPr>
              <w:spacing w:after="0"/>
              <w:rPr>
                <w:sz w:val="10"/>
                <w:szCs w:val="10"/>
                <w:color w:val="auto"/>
              </w:rPr>
            </w:pPr>
          </w:p>
        </w:tc>
      </w:tr>
      <w:tr>
        <w:trPr>
          <w:trHeight w:val="120"/>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100" w:type="dxa"/>
            <w:vAlign w:val="bottom"/>
            <w:tcBorders>
              <w:top w:val="single" w:sz="8" w:color="0000FF"/>
            </w:tcBorders>
            <w:gridSpan w:val="8"/>
          </w:tcPr>
          <w:p>
            <w:pPr>
              <w:spacing w:after="0" w:line="120" w:lineRule="exact"/>
              <w:rPr>
                <w:rFonts w:ascii="Times New Roman" w:cs="Times New Roman" w:eastAsia="Times New Roman" w:hAnsi="Times New Roman"/>
                <w:sz w:val="13"/>
                <w:szCs w:val="13"/>
                <w:color w:val="0000FF"/>
              </w:rPr>
            </w:pPr>
            <w:hyperlink w:anchor="page127">
              <w:r>
                <w:rPr>
                  <w:rFonts w:ascii="Times New Roman" w:cs="Times New Roman" w:eastAsia="Times New Roman" w:hAnsi="Times New Roman"/>
                  <w:sz w:val="13"/>
                  <w:szCs w:val="13"/>
                  <w:color w:val="0000FF"/>
                </w:rPr>
                <w:t>Sarbanes-Oxley Act of 2002.</w:t>
              </w:r>
            </w:hyperlink>
          </w:p>
        </w:tc>
        <w:tc>
          <w:tcPr>
            <w:tcW w:w="140" w:type="dxa"/>
            <w:vAlign w:val="bottom"/>
            <w:gridSpan w:val="3"/>
          </w:tcPr>
          <w:p>
            <w:pPr>
              <w:spacing w:after="0"/>
              <w:rPr>
                <w:sz w:val="10"/>
                <w:szCs w:val="10"/>
                <w:color w:val="auto"/>
              </w:rPr>
            </w:pPr>
          </w:p>
        </w:tc>
      </w:tr>
      <w:tr>
        <w:trPr>
          <w:trHeight w:val="20"/>
        </w:trPr>
        <w:tc>
          <w:tcPr>
            <w:tcW w:w="3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63"/>
        </w:trPr>
        <w:tc>
          <w:tcPr>
            <w:tcW w:w="1000" w:type="dxa"/>
            <w:vAlign w:val="bottom"/>
            <w:gridSpan w:val="4"/>
          </w:tcPr>
          <w:p>
            <w:pPr>
              <w:ind w:left="20"/>
              <w:spacing w:after="0"/>
              <w:rPr>
                <w:rFonts w:ascii="Times New Roman" w:cs="Times New Roman" w:eastAsia="Times New Roman" w:hAnsi="Times New Roman"/>
                <w:sz w:val="14"/>
                <w:szCs w:val="14"/>
                <w:color w:val="0000FF"/>
              </w:rPr>
            </w:pPr>
            <w:hyperlink w:anchor="page128">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hyperlink>
          </w:p>
        </w:tc>
        <w:tc>
          <w:tcPr>
            <w:tcW w:w="160" w:type="dxa"/>
            <w:vAlign w:val="bottom"/>
          </w:tcPr>
          <w:p>
            <w:pPr>
              <w:spacing w:after="0"/>
              <w:rPr>
                <w:sz w:val="14"/>
                <w:szCs w:val="14"/>
                <w:color w:val="auto"/>
              </w:rPr>
            </w:pPr>
          </w:p>
        </w:tc>
        <w:tc>
          <w:tcPr>
            <w:tcW w:w="4240" w:type="dxa"/>
            <w:vAlign w:val="bottom"/>
            <w:gridSpan w:val="11"/>
          </w:tcPr>
          <w:p>
            <w:pPr>
              <w:spacing w:after="0"/>
              <w:rPr>
                <w:rFonts w:ascii="Times New Roman" w:cs="Times New Roman" w:eastAsia="Times New Roman" w:hAnsi="Times New Roman"/>
                <w:sz w:val="14"/>
                <w:szCs w:val="14"/>
                <w:color w:val="0000FF"/>
              </w:rPr>
            </w:pPr>
            <w:hyperlink w:anchor="page128">
              <w:r>
                <w:rPr>
                  <w:rFonts w:ascii="Times New Roman" w:cs="Times New Roman" w:eastAsia="Times New Roman" w:hAnsi="Times New Roman"/>
                  <w:sz w:val="14"/>
                  <w:szCs w:val="14"/>
                  <w:color w:val="0000FF"/>
                </w:rPr>
                <w:t>Certification of the Principal Executive Officer and Principal Financial</w:t>
              </w:r>
            </w:hyperlink>
          </w:p>
        </w:tc>
      </w:tr>
      <w:tr>
        <w:trPr>
          <w:trHeight w:val="120"/>
        </w:trPr>
        <w:tc>
          <w:tcPr>
            <w:tcW w:w="20" w:type="dxa"/>
            <w:vAlign w:val="bottom"/>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40" w:type="dxa"/>
            <w:vAlign w:val="bottom"/>
            <w:tcBorders>
              <w:top w:val="single" w:sz="8" w:color="0000FF"/>
            </w:tcBorders>
            <w:gridSpan w:val="6"/>
          </w:tcPr>
          <w:p>
            <w:pPr>
              <w:spacing w:after="0" w:line="120" w:lineRule="exact"/>
              <w:rPr>
                <w:rFonts w:ascii="Times New Roman" w:cs="Times New Roman" w:eastAsia="Times New Roman" w:hAnsi="Times New Roman"/>
                <w:sz w:val="13"/>
                <w:szCs w:val="13"/>
                <w:color w:val="0000FF"/>
              </w:rPr>
            </w:pPr>
            <w:hyperlink w:anchor="page128">
              <w:r>
                <w:rPr>
                  <w:rFonts w:ascii="Times New Roman" w:cs="Times New Roman" w:eastAsia="Times New Roman" w:hAnsi="Times New Roman"/>
                  <w:sz w:val="13"/>
                  <w:szCs w:val="13"/>
                  <w:color w:val="0000FF"/>
                </w:rPr>
                <w:t>Officer pursuant to 18 U.S.C. Section 1350, as adopted pursuant to</w:t>
              </w:r>
            </w:hyperlink>
          </w:p>
        </w:tc>
        <w:tc>
          <w:tcPr>
            <w:tcW w:w="180" w:type="dxa"/>
            <w:vAlign w:val="bottom"/>
            <w:gridSpan w:val="4"/>
          </w:tcPr>
          <w:p>
            <w:pPr>
              <w:spacing w:after="0"/>
              <w:rPr>
                <w:sz w:val="10"/>
                <w:szCs w:val="10"/>
                <w:color w:val="auto"/>
              </w:rPr>
            </w:pPr>
          </w:p>
        </w:tc>
      </w:tr>
      <w:tr>
        <w:trPr>
          <w:trHeight w:val="120"/>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60" w:type="dxa"/>
            <w:vAlign w:val="bottom"/>
            <w:tcBorders>
              <w:top w:val="single" w:sz="8" w:color="0000FF"/>
              <w:bottom w:val="single" w:sz="8" w:color="0000FF"/>
            </w:tcBorders>
            <w:gridSpan w:val="4"/>
          </w:tcPr>
          <w:p>
            <w:pPr>
              <w:spacing w:after="0" w:line="120" w:lineRule="exact"/>
              <w:rPr>
                <w:rFonts w:ascii="Times New Roman" w:cs="Times New Roman" w:eastAsia="Times New Roman" w:hAnsi="Times New Roman"/>
                <w:sz w:val="13"/>
                <w:szCs w:val="13"/>
                <w:color w:val="0000FF"/>
              </w:rPr>
            </w:pPr>
            <w:hyperlink w:anchor="page128">
              <w:r>
                <w:rPr>
                  <w:rFonts w:ascii="Times New Roman" w:cs="Times New Roman" w:eastAsia="Times New Roman" w:hAnsi="Times New Roman"/>
                  <w:sz w:val="13"/>
                  <w:szCs w:val="13"/>
                  <w:color w:val="0000FF"/>
                </w:rPr>
                <w:t>Section 906 of the Sarbanes-Oxley Act of 2002.</w:t>
              </w:r>
            </w:hyperlink>
          </w:p>
        </w:tc>
        <w:tc>
          <w:tcPr>
            <w:tcW w:w="1080" w:type="dxa"/>
            <w:vAlign w:val="bottom"/>
            <w:tcBorders>
              <w:top w:val="single" w:sz="8" w:color="0000FF"/>
            </w:tcBorders>
          </w:tcPr>
          <w:p>
            <w:pPr>
              <w:spacing w:after="0"/>
              <w:rPr>
                <w:sz w:val="10"/>
                <w:szCs w:val="10"/>
                <w:color w:val="auto"/>
              </w:rPr>
            </w:pPr>
          </w:p>
        </w:tc>
        <w:tc>
          <w:tcPr>
            <w:tcW w:w="400" w:type="dxa"/>
            <w:vAlign w:val="bottom"/>
            <w:gridSpan w:val="6"/>
          </w:tcPr>
          <w:p>
            <w:pPr>
              <w:spacing w:after="0"/>
              <w:rPr>
                <w:sz w:val="10"/>
                <w:szCs w:val="10"/>
                <w:color w:val="auto"/>
              </w:rPr>
            </w:pP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313" w:lineRule="exact"/>
        <w:rPr>
          <w:sz w:val="20"/>
          <w:szCs w:val="20"/>
          <w:color w:val="auto"/>
        </w:rPr>
      </w:pPr>
    </w:p>
    <w:p>
      <w:pPr>
        <w:sectPr>
          <w:pgSz w:w="11900" w:h="16838" w:orient="portrait"/>
          <w:cols w:equalWidth="0" w:num="2">
            <w:col w:w="10040" w:space="720"/>
            <w:col w:w="700"/>
          </w:cols>
          <w:pgMar w:left="220" w:top="125" w:right="219" w:bottom="1440" w:gutter="0" w:footer="0" w:header="0"/>
          <w:type w:val="continuous"/>
        </w:sectPr>
      </w:pPr>
    </w:p>
    <w:tbl>
      <w:tblPr>
        <w:tblLayout w:type="fixed"/>
        <w:tblInd w:w="20" w:type="dxa"/>
        <w:tblCellMar>
          <w:top w:w="0" w:type="dxa"/>
          <w:left w:w="0" w:type="dxa"/>
          <w:bottom w:w="0" w:type="dxa"/>
          <w:right w:w="0" w:type="dxa"/>
        </w:tblCellMar>
      </w:tblPr>
      <w:tr>
        <w:trPr>
          <w:trHeight w:val="186"/>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7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2940" w:type="dxa"/>
            <w:vAlign w:val="bottom"/>
          </w:tcPr>
          <w:p>
            <w:pPr>
              <w:ind w:left="2840"/>
              <w:spacing w:after="0"/>
              <w:rPr>
                <w:sz w:val="20"/>
                <w:szCs w:val="20"/>
                <w:color w:val="auto"/>
              </w:rPr>
            </w:pPr>
            <w:r>
              <w:rPr>
                <w:rFonts w:ascii="Times New Roman" w:cs="Times New Roman" w:eastAsia="Times New Roman" w:hAnsi="Times New Roman"/>
                <w:sz w:val="14"/>
                <w:szCs w:val="14"/>
                <w:color w:val="auto"/>
                <w:w w:val="78"/>
              </w:rPr>
              <w:t>X</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7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2940" w:type="dxa"/>
            <w:vAlign w:val="bottom"/>
          </w:tcPr>
          <w:p>
            <w:pPr>
              <w:ind w:left="2840"/>
              <w:spacing w:after="0"/>
              <w:rPr>
                <w:sz w:val="20"/>
                <w:szCs w:val="20"/>
                <w:color w:val="auto"/>
              </w:rPr>
            </w:pPr>
            <w:r>
              <w:rPr>
                <w:rFonts w:ascii="Times New Roman" w:cs="Times New Roman" w:eastAsia="Times New Roman" w:hAnsi="Times New Roman"/>
                <w:sz w:val="14"/>
                <w:szCs w:val="14"/>
                <w:color w:val="auto"/>
                <w:w w:val="78"/>
              </w:rPr>
              <w:t>X</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7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2940" w:type="dxa"/>
            <w:vAlign w:val="bottom"/>
          </w:tcPr>
          <w:p>
            <w:pPr>
              <w:ind w:left="2840"/>
              <w:spacing w:after="0"/>
              <w:rPr>
                <w:sz w:val="20"/>
                <w:szCs w:val="20"/>
                <w:color w:val="auto"/>
              </w:rPr>
            </w:pPr>
            <w:r>
              <w:rPr>
                <w:rFonts w:ascii="Times New Roman" w:cs="Times New Roman" w:eastAsia="Times New Roman" w:hAnsi="Times New Roman"/>
                <w:sz w:val="14"/>
                <w:szCs w:val="14"/>
                <w:color w:val="auto"/>
                <w:w w:val="78"/>
              </w:rPr>
              <w:t>X</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7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2940" w:type="dxa"/>
            <w:vAlign w:val="bottom"/>
          </w:tcPr>
          <w:p>
            <w:pPr>
              <w:ind w:left="2840"/>
              <w:spacing w:after="0"/>
              <w:rPr>
                <w:sz w:val="20"/>
                <w:szCs w:val="20"/>
                <w:color w:val="auto"/>
              </w:rPr>
            </w:pPr>
            <w:r>
              <w:rPr>
                <w:rFonts w:ascii="Times New Roman" w:cs="Times New Roman" w:eastAsia="Times New Roman" w:hAnsi="Times New Roman"/>
                <w:sz w:val="14"/>
                <w:szCs w:val="14"/>
                <w:color w:val="auto"/>
                <w:w w:val="78"/>
              </w:rPr>
              <w:t>X</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7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2940" w:type="dxa"/>
            <w:vAlign w:val="bottom"/>
          </w:tcPr>
          <w:p>
            <w:pPr>
              <w:ind w:left="2840"/>
              <w:spacing w:after="0"/>
              <w:rPr>
                <w:sz w:val="20"/>
                <w:szCs w:val="20"/>
                <w:color w:val="auto"/>
              </w:rPr>
            </w:pPr>
            <w:r>
              <w:rPr>
                <w:rFonts w:ascii="Times New Roman" w:cs="Times New Roman" w:eastAsia="Times New Roman" w:hAnsi="Times New Roman"/>
                <w:sz w:val="14"/>
                <w:szCs w:val="14"/>
                <w:color w:val="auto"/>
                <w:w w:val="78"/>
              </w:rPr>
              <w:t>X</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7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2940" w:type="dxa"/>
            <w:vAlign w:val="bottom"/>
          </w:tcPr>
          <w:p>
            <w:pPr>
              <w:ind w:left="2840"/>
              <w:spacing w:after="0"/>
              <w:rPr>
                <w:sz w:val="20"/>
                <w:szCs w:val="20"/>
                <w:color w:val="auto"/>
              </w:rPr>
            </w:pPr>
            <w:r>
              <w:rPr>
                <w:rFonts w:ascii="Times New Roman" w:cs="Times New Roman" w:eastAsia="Times New Roman" w:hAnsi="Times New Roman"/>
                <w:sz w:val="14"/>
                <w:szCs w:val="14"/>
                <w:color w:val="auto"/>
                <w:w w:val="78"/>
              </w:rPr>
              <w:t>X</w:t>
            </w:r>
          </w:p>
        </w:tc>
      </w:tr>
    </w:tbl>
    <w:p>
      <w:pPr>
        <w:spacing w:after="0" w:line="30" w:lineRule="exact"/>
        <w:rPr>
          <w:sz w:val="20"/>
          <w:szCs w:val="20"/>
          <w:color w:val="auto"/>
        </w:rPr>
      </w:pPr>
    </w:p>
    <w:p>
      <w:pPr>
        <w:ind w:left="1160" w:right="6540" w:hanging="1139"/>
        <w:spacing w:after="0" w:line="294" w:lineRule="auto"/>
        <w:tabs>
          <w:tab w:leader="none" w:pos="1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 the cover page XBRL tags are embedded within the Inline Instance XBRL document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w:t>
      </w:r>
    </w:p>
    <w:p>
      <w:pPr>
        <w:spacing w:after="0" w:line="186" w:lineRule="exact"/>
        <w:rPr>
          <w:sz w:val="20"/>
          <w:szCs w:val="20"/>
          <w:color w:val="auto"/>
        </w:rPr>
      </w:pPr>
    </w:p>
    <w:p>
      <w:pPr>
        <w:ind w:left="320" w:right="280" w:hanging="314"/>
        <w:spacing w:after="0" w:line="294" w:lineRule="auto"/>
        <w:tabs>
          <w:tab w:leader="none" w:pos="3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type w:val="continuous"/>
        </w:sectPr>
      </w:pPr>
    </w:p>
    <w:bookmarkStart w:id="94" w:name="page95"/>
    <w:bookmarkEnd w:id="9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SIGNATURES</w:t>
      </w:r>
    </w:p>
    <w:p>
      <w:pPr>
        <w:spacing w:after="0" w:line="184" w:lineRule="exact"/>
        <w:rPr>
          <w:sz w:val="20"/>
          <w:szCs w:val="20"/>
          <w:color w:val="auto"/>
        </w:rPr>
      </w:pPr>
    </w:p>
    <w:p>
      <w:pPr>
        <w:ind w:firstLine="517"/>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Act of 1934, the Registrant has duly caused this report to be signed on its behalf by the undersigned, thereunto duly authorized, in Sunnyvale, California, on the day of December 6, 2019</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100" w:lineRule="exact"/>
        <w:rPr>
          <w:sz w:val="20"/>
          <w:szCs w:val="20"/>
          <w:color w:val="auto"/>
        </w:rPr>
      </w:pPr>
    </w:p>
    <w:p>
      <w:pPr>
        <w:ind w:left="5640"/>
        <w:spacing w:after="0"/>
        <w:tabs>
          <w:tab w:leader="none" w:pos="5960" w:val="left"/>
        </w:tabs>
        <w:rPr>
          <w:sz w:val="20"/>
          <w:szCs w:val="20"/>
          <w:color w:val="auto"/>
        </w:rPr>
      </w:pPr>
      <w:r>
        <w:rPr>
          <w:rFonts w:ascii="Times New Roman" w:cs="Times New Roman" w:eastAsia="Times New Roman" w:hAnsi="Times New Roman"/>
          <w:sz w:val="14"/>
          <w:szCs w:val="14"/>
          <w:color w:val="auto"/>
        </w:rPr>
        <w:t>By:</w:t>
        <w:tab/>
        <w:t>/s/ Burt W.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30480</wp:posOffset>
            </wp:positionV>
            <wp:extent cx="348297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Burt W. Podbere</w:t>
      </w:r>
    </w:p>
    <w:p>
      <w:pPr>
        <w:ind w:left="5980"/>
        <w:spacing w:after="0" w:line="208" w:lineRule="auto"/>
        <w:rPr>
          <w:sz w:val="20"/>
          <w:szCs w:val="20"/>
          <w:color w:val="auto"/>
        </w:rPr>
      </w:pPr>
      <w:r>
        <w:rPr>
          <w:rFonts w:ascii="Times New Roman" w:cs="Times New Roman" w:eastAsia="Times New Roman" w:hAnsi="Times New Roman"/>
          <w:sz w:val="14"/>
          <w:szCs w:val="14"/>
          <w:i w:val="1"/>
          <w:iCs w:val="1"/>
          <w:color w:val="auto"/>
        </w:rPr>
        <w:t>Chief Financial Officer (Principal Financial and</w:t>
      </w:r>
    </w:p>
    <w:p>
      <w:pPr>
        <w:spacing w:after="0" w:line="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i w:val="1"/>
          <w:i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1320"/>
          </w:cols>
          <w:pgMar w:left="220" w:top="125" w:right="359" w:bottom="1440"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742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4" w:lineRule="exact"/>
        <w:rPr>
          <w:sz w:val="20"/>
          <w:szCs w:val="20"/>
          <w:color w:val="auto"/>
        </w:rPr>
      </w:pPr>
    </w:p>
    <w:p>
      <w:pPr>
        <w:jc w:val="center"/>
        <w:spacing w:after="0" w:line="277" w:lineRule="auto"/>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 EXCHANGE ACT RULES 13a-14(a) AND 15d-14(a),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George Kurtz, certify that:</w:t>
      </w:r>
    </w:p>
    <w:p>
      <w:pPr>
        <w:spacing w:after="0" w:line="184" w:lineRule="exact"/>
        <w:rPr>
          <w:sz w:val="20"/>
          <w:szCs w:val="20"/>
          <w:color w:val="auto"/>
        </w:rPr>
      </w:pPr>
    </w:p>
    <w:p>
      <w:pPr>
        <w:ind w:left="400" w:hanging="135"/>
        <w:spacing w:after="0"/>
        <w:tabs>
          <w:tab w:leader="none" w:pos="4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CrowdStrike Holdings, Inc.;</w:t>
      </w:r>
    </w:p>
    <w:p>
      <w:pPr>
        <w:spacing w:after="0" w:line="183" w:lineRule="exact"/>
        <w:rPr>
          <w:rFonts w:ascii="Times New Roman" w:cs="Times New Roman" w:eastAsia="Times New Roman" w:hAnsi="Times New Roman"/>
          <w:sz w:val="14"/>
          <w:szCs w:val="14"/>
          <w:color w:val="auto"/>
        </w:rPr>
      </w:pPr>
    </w:p>
    <w:p>
      <w:pPr>
        <w:ind w:left="520" w:hanging="255"/>
        <w:spacing w:after="0" w:line="294" w:lineRule="auto"/>
        <w:tabs>
          <w:tab w:leader="none" w:pos="405"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4"/>
          <w:szCs w:val="14"/>
          <w:color w:val="auto"/>
        </w:rPr>
      </w:pPr>
    </w:p>
    <w:p>
      <w:pPr>
        <w:ind w:left="520" w:right="80" w:hanging="255"/>
        <w:spacing w:after="0" w:line="294" w:lineRule="auto"/>
        <w:tabs>
          <w:tab w:leader="none" w:pos="405"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4"/>
          <w:szCs w:val="14"/>
          <w:color w:val="auto"/>
        </w:rPr>
      </w:pPr>
    </w:p>
    <w:p>
      <w:pPr>
        <w:ind w:left="520" w:right="20" w:hanging="255"/>
        <w:spacing w:after="0" w:line="294" w:lineRule="auto"/>
        <w:tabs>
          <w:tab w:leader="none" w:pos="40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22" w:lineRule="exact"/>
        <w:rPr>
          <w:rFonts w:ascii="Times New Roman" w:cs="Times New Roman" w:eastAsia="Times New Roman" w:hAnsi="Times New Roman"/>
          <w:sz w:val="14"/>
          <w:szCs w:val="14"/>
          <w:color w:val="auto"/>
        </w:rPr>
      </w:pPr>
    </w:p>
    <w:p>
      <w:pPr>
        <w:ind w:left="780" w:right="20" w:hanging="257"/>
        <w:spacing w:after="0" w:line="294" w:lineRule="auto"/>
        <w:tabs>
          <w:tab w:leader="none" w:pos="778"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4"/>
          <w:szCs w:val="14"/>
          <w:color w:val="auto"/>
        </w:rPr>
      </w:pPr>
    </w:p>
    <w:p>
      <w:pPr>
        <w:ind w:left="780" w:right="440" w:hanging="257"/>
        <w:spacing w:after="0" w:line="294" w:lineRule="auto"/>
        <w:tabs>
          <w:tab w:leader="none" w:pos="775"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4"/>
          <w:szCs w:val="14"/>
          <w:color w:val="auto"/>
        </w:rPr>
      </w:pPr>
    </w:p>
    <w:p>
      <w:pPr>
        <w:ind w:left="780" w:right="120" w:hanging="257"/>
        <w:spacing w:after="0" w:line="294" w:lineRule="auto"/>
        <w:tabs>
          <w:tab w:leader="none" w:pos="778"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4"/>
          <w:szCs w:val="14"/>
          <w:color w:val="auto"/>
        </w:rPr>
      </w:pPr>
    </w:p>
    <w:p>
      <w:pPr>
        <w:ind w:left="520" w:right="540" w:hanging="255"/>
        <w:spacing w:after="0" w:line="294" w:lineRule="auto"/>
        <w:tabs>
          <w:tab w:leader="none" w:pos="40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4"/>
          <w:szCs w:val="14"/>
          <w:color w:val="auto"/>
        </w:rPr>
      </w:pPr>
    </w:p>
    <w:p>
      <w:pPr>
        <w:ind w:left="780" w:right="120" w:hanging="257"/>
        <w:spacing w:after="0" w:line="294" w:lineRule="auto"/>
        <w:tabs>
          <w:tab w:leader="none" w:pos="778"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December 6, 2019</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CROWDSTRIKE HOLDINGS, INC.</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0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George Kurtz</w:t>
            </w:r>
          </w:p>
        </w:tc>
        <w:tc>
          <w:tcPr>
            <w:tcW w:w="0" w:type="dxa"/>
            <w:vAlign w:val="bottom"/>
          </w:tcPr>
          <w:p>
            <w:pPr>
              <w:spacing w:after="0"/>
              <w:rPr>
                <w:sz w:val="1"/>
                <w:szCs w:val="1"/>
                <w:color w:val="auto"/>
              </w:rPr>
            </w:pPr>
          </w:p>
        </w:tc>
      </w:tr>
      <w:tr>
        <w:trPr>
          <w:trHeight w:val="23"/>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10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860" w:type="dxa"/>
            <w:vAlign w:val="bottom"/>
            <w:vMerge w:val="continue"/>
          </w:tcPr>
          <w:p>
            <w:pPr>
              <w:spacing w:after="0"/>
              <w:rPr>
                <w:sz w:val="15"/>
                <w:szCs w:val="15"/>
                <w:color w:val="auto"/>
              </w:rPr>
            </w:pPr>
          </w:p>
        </w:tc>
        <w:tc>
          <w:tcPr>
            <w:tcW w:w="10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George Kurtz</w:t>
            </w:r>
          </w:p>
        </w:tc>
        <w:tc>
          <w:tcPr>
            <w:tcW w:w="0" w:type="dxa"/>
            <w:vAlign w:val="bottom"/>
          </w:tcPr>
          <w:p>
            <w:pPr>
              <w:spacing w:after="0"/>
              <w:rPr>
                <w:sz w:val="1"/>
                <w:szCs w:val="1"/>
                <w:color w:val="auto"/>
              </w:rPr>
            </w:pPr>
          </w:p>
        </w:tc>
      </w:tr>
      <w:tr>
        <w:trPr>
          <w:trHeight w:val="202"/>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0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0" w:type="dxa"/>
            <w:vAlign w:val="bottom"/>
          </w:tcPr>
          <w:p>
            <w:pPr>
              <w:spacing w:after="0"/>
              <w:rPr>
                <w:sz w:val="1"/>
                <w:szCs w:val="1"/>
                <w:color w:val="auto"/>
              </w:rPr>
            </w:pPr>
          </w:p>
        </w:tc>
      </w:tr>
      <w:tr>
        <w:trPr>
          <w:trHeight w:val="186"/>
        </w:trPr>
        <w:tc>
          <w:tcPr>
            <w:tcW w:w="860" w:type="dxa"/>
            <w:vAlign w:val="bottom"/>
          </w:tcPr>
          <w:p>
            <w:pPr>
              <w:spacing w:after="0"/>
              <w:rPr>
                <w:sz w:val="16"/>
                <w:szCs w:val="16"/>
                <w:color w:val="auto"/>
              </w:rPr>
            </w:pPr>
          </w:p>
        </w:tc>
        <w:tc>
          <w:tcPr>
            <w:tcW w:w="10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60"/>
          </w:cols>
          <w:pgMar w:left="220" w:top="909" w:right="21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4" w:lineRule="exact"/>
        <w:rPr>
          <w:sz w:val="20"/>
          <w:szCs w:val="20"/>
          <w:color w:val="auto"/>
        </w:rPr>
      </w:pPr>
    </w:p>
    <w:p>
      <w:pPr>
        <w:jc w:val="center"/>
        <w:spacing w:after="0" w:line="277" w:lineRule="auto"/>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 EXCHANGE ACT RULES 13a-14(a) AND 15d-14(a),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Burt W. Podbere, certify that:</w:t>
      </w:r>
    </w:p>
    <w:p>
      <w:pPr>
        <w:spacing w:after="0" w:line="184" w:lineRule="exact"/>
        <w:rPr>
          <w:sz w:val="20"/>
          <w:szCs w:val="20"/>
          <w:color w:val="auto"/>
        </w:rPr>
      </w:pPr>
    </w:p>
    <w:p>
      <w:pPr>
        <w:ind w:left="520" w:hanging="255"/>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CrowdStrike Holdings, Inc.;</w:t>
      </w:r>
    </w:p>
    <w:p>
      <w:pPr>
        <w:spacing w:after="0" w:line="183" w:lineRule="exact"/>
        <w:rPr>
          <w:rFonts w:ascii="Times New Roman" w:cs="Times New Roman" w:eastAsia="Times New Roman" w:hAnsi="Times New Roman"/>
          <w:sz w:val="14"/>
          <w:szCs w:val="14"/>
          <w:color w:val="auto"/>
        </w:rPr>
      </w:pPr>
    </w:p>
    <w:p>
      <w:pPr>
        <w:ind w:left="520" w:right="740" w:hanging="255"/>
        <w:spacing w:after="0" w:line="294" w:lineRule="auto"/>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4"/>
          <w:szCs w:val="14"/>
          <w:color w:val="auto"/>
        </w:rPr>
      </w:pPr>
    </w:p>
    <w:p>
      <w:pPr>
        <w:ind w:left="520" w:right="200" w:hanging="255"/>
        <w:spacing w:after="0" w:line="294" w:lineRule="auto"/>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4"/>
          <w:szCs w:val="14"/>
          <w:color w:val="auto"/>
        </w:rPr>
      </w:pPr>
    </w:p>
    <w:p>
      <w:pPr>
        <w:ind w:left="520" w:right="260" w:hanging="255"/>
        <w:spacing w:after="0" w:line="294" w:lineRule="auto"/>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22" w:lineRule="exact"/>
        <w:rPr>
          <w:rFonts w:ascii="Times New Roman" w:cs="Times New Roman" w:eastAsia="Times New Roman" w:hAnsi="Times New Roman"/>
          <w:sz w:val="14"/>
          <w:szCs w:val="14"/>
          <w:color w:val="auto"/>
        </w:rPr>
      </w:pPr>
    </w:p>
    <w:p>
      <w:pPr>
        <w:ind w:left="780" w:right="20" w:hanging="257"/>
        <w:spacing w:after="0" w:line="294" w:lineRule="auto"/>
        <w:tabs>
          <w:tab w:leader="none" w:pos="778"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4"/>
          <w:szCs w:val="14"/>
          <w:color w:val="auto"/>
        </w:rPr>
      </w:pPr>
    </w:p>
    <w:p>
      <w:pPr>
        <w:ind w:left="780" w:right="440" w:hanging="257"/>
        <w:spacing w:after="0" w:line="294" w:lineRule="auto"/>
        <w:tabs>
          <w:tab w:leader="none" w:pos="775"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4"/>
          <w:szCs w:val="14"/>
          <w:color w:val="auto"/>
        </w:rPr>
      </w:pPr>
    </w:p>
    <w:p>
      <w:pPr>
        <w:ind w:left="780" w:right="120" w:hanging="257"/>
        <w:spacing w:after="0" w:line="294" w:lineRule="auto"/>
        <w:tabs>
          <w:tab w:leader="none" w:pos="778"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4"/>
          <w:szCs w:val="14"/>
          <w:color w:val="auto"/>
        </w:rPr>
      </w:pPr>
    </w:p>
    <w:p>
      <w:pPr>
        <w:ind w:left="520" w:right="420" w:hanging="255"/>
        <w:spacing w:after="0" w:line="294" w:lineRule="auto"/>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4"/>
          <w:szCs w:val="14"/>
          <w:color w:val="auto"/>
        </w:rPr>
      </w:pPr>
    </w:p>
    <w:p>
      <w:pPr>
        <w:ind w:left="780" w:right="120" w:hanging="257"/>
        <w:spacing w:after="0" w:line="294" w:lineRule="auto"/>
        <w:tabs>
          <w:tab w:leader="none" w:pos="778"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December 6, 2019</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CROWDSTRIKE HOLDINGS, INC.</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0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Burt W. Podbere</w:t>
            </w:r>
          </w:p>
        </w:tc>
      </w:tr>
      <w:tr>
        <w:trPr>
          <w:trHeight w:val="23"/>
        </w:trPr>
        <w:tc>
          <w:tcPr>
            <w:tcW w:w="860" w:type="dxa"/>
            <w:vAlign w:val="bottom"/>
          </w:tcPr>
          <w:p>
            <w:pPr>
              <w:spacing w:after="0" w:line="20" w:lineRule="exact"/>
              <w:rPr>
                <w:sz w:val="1"/>
                <w:szCs w:val="1"/>
                <w:color w:val="auto"/>
              </w:rPr>
            </w:pPr>
          </w:p>
        </w:tc>
        <w:tc>
          <w:tcPr>
            <w:tcW w:w="10580" w:type="dxa"/>
            <w:vAlign w:val="bottom"/>
            <w:tcBorders>
              <w:bottom w:val="single" w:sz="8" w:color="auto"/>
            </w:tcBorders>
          </w:tcPr>
          <w:p>
            <w:pPr>
              <w:spacing w:after="0" w:line="20" w:lineRule="exact"/>
              <w:rPr>
                <w:sz w:val="1"/>
                <w:szCs w:val="1"/>
                <w:color w:val="auto"/>
              </w:rPr>
            </w:pPr>
          </w:p>
        </w:tc>
      </w:tr>
      <w:tr>
        <w:trPr>
          <w:trHeight w:val="18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0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Burt W. Podbere</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0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 (Principal Financial and Accounting Officer)</w:t>
            </w:r>
          </w:p>
        </w:tc>
      </w:tr>
    </w:tbl>
    <w:p>
      <w:pPr>
        <w:sectPr>
          <w:pgSz w:w="11900" w:h="16838" w:orient="portrait"/>
          <w:cols w:equalWidth="0" w:num="1">
            <w:col w:w="11460"/>
          </w:cols>
          <w:pgMar w:left="220" w:top="769" w:right="21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17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4"/>
          <w:szCs w:val="14"/>
          <w:color w:val="auto"/>
        </w:rPr>
        <w:t>I, George Kurtz, the President and Chief Executive Officer of CrowdStrike Holdings, Inc., certify, pursuant to 18 U.S.C. Section 1350, as adopted pursuant to Section 906 of the Sarbanes-Oxley Act of 2002, that the Quarterly Report on Form 10-Q of CrowdStrike Holdings, Inc. for the fiscal quarter ended October 31, 2019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December 6, 2019</w:t>
      </w:r>
    </w:p>
    <w:p>
      <w:pPr>
        <w:spacing w:after="0" w:line="55" w:lineRule="exact"/>
        <w:rPr>
          <w:sz w:val="20"/>
          <w:szCs w:val="20"/>
          <w:color w:val="auto"/>
        </w:rPr>
      </w:pPr>
    </w:p>
    <w:tbl>
      <w:tblPr>
        <w:tblLayout w:type="fixed"/>
        <w:tblInd w:w="6880" w:type="dxa"/>
        <w:tblCellMar>
          <w:top w:w="0" w:type="dxa"/>
          <w:left w:w="0" w:type="dxa"/>
          <w:bottom w:w="0" w:type="dxa"/>
          <w:right w:w="0" w:type="dxa"/>
        </w:tblCellMar>
      </w:tblPr>
      <w:tr>
        <w:trPr>
          <w:trHeight w:val="186"/>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George Kurtz</w:t>
            </w:r>
          </w:p>
        </w:tc>
      </w:tr>
      <w:tr>
        <w:trPr>
          <w:trHeight w:val="23"/>
        </w:trPr>
        <w:tc>
          <w:tcPr>
            <w:tcW w:w="78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r>
      <w:tr>
        <w:trPr>
          <w:trHeight w:val="18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George Kurtz</w:t>
            </w:r>
          </w:p>
        </w:tc>
      </w:tr>
      <w:tr>
        <w:trPr>
          <w:trHeight w:val="202"/>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r>
      <w:tr>
        <w:trPr>
          <w:trHeight w:val="186"/>
        </w:trPr>
        <w:tc>
          <w:tcPr>
            <w:tcW w:w="780" w:type="dxa"/>
            <w:vAlign w:val="bottom"/>
          </w:tcPr>
          <w:p>
            <w:pPr>
              <w:spacing w:after="0"/>
              <w:rPr>
                <w:sz w:val="16"/>
                <w:szCs w:val="16"/>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pacing w:after="0" w:line="18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4"/>
          <w:szCs w:val="14"/>
          <w:color w:val="auto"/>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October 31, 2019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December 6, 2019</w:t>
      </w:r>
    </w:p>
    <w:p>
      <w:pPr>
        <w:spacing w:after="0" w:line="55" w:lineRule="exact"/>
        <w:rPr>
          <w:sz w:val="20"/>
          <w:szCs w:val="20"/>
          <w:color w:val="auto"/>
        </w:rPr>
      </w:pPr>
    </w:p>
    <w:tbl>
      <w:tblPr>
        <w:tblLayout w:type="fixed"/>
        <w:tblInd w:w="6880" w:type="dxa"/>
        <w:tblCellMar>
          <w:top w:w="0" w:type="dxa"/>
          <w:left w:w="0" w:type="dxa"/>
          <w:bottom w:w="0" w:type="dxa"/>
          <w:right w:w="0" w:type="dxa"/>
        </w:tblCellMar>
      </w:tblPr>
      <w:tr>
        <w:trPr>
          <w:trHeight w:val="186"/>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Burt W. Podbere</w:t>
            </w:r>
          </w:p>
        </w:tc>
      </w:tr>
      <w:tr>
        <w:trPr>
          <w:trHeight w:val="23"/>
        </w:trPr>
        <w:tc>
          <w:tcPr>
            <w:tcW w:w="78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r>
      <w:tr>
        <w:trPr>
          <w:trHeight w:val="18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Burt W. Podbere</w:t>
            </w:r>
          </w:p>
        </w:tc>
      </w:tr>
      <w:tr>
        <w:trPr>
          <w:trHeight w:val="202"/>
        </w:trPr>
        <w:tc>
          <w:tcPr>
            <w:tcW w:w="780" w:type="dxa"/>
            <w:vAlign w:val="bottom"/>
          </w:tcPr>
          <w:p>
            <w:pPr>
              <w:spacing w:after="0"/>
              <w:rPr>
                <w:sz w:val="17"/>
                <w:szCs w:val="17"/>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6"/>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bl>
    <w:p>
      <w:pPr>
        <w:spacing w:after="0" w:line="1" w:lineRule="exact"/>
        <w:rPr>
          <w:sz w:val="20"/>
          <w:szCs w:val="20"/>
          <w:color w:val="auto"/>
        </w:rPr>
      </w:pPr>
    </w:p>
    <w:sectPr>
      <w:pgSz w:w="11900" w:h="16838" w:orient="portrait"/>
      <w:cols w:equalWidth="0" w:num="1">
        <w:col w:w="11460"/>
      </w:cols>
      <w:pgMar w:left="220" w:top="73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3"/>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2"/>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lowerRoman"/>
      <w:start w:val="2"/>
    </w:lvl>
    <w:lvl w:ilvl="1">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04"/>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2019-12-28T01:11:17Z</dcterms:created>
  <dcterms:modified xsi:type="dcterms:W3CDTF">2019-12-28T01:11:17Z</dcterms:modified>
</cp:coreProperties>
</file>