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___________________________________________________________________________________________________</w:t>
      </w:r>
    </w:p>
    <w:p>
      <w:pPr>
        <w:pStyle w:val="TextBody"/>
        <w:bidi w:val="0"/>
        <w:spacing w:lineRule="auto" w:line="288" w:before="100" w:after="283"/>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___________________________________________________________________________________________________</w:t>
      </w:r>
    </w:p>
    <w:p>
      <w:pPr>
        <w:pStyle w:val="TextBody"/>
        <w:bidi w:val="0"/>
        <w:spacing w:lineRule="auto" w:line="288" w:before="100" w:after="283"/>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0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July 31, 2023 </w:t>
      </w:r>
    </w:p>
    <w:p>
      <w:pPr>
        <w:pStyle w:val="TextBody"/>
        <w:bidi w:val="0"/>
        <w:spacing w:lineRule="auto" w:line="288" w:before="10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to</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001-38933 </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___________________________________________________________________________________________________</w:t>
      </w:r>
    </w:p>
    <w:p>
      <w:pPr>
        <w:pStyle w:val="TextBody"/>
        <w:bidi w:val="0"/>
        <w:spacing w:lineRule="auto" w:line="288" w:before="100" w:after="283"/>
        <w:jc w:val="center"/>
        <w:rPr>
          <w:rFonts w:ascii="Times New Roman;sans-serif" w:hAnsi="Times New Roman;sans-serif"/>
          <w:b/>
          <w:color w:val="000000"/>
          <w:sz w:val="28"/>
        </w:rPr>
      </w:pPr>
      <w:r>
        <w:rPr>
          <w:rFonts w:ascii="Times New Roman;sans-serif" w:hAnsi="Times New Roman;sans-serif"/>
          <w:b/>
          <w:color w:val="000000"/>
          <w:sz w:val="28"/>
        </w:rPr>
        <w:t xml:space="preserve">CROWDSTRIKE HOLDINGS,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___________________________________________________________________________________________________</w:t>
      </w:r>
    </w:p>
    <w:tbl>
      <w:tblPr>
        <w:tblW w:w="5635" w:type="dxa"/>
        <w:jc w:val="center"/>
        <w:tblInd w:w="0" w:type="dxa"/>
        <w:tblLayout w:type="fixed"/>
        <w:tblCellMar>
          <w:top w:w="28" w:type="dxa"/>
          <w:left w:w="28" w:type="dxa"/>
          <w:bottom w:w="28" w:type="dxa"/>
          <w:right w:w="28" w:type="dxa"/>
        </w:tblCellMar>
      </w:tblPr>
      <w:tblGrid>
        <w:gridCol w:w="411"/>
        <w:gridCol w:w="362"/>
        <w:gridCol w:w="362"/>
        <w:gridCol w:w="362"/>
        <w:gridCol w:w="362"/>
        <w:gridCol w:w="373"/>
        <w:gridCol w:w="109"/>
        <w:gridCol w:w="109"/>
        <w:gridCol w:w="109"/>
        <w:gridCol w:w="109"/>
        <w:gridCol w:w="109"/>
        <w:gridCol w:w="109"/>
        <w:gridCol w:w="109"/>
        <w:gridCol w:w="109"/>
        <w:gridCol w:w="109"/>
        <w:gridCol w:w="109"/>
        <w:gridCol w:w="109"/>
        <w:gridCol w:w="109"/>
        <w:gridCol w:w="109"/>
        <w:gridCol w:w="109"/>
        <w:gridCol w:w="109"/>
        <w:gridCol w:w="273"/>
        <w:gridCol w:w="273"/>
        <w:gridCol w:w="273"/>
        <w:gridCol w:w="273"/>
        <w:gridCol w:w="273"/>
        <w:gridCol w:w="403"/>
      </w:tblGrid>
      <w:tr>
        <w:trPr/>
        <w:tc>
          <w:tcPr>
            <w:tcW w:w="4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22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45-3788918</w:t>
            </w:r>
          </w:p>
        </w:tc>
      </w:tr>
      <w:tr>
        <w:trPr/>
        <w:tc>
          <w:tcPr>
            <w:tcW w:w="22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(I.R.S. Employer </w:t>
              <w:br/>
              <w:t>Identification Number)</w:t>
            </w:r>
          </w:p>
        </w:tc>
      </w:tr>
    </w:tbl>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206 E. 9th Street, Suite 1400, Austin, Texas 78701</w:t>
      </w:r>
    </w:p>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(888) 512-8906 </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___________________________________________________________________________________________________</w:t>
      </w:r>
    </w:p>
    <w:p>
      <w:pPr>
        <w:pStyle w:val="TextBody"/>
        <w:bidi w:val="0"/>
        <w:spacing w:lineRule="auto" w:line="288"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518" w:type="dxa"/>
        <w:jc w:val="center"/>
        <w:tblInd w:w="0" w:type="dxa"/>
        <w:tblLayout w:type="fixed"/>
        <w:tblCellMar>
          <w:top w:w="28" w:type="dxa"/>
          <w:left w:w="28" w:type="dxa"/>
          <w:bottom w:w="28" w:type="dxa"/>
          <w:right w:w="28" w:type="dxa"/>
        </w:tblCellMar>
      </w:tblPr>
      <w:tblGrid>
        <w:gridCol w:w="1380"/>
        <w:gridCol w:w="1213"/>
        <w:gridCol w:w="1232"/>
        <w:gridCol w:w="474"/>
        <w:gridCol w:w="474"/>
        <w:gridCol w:w="476"/>
        <w:gridCol w:w="956"/>
        <w:gridCol w:w="956"/>
        <w:gridCol w:w="1357"/>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 xml:space="preserve">Title of each class </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Name of each exchange on which registered</w:t>
            </w:r>
          </w:p>
        </w:tc>
      </w:tr>
      <w:tr>
        <w:trPr/>
        <w:tc>
          <w:tcPr>
            <w:tcW w:w="3825" w:type="dxa"/>
            <w:gridSpan w:val="3"/>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$0.0005 per share</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CRWD</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The Nasdaq Stock Market LLC </w:t>
            </w:r>
          </w:p>
        </w:tc>
      </w:tr>
      <w:tr>
        <w:trPr/>
        <w:tc>
          <w:tcPr>
            <w:tcW w:w="3825"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142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before="0" w:after="0"/>
        <w:jc w:val="center"/>
        <w:rPr/>
      </w:pPr>
      <w:r>
        <w:rPr/>
      </w:r>
    </w:p>
    <w:p>
      <w:pPr>
        <w:pStyle w:val="TextBody"/>
        <w:bidi w:val="0"/>
        <w:spacing w:lineRule="auto" w:line="288" w:before="60" w:after="283"/>
        <w:ind w:left="0" w:right="0" w:firstLine="72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60" w:after="283"/>
        <w:ind w:left="0" w:right="0" w:firstLine="72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60" w:after="283"/>
        <w:ind w:left="0" w:right="0" w:firstLine="720"/>
        <w:jc w:val="left"/>
        <w:rPr/>
      </w:pPr>
      <w:r>
        <w:rPr>
          <w:rFonts w:ascii="Times New Roman;sans-serif" w:hAnsi="Times New Roman;sans-serif"/>
          <w:b w:val="false"/>
          <w:color w:val="000000"/>
          <w:sz w:val="18"/>
        </w:rPr>
        <w:t xml:space="preserve">Indicate by check mark whether the registrant is a large accelerated filer, an accelerated filer, a non-accelerated filer, a smaller reporting company, or an emerging growth company. See the definitions of </w:t>
      </w:r>
      <w:r>
        <w:rPr>
          <w:color w:val="000000"/>
        </w:rPr>
        <w:t>“</w:t>
      </w:r>
      <w:r>
        <w:rPr>
          <w:rFonts w:ascii="Times New Roman;sans-serif" w:hAnsi="Times New Roman;sans-serif"/>
          <w:b w:val="false"/>
          <w:color w:val="000000"/>
          <w:sz w:val="18"/>
        </w:rPr>
        <w:t>large accelerated filer,</w:t>
      </w:r>
      <w:r>
        <w:rPr>
          <w:color w:val="000000"/>
        </w:rPr>
        <w:t>” “</w:t>
      </w:r>
      <w:r>
        <w:rPr>
          <w:rFonts w:ascii="Times New Roman;sans-serif" w:hAnsi="Times New Roman;sans-serif"/>
          <w:b w:val="false"/>
          <w:color w:val="000000"/>
          <w:sz w:val="18"/>
        </w:rPr>
        <w:t>accelerated filer,</w:t>
      </w:r>
      <w:r>
        <w:rPr>
          <w:color w:val="000000"/>
        </w:rPr>
        <w:t>” “</w:t>
      </w:r>
      <w:r>
        <w:rPr>
          <w:rFonts w:ascii="Times New Roman;sans-serif" w:hAnsi="Times New Roman;sans-serif"/>
          <w:b w:val="false"/>
          <w:color w:val="000000"/>
          <w:sz w:val="18"/>
        </w:rPr>
        <w:t>smaller reporting company</w:t>
      </w:r>
      <w:r>
        <w:rPr>
          <w:color w:val="000000"/>
        </w:rPr>
        <w:t xml:space="preserve">” </w:t>
      </w:r>
      <w:r>
        <w:rPr>
          <w:rFonts w:ascii="Times New Roman;sans-serif" w:hAnsi="Times New Roman;sans-serif"/>
          <w:b w:val="false"/>
          <w:color w:val="000000"/>
          <w:sz w:val="18"/>
        </w:rPr>
        <w:t xml:space="preserve">and </w:t>
      </w:r>
      <w:r>
        <w:rPr>
          <w:color w:val="000000"/>
        </w:rPr>
        <w:t>“</w:t>
      </w:r>
      <w:r>
        <w:rPr>
          <w:rFonts w:ascii="Times New Roman;sans-serif" w:hAnsi="Times New Roman;sans-serif"/>
          <w:b w:val="false"/>
          <w:color w:val="000000"/>
          <w:sz w:val="18"/>
        </w:rPr>
        <w:t>emerging growth company</w:t>
      </w:r>
      <w:r>
        <w:rPr>
          <w:color w:val="000000"/>
        </w:rPr>
        <w:t xml:space="preserve">” </w:t>
      </w:r>
      <w:r>
        <w:rPr>
          <w:rFonts w:ascii="Times New Roman;sans-serif" w:hAnsi="Times New Roman;sans-serif"/>
          <w:b w:val="false"/>
          <w:color w:val="000000"/>
          <w:sz w:val="18"/>
        </w:rPr>
        <w:t>in Rule 12b-2 of the Exchange Act.</w:t>
      </w:r>
    </w:p>
    <w:tbl>
      <w:tblPr>
        <w:tblW w:w="4509" w:type="dxa"/>
        <w:jc w:val="left"/>
        <w:tblInd w:w="0" w:type="dxa"/>
        <w:tblLayout w:type="fixed"/>
        <w:tblCellMar>
          <w:top w:w="28" w:type="dxa"/>
          <w:left w:w="28" w:type="dxa"/>
          <w:bottom w:w="28" w:type="dxa"/>
          <w:right w:w="28" w:type="dxa"/>
        </w:tblCellMar>
      </w:tblPr>
      <w:tblGrid>
        <w:gridCol w:w="640"/>
        <w:gridCol w:w="563"/>
        <w:gridCol w:w="567"/>
        <w:gridCol w:w="109"/>
        <w:gridCol w:w="109"/>
        <w:gridCol w:w="109"/>
        <w:gridCol w:w="679"/>
        <w:gridCol w:w="679"/>
        <w:gridCol w:w="682"/>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bl>
    <w:p>
      <w:pPr>
        <w:pStyle w:val="TextBody"/>
        <w:bidi w:val="0"/>
        <w:spacing w:lineRule="auto" w:line="288" w:before="100" w:after="283"/>
        <w:ind w:left="0" w:right="0" w:firstLine="720"/>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00" w:after="283"/>
        <w:ind w:left="0" w:right="0" w:firstLine="720"/>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As of August 15, 2023, the number of shares of the registrant’s Class A common stock outstanding was 226,056,362, and the number of shares of the registrant’s Class B common stock outstanding was 12,731,839.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CROWDSTRIKE HOLDINGS, INC.</w:t>
      </w:r>
    </w:p>
    <w:p>
      <w:pPr>
        <w:pStyle w:val="TextBody"/>
        <w:bidi w:val="0"/>
        <w:spacing w:lineRule="auto" w:line="288" w:before="32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93"/>
        <w:gridCol w:w="258"/>
        <w:gridCol w:w="260"/>
        <w:gridCol w:w="2896"/>
        <w:gridCol w:w="2896"/>
        <w:gridCol w:w="2903"/>
        <w:gridCol w:w="203"/>
        <w:gridCol w:w="203"/>
        <w:gridCol w:w="29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Page No.</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a20a12f115b3415db6b14aca63636f64_13">
              <w:r>
                <w:rPr>
                  <w:rStyle w:val="InternetLink"/>
                  <w:rFonts w:ascii="Times New Roman;sans-serif" w:hAnsi="Times New Roman;sans-serif"/>
                  <w:b w:val="false"/>
                  <w:color w:val="0000FF"/>
                  <w:sz w:val="20"/>
                  <w:u w:val="single"/>
                </w:rPr>
                <w:t>PART I. FINANCIAL INFORMATION</w:t>
              </w:r>
            </w:hyperlink>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16">
              <w:r>
                <w:rPr>
                  <w:rStyle w:val="InternetLink"/>
                  <w:rFonts w:ascii="Times New Roman;sans-serif" w:hAnsi="Times New Roman;sans-serif"/>
                  <w:b w:val="false"/>
                  <w:color w:val="0000FF"/>
                  <w:sz w:val="20"/>
                  <w:u w:val="single"/>
                </w:rPr>
                <w:t>Item 1.</w:t>
              </w:r>
            </w:hyperlink>
          </w:p>
        </w:tc>
        <w:tc>
          <w:tcPr>
            <w:tcW w:w="869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16">
              <w:r>
                <w:rPr>
                  <w:rStyle w:val="InternetLink"/>
                  <w:rFonts w:ascii="Times New Roman;sans-serif" w:hAnsi="Times New Roman;sans-serif"/>
                  <w:b w:val="false"/>
                  <w:color w:val="0000FF"/>
                  <w:sz w:val="20"/>
                  <w:u w:val="single"/>
                </w:rPr>
                <w:t>Financial Statements (unaudited)</w:t>
              </w:r>
            </w:hyperlink>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19">
              <w:r>
                <w:rPr>
                  <w:rStyle w:val="InternetLink"/>
                  <w:rFonts w:ascii="Times New Roman;sans-serif" w:hAnsi="Times New Roman;sans-serif"/>
                  <w:b w:val="false"/>
                  <w:color w:val="0000FF"/>
                  <w:sz w:val="20"/>
                  <w:u w:val="single"/>
                </w:rPr>
                <w:t>Condensed Consolidated Balance Sheets as of July 31, 2023 and January 31, 2023</w:t>
              </w:r>
            </w:hyperlink>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a20a12f115b3415db6b14aca63636f64_19">
              <w:r>
                <w:rPr>
                  <w:rStyle w:val="InternetLink"/>
                  <w:rFonts w:ascii="Times New Roman;sans-serif" w:hAnsi="Times New Roman;sans-serif"/>
                  <w:b w:val="false"/>
                  <w:strike w:val="false"/>
                  <w:dstrike w:val="false"/>
                  <w:color w:val="000000"/>
                  <w:sz w:val="20"/>
                  <w:u w:val="none"/>
                  <w:effect w:val="none"/>
                </w:rPr>
                <w:t>6</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22">
              <w:r>
                <w:rPr>
                  <w:rStyle w:val="InternetLink"/>
                  <w:rFonts w:ascii="Times New Roman;sans-serif" w:hAnsi="Times New Roman;sans-serif"/>
                  <w:b w:val="false"/>
                  <w:color w:val="0000FF"/>
                  <w:sz w:val="20"/>
                  <w:u w:val="single"/>
                </w:rPr>
                <w:t>Condensed Consolidated Statements of Operations for the Three and Six Months Ended July 31, 2023 and July 31, 2022</w:t>
              </w:r>
            </w:hyperlink>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a20a12f115b3415db6b14aca63636f64_22">
              <w:r>
                <w:rPr>
                  <w:rStyle w:val="InternetLink"/>
                  <w:rFonts w:ascii="Times New Roman;sans-serif" w:hAnsi="Times New Roman;sans-serif"/>
                  <w:b w:val="false"/>
                  <w:strike w:val="false"/>
                  <w:dstrike w:val="false"/>
                  <w:color w:val="000000"/>
                  <w:sz w:val="20"/>
                  <w:u w:val="none"/>
                  <w:effect w:val="none"/>
                </w:rPr>
                <w:t>7</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25">
              <w:r>
                <w:rPr>
                  <w:rStyle w:val="InternetLink"/>
                  <w:rFonts w:ascii="Times New Roman;sans-serif" w:hAnsi="Times New Roman;sans-serif"/>
                  <w:b w:val="false"/>
                  <w:color w:val="0000FF"/>
                  <w:sz w:val="20"/>
                  <w:u w:val="single"/>
                </w:rPr>
                <w:t>Condensed Consolidated Statements of Comprehensive Income (Loss) for the Three and Six Months Ended July 31, 2023 and July 31, 2022</w:t>
              </w:r>
            </w:hyperlink>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a20a12f115b3415db6b14aca63636f64_25">
              <w:r>
                <w:rPr>
                  <w:rStyle w:val="InternetLink"/>
                  <w:rFonts w:ascii="Times New Roman;sans-serif" w:hAnsi="Times New Roman;sans-serif"/>
                  <w:b w:val="false"/>
                  <w:strike w:val="false"/>
                  <w:dstrike w:val="false"/>
                  <w:color w:val="000000"/>
                  <w:sz w:val="20"/>
                  <w:u w:val="none"/>
                  <w:effect w:val="none"/>
                </w:rPr>
                <w:t>8</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20a12f115b3415db6b14aca63636f64_28">
              <w:r>
                <w:rPr>
                  <w:rStyle w:val="InternetLink"/>
                  <w:rFonts w:ascii="Times New Roman;sans-serif" w:hAnsi="Times New Roman;sans-serif"/>
                  <w:b w:val="false"/>
                  <w:color w:val="0000FF"/>
                  <w:sz w:val="20"/>
                  <w:u w:val="single"/>
                </w:rPr>
                <w:t>Condensed Consolidated Statements of Stockholders’ Equity for the Three and Six Months Ended July 31, 2023 and July 31, 2022</w:t>
              </w:r>
            </w:hyperlink>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20a12f115b3415db6b14aca63636f64_28">
              <w:r>
                <w:rPr>
                  <w:rStyle w:val="InternetLink"/>
                  <w:rFonts w:ascii="Times New Roman;sans-serif" w:hAnsi="Times New Roman;sans-serif"/>
                  <w:b w:val="false"/>
                  <w:strike w:val="false"/>
                  <w:dstrike w:val="false"/>
                  <w:color w:val="000000"/>
                  <w:sz w:val="20"/>
                  <w:u w:val="none"/>
                  <w:effect w:val="none"/>
                </w:rPr>
                <w:t>9</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31">
              <w:r>
                <w:rPr>
                  <w:rStyle w:val="InternetLink"/>
                  <w:rFonts w:ascii="Times New Roman;sans-serif" w:hAnsi="Times New Roman;sans-serif"/>
                  <w:b w:val="false"/>
                  <w:color w:val="0000FF"/>
                  <w:sz w:val="20"/>
                  <w:u w:val="single"/>
                </w:rPr>
                <w:t>Condensed Consolidated Statements of Cash Flows for the Six Months Ended July 31, 2023 and July 31, 2022</w:t>
              </w:r>
            </w:hyperlink>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a20a12f115b3415db6b14aca63636f64_31">
              <w:r>
                <w:rPr>
                  <w:rStyle w:val="InternetLink"/>
                  <w:rFonts w:ascii="Times New Roman;sans-serif" w:hAnsi="Times New Roman;sans-serif"/>
                  <w:b w:val="false"/>
                  <w:strike w:val="false"/>
                  <w:dstrike w:val="false"/>
                  <w:color w:val="000000"/>
                  <w:sz w:val="20"/>
                  <w:u w:val="none"/>
                  <w:effect w:val="none"/>
                </w:rPr>
                <w:t>11</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34">
              <w:r>
                <w:rPr>
                  <w:rStyle w:val="InternetLink"/>
                  <w:rFonts w:ascii="Times New Roman;sans-serif" w:hAnsi="Times New Roman;sans-serif"/>
                  <w:b w:val="false"/>
                  <w:color w:val="0000FF"/>
                  <w:sz w:val="20"/>
                  <w:u w:val="single"/>
                </w:rPr>
                <w:t>Notes to Condensed Consolidated Financial Statements</w:t>
              </w:r>
            </w:hyperlink>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a20a12f115b3415db6b14aca63636f64_34">
              <w:r>
                <w:rPr>
                  <w:rStyle w:val="InternetLink"/>
                  <w:rFonts w:ascii="Times New Roman;sans-serif" w:hAnsi="Times New Roman;sans-serif"/>
                  <w:b w:val="false"/>
                  <w:strike w:val="false"/>
                  <w:dstrike w:val="false"/>
                  <w:color w:val="000000"/>
                  <w:sz w:val="20"/>
                  <w:u w:val="none"/>
                  <w:effect w:val="none"/>
                </w:rPr>
                <w:t>12</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73">
              <w:r>
                <w:rPr>
                  <w:rStyle w:val="InternetLink"/>
                  <w:rFonts w:ascii="Times New Roman;sans-serif" w:hAnsi="Times New Roman;sans-serif"/>
                  <w:b w:val="false"/>
                  <w:color w:val="0000FF"/>
                  <w:sz w:val="20"/>
                  <w:u w:val="single"/>
                </w:rPr>
                <w:t>Item 2.</w:t>
              </w:r>
            </w:hyperlink>
          </w:p>
        </w:tc>
        <w:tc>
          <w:tcPr>
            <w:tcW w:w="8695"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7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a20a12f115b3415db6b14aca63636f64_73">
              <w:r>
                <w:rPr>
                  <w:rStyle w:val="InternetLink"/>
                  <w:rFonts w:ascii="Times New Roman;sans-serif" w:hAnsi="Times New Roman;sans-serif"/>
                  <w:b w:val="false"/>
                  <w:strike w:val="false"/>
                  <w:dstrike w:val="false"/>
                  <w:color w:val="000000"/>
                  <w:sz w:val="20"/>
                  <w:u w:val="none"/>
                  <w:effect w:val="none"/>
                </w:rPr>
                <w:t>27</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109">
              <w:r>
                <w:rPr>
                  <w:rStyle w:val="InternetLink"/>
                  <w:rFonts w:ascii="Times New Roman;sans-serif" w:hAnsi="Times New Roman;sans-serif"/>
                  <w:b w:val="false"/>
                  <w:color w:val="0000FF"/>
                  <w:sz w:val="20"/>
                  <w:u w:val="single"/>
                </w:rPr>
                <w:t>Item 3.</w:t>
              </w:r>
            </w:hyperlink>
          </w:p>
        </w:tc>
        <w:tc>
          <w:tcPr>
            <w:tcW w:w="869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109">
              <w:r>
                <w:rPr>
                  <w:rStyle w:val="InternetLink"/>
                  <w:rFonts w:ascii="Times New Roman;sans-serif" w:hAnsi="Times New Roman;sans-serif"/>
                  <w:b w:val="false"/>
                  <w:color w:val="0000FF"/>
                  <w:sz w:val="20"/>
                  <w:u w:val="single"/>
                </w:rPr>
                <w:t>Quantitative and Qualitative Disclosures about Market Risk</w:t>
              </w:r>
            </w:hyperlink>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a20a12f115b3415db6b14aca63636f64_109">
              <w:r>
                <w:rPr>
                  <w:rStyle w:val="InternetLink"/>
                  <w:rFonts w:ascii="Times New Roman;sans-serif" w:hAnsi="Times New Roman;sans-serif"/>
                  <w:b w:val="false"/>
                  <w:strike w:val="false"/>
                  <w:dstrike w:val="false"/>
                  <w:color w:val="000000"/>
                  <w:sz w:val="20"/>
                  <w:u w:val="none"/>
                  <w:effect w:val="none"/>
                </w:rPr>
                <w:t>44</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112">
              <w:r>
                <w:rPr>
                  <w:rStyle w:val="InternetLink"/>
                  <w:rFonts w:ascii="Times New Roman;sans-serif" w:hAnsi="Times New Roman;sans-serif"/>
                  <w:b w:val="false"/>
                  <w:color w:val="0000FF"/>
                  <w:sz w:val="20"/>
                  <w:u w:val="single"/>
                </w:rPr>
                <w:t>Item 4.</w:t>
              </w:r>
            </w:hyperlink>
          </w:p>
        </w:tc>
        <w:tc>
          <w:tcPr>
            <w:tcW w:w="8695"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112">
              <w:r>
                <w:rPr>
                  <w:rStyle w:val="InternetLink"/>
                  <w:rFonts w:ascii="Times New Roman;sans-serif" w:hAnsi="Times New Roman;sans-serif"/>
                  <w:b w:val="false"/>
                  <w:color w:val="0000FF"/>
                  <w:sz w:val="20"/>
                  <w:u w:val="single"/>
                </w:rPr>
                <w:t>Controls and Procedures</w:t>
              </w:r>
            </w:hyperlink>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a20a12f115b3415db6b14aca63636f64_112">
              <w:r>
                <w:rPr>
                  <w:rStyle w:val="InternetLink"/>
                  <w:rFonts w:ascii="Times New Roman;sans-serif" w:hAnsi="Times New Roman;sans-serif"/>
                  <w:b w:val="false"/>
                  <w:strike w:val="false"/>
                  <w:dstrike w:val="false"/>
                  <w:color w:val="000000"/>
                  <w:sz w:val="20"/>
                  <w:u w:val="none"/>
                  <w:effect w:val="none"/>
                </w:rPr>
                <w:t>44</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a20a12f115b3415db6b14aca63636f64_115">
              <w:r>
                <w:rPr>
                  <w:rStyle w:val="InternetLink"/>
                  <w:rFonts w:ascii="Times New Roman;sans-serif" w:hAnsi="Times New Roman;sans-serif"/>
                  <w:b w:val="false"/>
                  <w:color w:val="0000FF"/>
                  <w:sz w:val="20"/>
                  <w:u w:val="single"/>
                </w:rPr>
                <w:t>PART II. OTHER INFORMATION</w:t>
              </w:r>
            </w:hyperlink>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118">
              <w:r>
                <w:rPr>
                  <w:rStyle w:val="InternetLink"/>
                  <w:rFonts w:ascii="Times New Roman;sans-serif" w:hAnsi="Times New Roman;sans-serif"/>
                  <w:b w:val="false"/>
                  <w:color w:val="0000FF"/>
                  <w:sz w:val="20"/>
                  <w:u w:val="single"/>
                </w:rPr>
                <w:t>Item 1.</w:t>
              </w:r>
            </w:hyperlink>
          </w:p>
        </w:tc>
        <w:tc>
          <w:tcPr>
            <w:tcW w:w="8695"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118">
              <w:r>
                <w:rPr>
                  <w:rStyle w:val="InternetLink"/>
                  <w:rFonts w:ascii="Times New Roman;sans-serif" w:hAnsi="Times New Roman;sans-serif"/>
                  <w:b w:val="false"/>
                  <w:color w:val="0000FF"/>
                  <w:sz w:val="20"/>
                  <w:u w:val="single"/>
                </w:rPr>
                <w:t>Legal Proceedings</w:t>
              </w:r>
            </w:hyperlink>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a20a12f115b3415db6b14aca63636f64_118">
              <w:r>
                <w:rPr>
                  <w:rStyle w:val="InternetLink"/>
                  <w:rFonts w:ascii="Times New Roman;sans-serif" w:hAnsi="Times New Roman;sans-serif"/>
                  <w:b w:val="false"/>
                  <w:strike w:val="false"/>
                  <w:dstrike w:val="false"/>
                  <w:color w:val="000000"/>
                  <w:sz w:val="20"/>
                  <w:u w:val="none"/>
                  <w:effect w:val="none"/>
                </w:rPr>
                <w:t>44</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121">
              <w:r>
                <w:rPr>
                  <w:rStyle w:val="InternetLink"/>
                  <w:rFonts w:ascii="Times New Roman;sans-serif" w:hAnsi="Times New Roman;sans-serif"/>
                  <w:b w:val="false"/>
                  <w:color w:val="0000FF"/>
                  <w:sz w:val="20"/>
                  <w:u w:val="single"/>
                </w:rPr>
                <w:t>Item 1A.</w:t>
              </w:r>
            </w:hyperlink>
          </w:p>
        </w:tc>
        <w:tc>
          <w:tcPr>
            <w:tcW w:w="869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121">
              <w:r>
                <w:rPr>
                  <w:rStyle w:val="InternetLink"/>
                  <w:rFonts w:ascii="Times New Roman;sans-serif" w:hAnsi="Times New Roman;sans-serif"/>
                  <w:b w:val="false"/>
                  <w:color w:val="0000FF"/>
                  <w:sz w:val="20"/>
                  <w:u w:val="single"/>
                </w:rPr>
                <w:t>Risk Factors</w:t>
              </w:r>
            </w:hyperlink>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a20a12f115b3415db6b14aca63636f64_121">
              <w:r>
                <w:rPr>
                  <w:rStyle w:val="InternetLink"/>
                  <w:rFonts w:ascii="Times New Roman;sans-serif" w:hAnsi="Times New Roman;sans-serif"/>
                  <w:b w:val="false"/>
                  <w:strike w:val="false"/>
                  <w:dstrike w:val="false"/>
                  <w:color w:val="000000"/>
                  <w:sz w:val="20"/>
                  <w:u w:val="none"/>
                  <w:effect w:val="none"/>
                </w:rPr>
                <w:t>45</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124">
              <w:r>
                <w:rPr>
                  <w:rStyle w:val="InternetLink"/>
                  <w:rFonts w:ascii="Times New Roman;sans-serif" w:hAnsi="Times New Roman;sans-serif"/>
                  <w:b w:val="false"/>
                  <w:color w:val="0000FF"/>
                  <w:sz w:val="20"/>
                  <w:u w:val="single"/>
                </w:rPr>
                <w:t>Item 2.</w:t>
              </w:r>
            </w:hyperlink>
          </w:p>
        </w:tc>
        <w:tc>
          <w:tcPr>
            <w:tcW w:w="8695"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124">
              <w:r>
                <w:rPr>
                  <w:rStyle w:val="InternetLink"/>
                  <w:rFonts w:ascii="Times New Roman;sans-serif" w:hAnsi="Times New Roman;sans-serif"/>
                  <w:b w:val="false"/>
                  <w:color w:val="0000FF"/>
                  <w:sz w:val="20"/>
                  <w:u w:val="single"/>
                </w:rPr>
                <w:t>Unregistered Shares of Equity Securities and Use of Proceeds</w:t>
              </w:r>
            </w:hyperlink>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a20a12f115b3415db6b14aca63636f64_124">
              <w:r>
                <w:rPr>
                  <w:rStyle w:val="InternetLink"/>
                  <w:rFonts w:ascii="Times New Roman;sans-serif" w:hAnsi="Times New Roman;sans-serif"/>
                  <w:b w:val="false"/>
                  <w:strike w:val="false"/>
                  <w:dstrike w:val="false"/>
                  <w:color w:val="000000"/>
                  <w:sz w:val="20"/>
                  <w:u w:val="none"/>
                  <w:effect w:val="none"/>
                </w:rPr>
                <w:t>76</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127">
              <w:r>
                <w:rPr>
                  <w:rStyle w:val="InternetLink"/>
                  <w:rFonts w:ascii="Times New Roman;sans-serif" w:hAnsi="Times New Roman;sans-serif"/>
                  <w:b w:val="false"/>
                  <w:color w:val="0000FF"/>
                  <w:sz w:val="20"/>
                  <w:u w:val="single"/>
                </w:rPr>
                <w:t>Item 3.</w:t>
              </w:r>
            </w:hyperlink>
          </w:p>
        </w:tc>
        <w:tc>
          <w:tcPr>
            <w:tcW w:w="869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127">
              <w:r>
                <w:rPr>
                  <w:rStyle w:val="InternetLink"/>
                  <w:rFonts w:ascii="Times New Roman;sans-serif" w:hAnsi="Times New Roman;sans-serif"/>
                  <w:b w:val="false"/>
                  <w:color w:val="0000FF"/>
                  <w:sz w:val="20"/>
                  <w:u w:val="single"/>
                </w:rPr>
                <w:t>Defaults Upon Senior Securities</w:t>
              </w:r>
            </w:hyperlink>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a20a12f115b3415db6b14aca63636f64_127">
              <w:r>
                <w:rPr>
                  <w:rStyle w:val="InternetLink"/>
                  <w:rFonts w:ascii="Times New Roman;sans-serif" w:hAnsi="Times New Roman;sans-serif"/>
                  <w:b w:val="false"/>
                  <w:strike w:val="false"/>
                  <w:dstrike w:val="false"/>
                  <w:color w:val="000000"/>
                  <w:sz w:val="20"/>
                  <w:u w:val="none"/>
                  <w:effect w:val="none"/>
                </w:rPr>
                <w:t>76</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130">
              <w:r>
                <w:rPr>
                  <w:rStyle w:val="InternetLink"/>
                  <w:rFonts w:ascii="Times New Roman;sans-serif" w:hAnsi="Times New Roman;sans-serif"/>
                  <w:b w:val="false"/>
                  <w:color w:val="0000FF"/>
                  <w:sz w:val="20"/>
                  <w:u w:val="single"/>
                </w:rPr>
                <w:t>Item 4.</w:t>
              </w:r>
            </w:hyperlink>
          </w:p>
        </w:tc>
        <w:tc>
          <w:tcPr>
            <w:tcW w:w="8695"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130">
              <w:r>
                <w:rPr>
                  <w:rStyle w:val="InternetLink"/>
                  <w:rFonts w:ascii="Times New Roman;sans-serif" w:hAnsi="Times New Roman;sans-serif"/>
                  <w:b w:val="false"/>
                  <w:color w:val="0000FF"/>
                  <w:sz w:val="20"/>
                  <w:u w:val="single"/>
                </w:rPr>
                <w:t>Mine Safety Disclosures</w:t>
              </w:r>
            </w:hyperlink>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a20a12f115b3415db6b14aca63636f64_130">
              <w:r>
                <w:rPr>
                  <w:rStyle w:val="InternetLink"/>
                  <w:rFonts w:ascii="Times New Roman;sans-serif" w:hAnsi="Times New Roman;sans-serif"/>
                  <w:b w:val="false"/>
                  <w:strike w:val="false"/>
                  <w:dstrike w:val="false"/>
                  <w:color w:val="000000"/>
                  <w:sz w:val="20"/>
                  <w:u w:val="none"/>
                  <w:effect w:val="none"/>
                </w:rPr>
                <w:t>76</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133">
              <w:r>
                <w:rPr>
                  <w:rStyle w:val="InternetLink"/>
                  <w:rFonts w:ascii="Times New Roman;sans-serif" w:hAnsi="Times New Roman;sans-serif"/>
                  <w:b w:val="false"/>
                  <w:color w:val="0000FF"/>
                  <w:sz w:val="20"/>
                  <w:u w:val="single"/>
                </w:rPr>
                <w:t>Item 5.</w:t>
              </w:r>
            </w:hyperlink>
          </w:p>
        </w:tc>
        <w:tc>
          <w:tcPr>
            <w:tcW w:w="869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133">
              <w:r>
                <w:rPr>
                  <w:rStyle w:val="InternetLink"/>
                  <w:rFonts w:ascii="Times New Roman;sans-serif" w:hAnsi="Times New Roman;sans-serif"/>
                  <w:b w:val="false"/>
                  <w:color w:val="0000FF"/>
                  <w:sz w:val="20"/>
                  <w:u w:val="single"/>
                </w:rPr>
                <w:t>Other Information</w:t>
              </w:r>
            </w:hyperlink>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a20a12f115b3415db6b14aca63636f64_133">
              <w:r>
                <w:rPr>
                  <w:rStyle w:val="InternetLink"/>
                  <w:rFonts w:ascii="Times New Roman;sans-serif" w:hAnsi="Times New Roman;sans-serif"/>
                  <w:b w:val="false"/>
                  <w:strike w:val="false"/>
                  <w:dstrike w:val="false"/>
                  <w:color w:val="000000"/>
                  <w:sz w:val="20"/>
                  <w:u w:val="none"/>
                  <w:effect w:val="none"/>
                </w:rPr>
                <w:t>76</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136">
              <w:r>
                <w:rPr>
                  <w:rStyle w:val="InternetLink"/>
                  <w:rFonts w:ascii="Times New Roman;sans-serif" w:hAnsi="Times New Roman;sans-serif"/>
                  <w:b w:val="false"/>
                  <w:color w:val="0000FF"/>
                  <w:sz w:val="20"/>
                  <w:u w:val="single"/>
                </w:rPr>
                <w:t>Item 6.</w:t>
              </w:r>
            </w:hyperlink>
          </w:p>
        </w:tc>
        <w:tc>
          <w:tcPr>
            <w:tcW w:w="8695"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136">
              <w:r>
                <w:rPr>
                  <w:rStyle w:val="InternetLink"/>
                  <w:rFonts w:ascii="Times New Roman;sans-serif" w:hAnsi="Times New Roman;sans-serif"/>
                  <w:b w:val="false"/>
                  <w:color w:val="0000FF"/>
                  <w:sz w:val="20"/>
                  <w:u w:val="single"/>
                </w:rPr>
                <w:t>Exhibits</w:t>
              </w:r>
            </w:hyperlink>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center"/>
              <w:rPr/>
            </w:pPr>
            <w:hyperlink w:anchor="ia20a12f115b3415db6b14aca63636f64_136">
              <w:r>
                <w:rPr>
                  <w:rStyle w:val="InternetLink"/>
                  <w:rFonts w:ascii="Times New Roman;sans-serif" w:hAnsi="Times New Roman;sans-serif"/>
                  <w:b w:val="false"/>
                  <w:strike w:val="false"/>
                  <w:dstrike w:val="false"/>
                  <w:color w:val="000000"/>
                  <w:sz w:val="20"/>
                  <w:u w:val="none"/>
                  <w:effect w:val="none"/>
                </w:rPr>
                <w:t>76</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ia20a12f115b3415db6b14aca63636f64_139">
              <w:r>
                <w:rPr>
                  <w:rStyle w:val="InternetLink"/>
                  <w:rFonts w:ascii="Times New Roman;sans-serif" w:hAnsi="Times New Roman;sans-serif"/>
                  <w:b w:val="false"/>
                  <w:color w:val="0000FF"/>
                  <w:sz w:val="20"/>
                  <w:u w:val="single"/>
                </w:rPr>
                <w:t>Signatures</w:t>
              </w:r>
            </w:hyperlink>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pPr>
            <w:hyperlink w:anchor="ia20a12f115b3415db6b14aca63636f64_139">
              <w:r>
                <w:rPr>
                  <w:rStyle w:val="InternetLink"/>
                  <w:rFonts w:ascii="Times New Roman;sans-serif" w:hAnsi="Times New Roman;sans-serif"/>
                  <w:b w:val="false"/>
                  <w:strike w:val="false"/>
                  <w:dstrike w:val="false"/>
                  <w:color w:val="000000"/>
                  <w:sz w:val="20"/>
                  <w:u w:val="none"/>
                  <w:effect w:val="none"/>
                </w:rPr>
                <w:t>78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64"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the Securities Act of 1933, as amended (the “Securities Act”), the Securities Exchange Act of 1934, as amended (the “Exchange Act”), and the Private Securities Litigation Reform Act of 1995. All statements contained in this Quarterly Report on Form 10-Q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pStyle w:val="TextBody"/>
        <w:bidi w:val="0"/>
        <w:spacing w:lineRule="auto" w:line="264"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include, but are not limited to, statements concerning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market acceptance of our cloud platform;</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effects of increased competition in our markets and our ability to compete effectively;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maintain the security and availability of our cloud platform;</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maintain and expand our customer base, including by attracting new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develop new solutions, or enhancements to our existing solutions, and bring them to market in a timely manner;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anticipated trends, growth rates and challenges in our business and in the markets in which we operate;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impact of the COVID-19 pandemic on our operations, financial results, and liquidity and capital resources, including on customers, sales, expenses, and employees;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business plan and our ability to effectively manage our growth and associated investments;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beliefs and objectives for future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relationships with third parties, including channel partners and technology alliance partners;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maintain, protect and enhance our intellectual property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successfully defend litigation brought against us;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successfully expand in our existing markets and into new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sufficiency of cash and cash equivalents to meet cash needs for at least the next 12 months;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expand internationally;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comply with laws and regulations that currently apply or become applicable to our business both in the United States and internationally;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develop, maintain, and improve our internal control over financial reporting;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macroeconomic factors, including inflation and instability in the global credit and financial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successfully close and integrate acquisitions to contribute to our growth objectives;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attraction and retention of qualified employees and key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64"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statements are based on our current plans, estimates and projections in light of information currently available to us. These forward-looking statements may be affected by risks, uncertainties and other factors discussed elsewhere in this Quarterly Report on Form 10-Q, including under “Risk Factors.” Furthermore, new risks and uncertainties emerge from time to time, and it is impossible for us to predict all risks and uncertainties or how they may affect us. If any of these risks or uncertainties materialize, our business, revenue and financial results could be harmed, and the trading price of our Class A common stock could decline. Forward-looking statements made in this Quarterly Report on Form 10-Q speak only as of the date on which such statements are made, and we undertake no obligation to update them in light of new information or future events, except as required by law.</w:t>
      </w:r>
    </w:p>
    <w:p>
      <w:pPr>
        <w:pStyle w:val="TextBody"/>
        <w:bidi w:val="0"/>
        <w:spacing w:lineRule="auto" w:line="264"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 </w:t>
      </w:r>
    </w:p>
    <w:p>
      <w:pPr>
        <w:pStyle w:val="TextBody"/>
        <w:bidi w:val="0"/>
        <w:spacing w:lineRule="auto" w:line="264" w:before="24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lineRule="auto" w:line="264"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any one of which could materially adversely affect our business, results of operations, financial condition, and growth prospects. Below is a summary of some of these risks. This summary is not complete, and should be read together with the entire section titled “Risk Factors” in this Quarterly Report on Form 10-Q, as well as the other information in this Quarterly Report on Form 10-Q and the other filings that we make with the SEC.</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have experienced rapid growth in recent periods, and if we do not manage our future growth, our business and results of operations will be adversely affected.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have a history of losses, and while we have achieved profitability in quarterly periods, we may not be able to achieve or sustain profitability in the future.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organizations do not adopt cloud-based SaaS-delivered endpoint security solutions, our ability to grow our business and results of operations may be adversely affected.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we are unable to attract new customers, our future results of operations could be harmed.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our customers do not renew their subscriptions for our products and add additional cloud modules to their subscriptions, our future results of operations could be harmed.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sales cycles can be long and unpredictable, and our sales efforts require considerable time and expense,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face intense competition and could lose market share to our competitors, which could adversely affect our business, financial condition, and results of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our solutions fail or are perceived to fail to detect or prevent incidents or have or are perceived to have defects, errors, or vulnerabilities, our brand and reputation would be harmed, which would adversely affect our business and results of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As a cybersecurity provider, we have been, and expect to continue to be, a target of cyberattacks. If our internal networks, systems, or data are or are perceived to have been breached, our reputation may be damaged and our financial results may be negatively affected.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rely on our key technical, sales and management personnel to grow our business, and the loss of one or more key employees could harm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we are unable to attract and retain qualified personnel, our business could be harmed.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results of operations may fluctuate significantly, which could make our future results difficult to predict and could cause our results of operations to fall below expectations.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Claims by others that we infringe their proprietary technology or other intellectual property rights could result in significant costs and substantially harm our business, financial condition, results of operations, and prospects.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we are not able to comply with applicable data protection, security, privacy, and other government- and industry-specific laws, regulations, standards or requirements, our business, results of operations, and financial condition could be harmed.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Future acquisitions, strategic investments, partnerships, or alliances could be difficult to identify and integrate, divert the attention of key management personnel, disrupt our business, dilute stockholder value, and adversely affect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CrowdStrike Holdings,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per share data)</w:t>
      </w:r>
    </w:p>
    <w:p>
      <w:pPr>
        <w:pStyle w:val="TextBody"/>
        <w:bidi w:val="0"/>
        <w:spacing w:lineRule="auto" w:line="288" w:before="0" w:after="24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3065"/>
        <w:gridCol w:w="2226"/>
        <w:gridCol w:w="2188"/>
        <w:gridCol w:w="196"/>
        <w:gridCol w:w="871"/>
        <w:gridCol w:w="109"/>
        <w:gridCol w:w="109"/>
        <w:gridCol w:w="109"/>
        <w:gridCol w:w="109"/>
        <w:gridCol w:w="196"/>
        <w:gridCol w:w="871"/>
        <w:gridCol w:w="156"/>
      </w:tblGrid>
      <w:tr>
        <w:trPr/>
        <w:tc>
          <w:tcPr>
            <w:tcW w:w="3065"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w:t>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3,167,215 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2,455,369 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 for credit losses of $4.1 million and $2.6 million as of July 31, 2023 and January 31, 2023,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626,181 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contract acquisition costs,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4,050,386 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3,640,267 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Strategic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492,335 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contract acquisition costs,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430,645 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5,520,458 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5,026,540 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Liabilities and Stockholders’ Equity </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payroll and benefits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1,727,484 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2,229,463 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2,109,072 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Long-term debt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741,005 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627,629 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3,650,358 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3,539,106 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8)</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Stockholders’ Equity </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$0.0005 par value; 100,000 shares authorized as of July 31, 2023 and January 31, 2023; no shares issued and outstanding as of July 31, 2023 and January 31, 2023.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$0.0005 par value; 2,000,000 shares authorized as of July 31, 2023 and January 31, 2023; 226,043 shares and 222,759 shares issued and outstanding as of July 31, 2023 and January 31, 2023, respectively; Class B common stock, $0.0005 par value; 300,000 shares authorized as of July 31, 2023 and January 31, 2023; 12,732 shares and 13,018 shares issued and outstanding as of July 31, 2023 and January 31, 2023,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2,612,705 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(1,148,163)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CrowdStrike Holdings, Inc. stockholders’ equity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1,463,641 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stockholders’ equity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1,487,434 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Total liabilities and stockholders’ equity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5,520,458 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5,026,540 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CrowdStrike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 share data)</w:t>
      </w:r>
    </w:p>
    <w:p>
      <w:pPr>
        <w:pStyle w:val="TextBody"/>
        <w:bidi w:val="0"/>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94"/>
        <w:gridCol w:w="1319"/>
        <w:gridCol w:w="1331"/>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5"/>
      </w:tblGrid>
      <w:tr>
        <w:trPr/>
        <w:tc>
          <w:tcPr>
            <w:tcW w:w="179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July 31,</w:t>
            </w:r>
          </w:p>
        </w:tc>
      </w:tr>
      <w:tr>
        <w:trP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1,022,987 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755,588 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418,298 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827,778 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(72,190)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(78,722)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(loss) attributable to CrowdStrike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(80,808)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attributable to CrowdStrike common stockholders: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(loss) per share attributable to CrowdStrike common stockholders: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242,144 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232,554 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241,383 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231,850 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CrowdStrike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p>
      <w:pPr>
        <w:pStyle w:val="TextBody"/>
        <w:bidi w:val="0"/>
        <w:spacing w:lineRule="auto" w:line="288" w:before="0" w:after="24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68"/>
        <w:gridCol w:w="1539"/>
        <w:gridCol w:w="1516"/>
        <w:gridCol w:w="226"/>
        <w:gridCol w:w="660"/>
        <w:gridCol w:w="116"/>
        <w:gridCol w:w="116"/>
        <w:gridCol w:w="116"/>
        <w:gridCol w:w="116"/>
        <w:gridCol w:w="226"/>
        <w:gridCol w:w="841"/>
        <w:gridCol w:w="116"/>
        <w:gridCol w:w="109"/>
        <w:gridCol w:w="109"/>
        <w:gridCol w:w="109"/>
        <w:gridCol w:w="211"/>
        <w:gridCol w:w="721"/>
        <w:gridCol w:w="109"/>
        <w:gridCol w:w="109"/>
        <w:gridCol w:w="109"/>
        <w:gridCol w:w="109"/>
        <w:gridCol w:w="211"/>
        <w:gridCol w:w="783"/>
        <w:gridCol w:w="160"/>
      </w:tblGrid>
      <w:tr>
        <w:trPr/>
        <w:tc>
          <w:tcPr>
            <w:tcW w:w="1768"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July 31,</w:t>
            </w:r>
          </w:p>
        </w:tc>
      </w:tr>
      <w:tr>
        <w:trPr/>
        <w:tc>
          <w:tcPr>
            <w:tcW w:w="4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(78,722)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non-controlling interest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(loss) attributable to CrowdStrike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(50,772)</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(85,243)</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16"/>
        </w:rPr>
      </w:pPr>
      <w:r>
        <w:rPr>
          <w:rFonts w:ascii="Times New Roman;sans-serif" w:hAnsi="Times New Roman;sans-serif"/>
          <w:b/>
          <w:color w:val="000000"/>
          <w:sz w:val="16"/>
        </w:rPr>
        <w:t>CrowdStrike Holdings,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July 31, 2023 and 2022 </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bl>
      <w:tblPr>
        <w:tblW w:w="10318" w:type="dxa"/>
        <w:jc w:val="center"/>
        <w:tblInd w:w="0" w:type="dxa"/>
        <w:tblLayout w:type="fixed"/>
        <w:tblCellMar>
          <w:top w:w="28" w:type="dxa"/>
          <w:left w:w="28" w:type="dxa"/>
          <w:bottom w:w="28" w:type="dxa"/>
          <w:right w:w="28" w:type="dxa"/>
        </w:tblCellMar>
      </w:tblPr>
      <w:tblGrid>
        <w:gridCol w:w="767"/>
        <w:gridCol w:w="239"/>
        <w:gridCol w:w="240"/>
        <w:gridCol w:w="109"/>
        <w:gridCol w:w="109"/>
        <w:gridCol w:w="109"/>
        <w:gridCol w:w="323"/>
        <w:gridCol w:w="323"/>
        <w:gridCol w:w="171"/>
        <w:gridCol w:w="109"/>
        <w:gridCol w:w="109"/>
        <w:gridCol w:w="109"/>
        <w:gridCol w:w="181"/>
        <w:gridCol w:w="376"/>
        <w:gridCol w:w="109"/>
        <w:gridCol w:w="109"/>
        <w:gridCol w:w="109"/>
        <w:gridCol w:w="109"/>
        <w:gridCol w:w="181"/>
        <w:gridCol w:w="766"/>
        <w:gridCol w:w="109"/>
        <w:gridCol w:w="109"/>
        <w:gridCol w:w="109"/>
        <w:gridCol w:w="109"/>
        <w:gridCol w:w="181"/>
        <w:gridCol w:w="766"/>
        <w:gridCol w:w="109"/>
        <w:gridCol w:w="109"/>
        <w:gridCol w:w="109"/>
        <w:gridCol w:w="109"/>
        <w:gridCol w:w="277"/>
        <w:gridCol w:w="576"/>
        <w:gridCol w:w="168"/>
        <w:gridCol w:w="109"/>
        <w:gridCol w:w="109"/>
        <w:gridCol w:w="109"/>
        <w:gridCol w:w="224"/>
        <w:gridCol w:w="706"/>
        <w:gridCol w:w="136"/>
        <w:gridCol w:w="109"/>
        <w:gridCol w:w="109"/>
        <w:gridCol w:w="109"/>
        <w:gridCol w:w="181"/>
        <w:gridCol w:w="766"/>
        <w:gridCol w:w="154"/>
      </w:tblGrid>
      <w:tr>
        <w:trPr/>
        <w:tc>
          <w:tcPr>
            <w:tcW w:w="7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April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237,099 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2,752,716 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(1,147,672)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29,058 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1,634,359 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RSU and PSU release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founders holdbacks related to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to board of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163,811 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163,811 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Capitalized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2,831 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774 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Balances at July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238,775 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2,976,375 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(1,139,200)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913 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31,893 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1,870,100 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09"/>
        <w:gridCol w:w="247"/>
        <w:gridCol w:w="248"/>
        <w:gridCol w:w="109"/>
        <w:gridCol w:w="109"/>
        <w:gridCol w:w="109"/>
        <w:gridCol w:w="323"/>
        <w:gridCol w:w="323"/>
        <w:gridCol w:w="171"/>
        <w:gridCol w:w="109"/>
        <w:gridCol w:w="109"/>
        <w:gridCol w:w="109"/>
        <w:gridCol w:w="181"/>
        <w:gridCol w:w="376"/>
        <w:gridCol w:w="109"/>
        <w:gridCol w:w="109"/>
        <w:gridCol w:w="109"/>
        <w:gridCol w:w="109"/>
        <w:gridCol w:w="181"/>
        <w:gridCol w:w="769"/>
        <w:gridCol w:w="109"/>
        <w:gridCol w:w="109"/>
        <w:gridCol w:w="109"/>
        <w:gridCol w:w="109"/>
        <w:gridCol w:w="181"/>
        <w:gridCol w:w="767"/>
        <w:gridCol w:w="109"/>
        <w:gridCol w:w="109"/>
        <w:gridCol w:w="109"/>
        <w:gridCol w:w="109"/>
        <w:gridCol w:w="237"/>
        <w:gridCol w:w="651"/>
        <w:gridCol w:w="143"/>
        <w:gridCol w:w="109"/>
        <w:gridCol w:w="109"/>
        <w:gridCol w:w="109"/>
        <w:gridCol w:w="224"/>
        <w:gridCol w:w="708"/>
        <w:gridCol w:w="136"/>
        <w:gridCol w:w="109"/>
        <w:gridCol w:w="109"/>
        <w:gridCol w:w="109"/>
        <w:gridCol w:w="181"/>
        <w:gridCol w:w="769"/>
        <w:gridCol w:w="164"/>
      </w:tblGrid>
      <w:tr>
        <w:trPr/>
        <w:tc>
          <w:tcPr>
            <w:tcW w:w="6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April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232,018 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2,103,054 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(996,441)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(4,188)</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14,456 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1,116,997 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upon exercise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under RSU and PSU release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34,445 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Vesting of early exercised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735 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for founders holdbacks related to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129,783 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129,783 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Capitalized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5,451 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972 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(48,313)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(1,487)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(1,487)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Balances at July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233,368 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2,276,704 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(1,045,726)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(5,675)</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17,928 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1,243,347 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jc w:val="center"/>
        <w:rPr>
          <w:rFonts w:ascii="Times New Roman;sans-serif" w:hAnsi="Times New Roman;sans-serif"/>
          <w:b w:val="false"/>
          <w:color w:val="000000"/>
          <w:sz w:val="15"/>
        </w:rPr>
      </w:pPr>
      <w:r>
        <w:rPr>
          <w:rFonts w:ascii="Times New Roman;sans-serif" w:hAnsi="Times New Roman;sans-serif"/>
          <w:b w:val="false"/>
          <w:color w:val="000000"/>
          <w:sz w:val="15"/>
        </w:rPr>
        <w:t>The accompanying notes are an integral part of these condensed consolidated financial statements.</w:t>
      </w:r>
    </w:p>
    <w:p>
      <w:pPr>
        <w:pStyle w:val="TextBody"/>
        <w:bidi w:val="0"/>
        <w:spacing w:before="240" w:after="300"/>
        <w:jc w:val="center"/>
        <w:rPr/>
      </w:pPr>
      <w:r>
        <w:rPr/>
      </w:r>
    </w:p>
    <w:p>
      <w:pPr>
        <w:pStyle w:val="TextBody"/>
        <w:bidi w:val="0"/>
        <w:spacing w:before="240" w:after="300"/>
        <w:jc w:val="center"/>
        <w:rPr/>
      </w:pPr>
      <w:r>
        <w:rPr/>
      </w:r>
    </w:p>
    <w:p>
      <w:pPr>
        <w:pStyle w:val="TextBody"/>
        <w:bidi w:val="0"/>
        <w:spacing w:before="240" w:after="300"/>
        <w:jc w:val="center"/>
        <w:rPr/>
      </w:pPr>
      <w:r>
        <w:rPr/>
      </w:r>
    </w:p>
    <w:p>
      <w:pPr>
        <w:pStyle w:val="TextBody"/>
        <w:bidi w:val="0"/>
        <w:spacing w:before="240" w:after="300"/>
        <w:jc w:val="center"/>
        <w:rPr/>
      </w:pPr>
      <w:r>
        <w:rPr/>
      </w:r>
    </w:p>
    <w:p>
      <w:pPr>
        <w:pStyle w:val="TextBody"/>
        <w:bidi w:val="0"/>
        <w:spacing w:before="240" w:after="300"/>
        <w:jc w:val="center"/>
        <w:rPr/>
      </w:pPr>
      <w:r>
        <w:rPr/>
      </w:r>
    </w:p>
    <w:p>
      <w:pPr>
        <w:pStyle w:val="TextBody"/>
        <w:bidi w:val="0"/>
        <w:spacing w:before="240" w:after="30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16"/>
        </w:rPr>
      </w:pPr>
      <w:r>
        <w:rPr>
          <w:rFonts w:ascii="Times New Roman;sans-serif" w:hAnsi="Times New Roman;sans-serif"/>
          <w:b/>
          <w:color w:val="000000"/>
          <w:sz w:val="16"/>
        </w:rPr>
        <w:t>CrowdStrike Holdings,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July 31, 2023 and 2022 </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646"/>
        <w:gridCol w:w="228"/>
        <w:gridCol w:w="229"/>
        <w:gridCol w:w="109"/>
        <w:gridCol w:w="109"/>
        <w:gridCol w:w="109"/>
        <w:gridCol w:w="323"/>
        <w:gridCol w:w="323"/>
        <w:gridCol w:w="171"/>
        <w:gridCol w:w="109"/>
        <w:gridCol w:w="109"/>
        <w:gridCol w:w="109"/>
        <w:gridCol w:w="181"/>
        <w:gridCol w:w="376"/>
        <w:gridCol w:w="109"/>
        <w:gridCol w:w="109"/>
        <w:gridCol w:w="109"/>
        <w:gridCol w:w="109"/>
        <w:gridCol w:w="181"/>
        <w:gridCol w:w="769"/>
        <w:gridCol w:w="109"/>
        <w:gridCol w:w="109"/>
        <w:gridCol w:w="109"/>
        <w:gridCol w:w="109"/>
        <w:gridCol w:w="181"/>
        <w:gridCol w:w="767"/>
        <w:gridCol w:w="109"/>
        <w:gridCol w:w="109"/>
        <w:gridCol w:w="109"/>
        <w:gridCol w:w="109"/>
        <w:gridCol w:w="238"/>
        <w:gridCol w:w="652"/>
        <w:gridCol w:w="143"/>
        <w:gridCol w:w="109"/>
        <w:gridCol w:w="109"/>
        <w:gridCol w:w="109"/>
        <w:gridCol w:w="224"/>
        <w:gridCol w:w="708"/>
        <w:gridCol w:w="136"/>
        <w:gridCol w:w="109"/>
        <w:gridCol w:w="109"/>
        <w:gridCol w:w="109"/>
        <w:gridCol w:w="181"/>
        <w:gridCol w:w="769"/>
        <w:gridCol w:w="163"/>
      </w:tblGrid>
      <w:tr>
        <w:trPr/>
        <w:tc>
          <w:tcPr>
            <w:tcW w:w="6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Balances at January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235,777 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2,612,705 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(1,148,163)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(1,019)</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23,793 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1,487,434 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upon exercise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585 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4,125 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under RSU and PSU release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1,944 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45,432 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for founders holdbacks related to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2,538 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for board of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292,941 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292,941 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Capitalized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18,468 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8,975 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1,932 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Balances at July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238,775 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2,976,375 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(1,139,200)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913 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31,893 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1,870,100 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47"/>
        <w:gridCol w:w="229"/>
        <w:gridCol w:w="230"/>
        <w:gridCol w:w="109"/>
        <w:gridCol w:w="109"/>
        <w:gridCol w:w="109"/>
        <w:gridCol w:w="323"/>
        <w:gridCol w:w="323"/>
        <w:gridCol w:w="171"/>
        <w:gridCol w:w="109"/>
        <w:gridCol w:w="109"/>
        <w:gridCol w:w="109"/>
        <w:gridCol w:w="181"/>
        <w:gridCol w:w="376"/>
        <w:gridCol w:w="109"/>
        <w:gridCol w:w="109"/>
        <w:gridCol w:w="109"/>
        <w:gridCol w:w="109"/>
        <w:gridCol w:w="181"/>
        <w:gridCol w:w="769"/>
        <w:gridCol w:w="109"/>
        <w:gridCol w:w="109"/>
        <w:gridCol w:w="109"/>
        <w:gridCol w:w="109"/>
        <w:gridCol w:w="181"/>
        <w:gridCol w:w="767"/>
        <w:gridCol w:w="109"/>
        <w:gridCol w:w="109"/>
        <w:gridCol w:w="109"/>
        <w:gridCol w:w="109"/>
        <w:gridCol w:w="237"/>
        <w:gridCol w:w="651"/>
        <w:gridCol w:w="143"/>
        <w:gridCol w:w="109"/>
        <w:gridCol w:w="109"/>
        <w:gridCol w:w="109"/>
        <w:gridCol w:w="224"/>
        <w:gridCol w:w="708"/>
        <w:gridCol w:w="136"/>
        <w:gridCol w:w="109"/>
        <w:gridCol w:w="109"/>
        <w:gridCol w:w="109"/>
        <w:gridCol w:w="181"/>
        <w:gridCol w:w="769"/>
        <w:gridCol w:w="162"/>
      </w:tblGrid>
      <w:tr>
        <w:trPr/>
        <w:tc>
          <w:tcPr>
            <w:tcW w:w="64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r>
      <w:tr>
        <w:trPr/>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Balances at January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230,706 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1,991,807 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(964,918)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(1,240)</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11,879 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1,037,643 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upon exercise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633 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under RSU and PSU release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1,738 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34,445 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Vesting of early exercised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1,470 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common stock for founders holdbacks related to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5,126 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230,559 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230,559 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Capitalized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8,379 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2,086 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(78,722)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3,963 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(4,435)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(4,435)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Balances at July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233,368 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2,276,704 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(1,045,726)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(5,675)</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17,928 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1,243,347 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jc w:val="center"/>
        <w:rPr>
          <w:rFonts w:ascii="Times New Roman;sans-serif" w:hAnsi="Times New Roman;sans-serif"/>
          <w:b w:val="false"/>
          <w:color w:val="000000"/>
          <w:sz w:val="15"/>
        </w:rPr>
      </w:pPr>
      <w:r>
        <w:rPr>
          <w:rFonts w:ascii="Times New Roman;sans-serif" w:hAnsi="Times New Roman;sans-serif"/>
          <w:b w:val="false"/>
          <w:color w:val="000000"/>
          <w:sz w:val="15"/>
        </w:rPr>
        <w:t>The accompanying notes are an integral part of these condensed consolidated financial statements.</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CrowdStrike Holdings, Inc.</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Condensed Consolidated Statements of Cash Flows</w:t>
      </w:r>
    </w:p>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p>
      <w:pPr>
        <w:pStyle w:val="TextBody"/>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(unaudited)</w:t>
      </w:r>
    </w:p>
    <w:tbl>
      <w:tblPr>
        <w:tblW w:w="8829" w:type="dxa"/>
        <w:jc w:val="center"/>
        <w:tblInd w:w="0" w:type="dxa"/>
        <w:tblLayout w:type="fixed"/>
        <w:tblCellMar>
          <w:top w:w="28" w:type="dxa"/>
          <w:left w:w="28" w:type="dxa"/>
          <w:bottom w:w="28" w:type="dxa"/>
          <w:right w:w="28" w:type="dxa"/>
        </w:tblCellMar>
      </w:tblPr>
      <w:tblGrid>
        <w:gridCol w:w="2327"/>
        <w:gridCol w:w="2044"/>
        <w:gridCol w:w="2064"/>
        <w:gridCol w:w="181"/>
        <w:gridCol w:w="721"/>
        <w:gridCol w:w="109"/>
        <w:gridCol w:w="109"/>
        <w:gridCol w:w="109"/>
        <w:gridCol w:w="109"/>
        <w:gridCol w:w="181"/>
        <w:gridCol w:w="721"/>
        <w:gridCol w:w="154"/>
      </w:tblGrid>
      <w:tr>
        <w:trPr/>
        <w:tc>
          <w:tcPr>
            <w:tcW w:w="2327"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Six Months Ended July 31,</w:t>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Operating activities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Net income (loss) </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(78,722)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 to reconcile net income (loss) to net cash provided by operating activities: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intangible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deferred contract acquisition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operating lease cost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234,044 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income taxes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fair value of strategic investments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Changes in operating assets and liabilities, net of impact of acquisitions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receivable,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(50,728)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contract acquisition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(108,940)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Prepaid expenses and other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expenses and other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payroll and benefits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lease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operating activities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545,673 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424,863 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Investing activities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property and equipment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(118,339)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Capitalized internal-use software and website development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strategic investments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intangible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maturities and sales of short-term investments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deferred compensation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(used in) investing activities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(140,099)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Financing activities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issuance of common stock upon exercise of stock options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Proceeds from issuance of common stock under the employee stock purchase plan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 contributions from non-controlling interest holders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financing activities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43,327 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Effect of foreign exchange rates on cash, cash equivalents and restricted cash</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increase in cash, cash equivalents and restricted cash</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712,192 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323,761 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cash equivalents and restricted cash at beginning of period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2,456,924 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1,996,633 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cash equivalents and restricted cash at end of period</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3,169,116 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2,320,394 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cash equivalents and restricted cash at the end of period:</w:t>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3,167,215 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2,318,858 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Restricted cash included in prepaid expenses and other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cash, cash equivalents and restricted cash shown in the condensed consolidated statements of cash flows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3,169,116 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2,320,394 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Supplemental disclosure of cash flow information:</w:t>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paid</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taxes paid, net of refunds received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Supplemental disclosure of non-cash investing and financing activities: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increase (decrease) in property and equipment included in accounts payable and accrued expenses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Vesting of early exercised stock options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Operating lease liabilities arising from obtaining operating right of-use assets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intangible assets included in accrued expenses and other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pPr>
      <w:r>
        <w:rPr>
          <w:rFonts w:ascii="Times New Roman;sans-serif" w:hAnsi="Times New Roman;sans-serif"/>
          <w:b w:val="false"/>
          <w:color w:val="000000"/>
          <w:sz w:val="16"/>
        </w:rPr>
        <w:t>The accompanying notes are an integral part of these condensed consolidated 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CrowdStrike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1. Description of Business and Significant Accounting Policies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Business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CrowdStrike Holdings, Inc. (the “Company”) was formed on November 7, 2011. The Company is a global cybersecurity leader that provides cloud-delivered protection of endpoints, cloud workloads, identity, and data via a software as a service (“SaaS”) subscription-based model that spans multiple security markets, including corporate workload security, security and vulnerability management, managed security services, IT operations management, threat intelligence services, identity protection, and log management. The Company conducts its business in the United States, as well as locations internationally, including in Australia, Germany, India, Israel, Romania, and the United Kingdom.</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have been prepared in conformity with U.S. generally accepted accounting principles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January 31, 2023, and related disclosures, have been derived from the audited consolidated financial statements at that date but do not include all of the information required by U.S. GAAP for complete consolidated financial statements. These unaudited condensed consolidated financial statements have been prepared on the same basis as the Company’s annual consolidated financial statements and, in the opinion of management, reflect all normal recurring adjustments that are necessary for the fair statement of the Company’s condensed consolidated financial information. The results of operations for the three and six months ended July 31, 2023 are not necessarily indicative of the results to be expected for the year ending January 31, 2024 or for any other interim period or for any other future year.</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unaudited condensed consolidated financial statements and related financial information should be read in conjunction with Item 8, “Financial Statements and Supplementary Data” included in the Company’s Annual Report on Form 10-K for the fiscal year ended January 31, 2023, filed with the SEC on March 9, 2023.</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and its wholly owned subsidiaries. All intercompany balances and transactions have been eliminated in consolidation.</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On a regular basis, management evaluates these estimates and assumptions. Actual results may differ from these estimates and such differences could be material to the Company’s condensed consolidated financial statements.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Estimates and assumptions used by management include, but are not limited to, revenue recognition, the allowance for credit losses, the useful lives of long-lived assets, the fair values of strategic investments, the period of benefit for deferred contract acquisition costs, the discount rate used for operating leases, the recognition, measurement and disclosure of contingent liabilities, income taxes, stock-based compensation, and the fair value of assets acquired and liabilities assumed in business combinations.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 and Geographic Information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the Company to concentrations of credit risk consist of cash, cash equivalents, short-term investments, accounts receivable, and strategic investments. The Company’s cash is placed with high-credit-quality financial institutions and issuers, and at times exceeds federally insured limits. The Company has not experienced any credit loss relating to its cash, cash equivalents, short-term investments, or strategic investments. The Company performs periodic credit evaluations of its customers and generally does not require collateral. </w:t>
      </w:r>
    </w:p>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channel partners or direct customers who represented 10% or more of the Company’s accounts receivable as of July 31, 2023 or January 31, 2023. </w:t>
      </w:r>
    </w:p>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channel partners or direct customers who represented 10% or more of the Company’s total revenue for each of the three and six months ended July 31, 2023 or 2022.</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Significant Accounting Policies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significant accounting policies are described in the Company’s Annual Report on Form 10-K for the year ended January 31, 2023. There have been no significant changes to these policies that have had a material impact on the Company’s condensed consolidated financial statements and related notes for the three and six months ended July 31, 2023.</w:t>
      </w:r>
    </w:p>
    <w:p>
      <w:pPr>
        <w:pStyle w:val="TextBody"/>
        <w:bidi w:val="0"/>
        <w:spacing w:lineRule="auto" w:line="288" w:before="240" w:after="283"/>
        <w:ind w:left="0" w:right="0" w:firstLine="72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Recently Adopted Accounting Pronouncements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2021, the FASB issued ASU 2021-08, Business Combinations (Topic 805): Accounting for Contract Assets and Contract Liabilities from Contracts with Customers, which requires that an entity recognize and measure contract assets and contract liabilities acquired in a business combination in accordance with Topic 606 as if it had originated the contracts. For public business entities, this ASU is effective for fiscal years beginning after December 15, 2022, and interim periods within those fiscal years. The Company adopted this guidance on February 1, 2023, which did not have a material effect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2. Investments and Fair Value Measurements</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The Company follows ASC 820</w:t>
      </w:r>
      <w:r>
        <w:rPr>
          <w:rFonts w:ascii="Times New Roman;sans-serif" w:hAnsi="Times New Roman;sans-serif"/>
          <w:b w:val="false"/>
          <w:i/>
          <w:color w:val="000000"/>
          <w:sz w:val="20"/>
        </w:rPr>
        <w:t>, Fair Value Measurements</w:t>
      </w:r>
      <w:r>
        <w:rPr>
          <w:rFonts w:ascii="Times New Roman;sans-serif" w:hAnsi="Times New Roman;sans-serif"/>
          <w:b w:val="false"/>
          <w:color w:val="000000"/>
          <w:sz w:val="20"/>
        </w:rPr>
        <w:t>, with respect to cash equivalents and deferred compensation investments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the Company. Unobservable inputs are inputs that reflect the Company’s assumptions about the factors market participants would use in valuing the asset or liability based upon the best information available in the circumstances.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hierarchy is broken down into three levels as follows:</w:t>
      </w:r>
    </w:p>
    <w:p>
      <w:pPr>
        <w:pStyle w:val="TextBody"/>
        <w:bidi w:val="0"/>
        <w:spacing w:lineRule="auto" w:line="288" w:before="240" w:after="283"/>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Level 1    Assets and liabilities whose values are based on unadjusted quoted market prices for identical assets and liabilities in active markets</w:t>
      </w:r>
    </w:p>
    <w:p>
      <w:pPr>
        <w:pStyle w:val="TextBody"/>
        <w:bidi w:val="0"/>
        <w:spacing w:lineRule="auto" w:line="288" w:before="0" w:after="0"/>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Level 2    Assets and liabilities whose values are based on quoted prices in markets that are not active or inputs that are observable for substantially the full term of the asset or liability</w:t>
      </w:r>
    </w:p>
    <w:p>
      <w:pPr>
        <w:pStyle w:val="TextBody"/>
        <w:bidi w:val="0"/>
        <w:spacing w:lineRule="auto" w:line="288" w:before="0" w:after="0"/>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Level 3    Assets and liabilities whose values are based on prices or valuation techniques that require inputs that are both unobservable and significant to the overall fair value measurement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Categorization within the valuation hierarchy is based upon the lowest level of input that is significant to the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fair value hierarchy for its financial assets and liabilities that are measured at fair value on a recurring basis are as follows (in thousands):</w:t>
      </w:r>
    </w:p>
    <w:tbl>
      <w:tblPr>
        <w:tblW w:w="10528" w:type="dxa"/>
        <w:jc w:val="left"/>
        <w:tblInd w:w="0" w:type="dxa"/>
        <w:tblLayout w:type="fixed"/>
        <w:tblCellMar>
          <w:top w:w="28" w:type="dxa"/>
          <w:left w:w="28" w:type="dxa"/>
          <w:bottom w:w="28" w:type="dxa"/>
          <w:right w:w="28" w:type="dxa"/>
        </w:tblCellMar>
      </w:tblPr>
      <w:tblGrid>
        <w:gridCol w:w="405"/>
        <w:gridCol w:w="343"/>
        <w:gridCol w:w="348"/>
        <w:gridCol w:w="196"/>
        <w:gridCol w:w="871"/>
        <w:gridCol w:w="109"/>
        <w:gridCol w:w="109"/>
        <w:gridCol w:w="109"/>
        <w:gridCol w:w="109"/>
        <w:gridCol w:w="196"/>
        <w:gridCol w:w="406"/>
        <w:gridCol w:w="109"/>
        <w:gridCol w:w="109"/>
        <w:gridCol w:w="109"/>
        <w:gridCol w:w="109"/>
        <w:gridCol w:w="196"/>
        <w:gridCol w:w="406"/>
        <w:gridCol w:w="109"/>
        <w:gridCol w:w="109"/>
        <w:gridCol w:w="109"/>
        <w:gridCol w:w="109"/>
        <w:gridCol w:w="196"/>
        <w:gridCol w:w="871"/>
        <w:gridCol w:w="109"/>
        <w:gridCol w:w="109"/>
        <w:gridCol w:w="109"/>
        <w:gridCol w:w="109"/>
        <w:gridCol w:w="196"/>
        <w:gridCol w:w="646"/>
        <w:gridCol w:w="109"/>
        <w:gridCol w:w="109"/>
        <w:gridCol w:w="109"/>
        <w:gridCol w:w="109"/>
        <w:gridCol w:w="196"/>
        <w:gridCol w:w="406"/>
        <w:gridCol w:w="109"/>
        <w:gridCol w:w="109"/>
        <w:gridCol w:w="109"/>
        <w:gridCol w:w="109"/>
        <w:gridCol w:w="196"/>
        <w:gridCol w:w="406"/>
        <w:gridCol w:w="109"/>
        <w:gridCol w:w="109"/>
        <w:gridCol w:w="109"/>
        <w:gridCol w:w="109"/>
        <w:gridCol w:w="196"/>
        <w:gridCol w:w="646"/>
        <w:gridCol w:w="154"/>
      </w:tblGrid>
      <w:tr>
        <w:trPr/>
        <w:tc>
          <w:tcPr>
            <w:tcW w:w="40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218" w:type="dxa"/>
            <w:gridSpan w:val="36"/>
            <w:tcBorders/>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Assets</w:t>
            </w:r>
            <w:r>
              <w:rPr>
                <w:rFonts w:ascii="Times New Roman;sans-serif" w:hAnsi="Times New Roman;sans-serif"/>
                <w:b/>
                <w:color w:val="000000"/>
                <w:sz w:val="12"/>
              </w:rPr>
              <w:t>(1)</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Cash equivalents</w:t>
            </w:r>
            <w:r>
              <w:rPr>
                <w:color w:val="000000"/>
              </w:rPr>
              <w:t> </w:t>
            </w:r>
            <w:r>
              <w:rPr>
                <w:rFonts w:ascii="Times New Roman;sans-serif" w:hAnsi="Times New Roman;sans-serif"/>
                <w:b w:val="false"/>
                <w:color w:val="000000"/>
                <w:sz w:val="12"/>
              </w:rPr>
              <w:t>(2)</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compensation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2,801,151 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2,801,154 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__________________________________</w:t>
      </w:r>
    </w:p>
    <w:p>
      <w:pPr>
        <w:pStyle w:val="TextBody"/>
        <w:bidi w:val="0"/>
        <w:spacing w:lineRule="auto" w:line="288" w:before="120" w:after="283"/>
        <w:ind w:left="0" w:right="0" w:hanging="720"/>
        <w:jc w:val="left"/>
        <w:rPr/>
      </w:pPr>
      <w:r>
        <w:rPr>
          <w:rFonts w:ascii="Times New Roman;sans-serif" w:hAnsi="Times New Roman;sans-serif"/>
          <w:b w:val="false"/>
          <w:color w:val="000000"/>
          <w:sz w:val="18"/>
        </w:rPr>
        <w:t>(1)</w:t>
      </w:r>
      <w:r>
        <w:rPr>
          <w:color w:val="000000"/>
        </w:rPr>
        <w:t xml:space="preserve"> </w:t>
      </w:r>
      <w:r>
        <w:rPr>
          <w:rFonts w:ascii="Times New Roman;sans-serif" w:hAnsi="Times New Roman;sans-serif"/>
          <w:b w:val="false"/>
          <w:color w:val="000000"/>
          <w:sz w:val="18"/>
        </w:rPr>
        <w:t>$250.0 million of time deposits, which are included in short-term investments, are excluded since they are carried at cost and approximate fair value as of January 31, 2023.</w:t>
      </w:r>
    </w:p>
    <w:p>
      <w:pPr>
        <w:pStyle w:val="TextBody"/>
        <w:bidi w:val="0"/>
        <w:spacing w:lineRule="auto" w:line="288" w:before="12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(2)Cash equivalents exclude $1.6 billion of time deposits, which are carried at cost and approximate fair value as of January 31, 2023.</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the levels of the fair value hierarchy during the periods presented.</w:t>
      </w:r>
    </w:p>
    <w:p>
      <w:pPr>
        <w:pStyle w:val="TextBody"/>
        <w:bidi w:val="0"/>
        <w:spacing w:lineRule="auto" w:line="288"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changes in the net carrying value of strategic investments, which are Level 3, within the fair value hierarchy for the three and six months ended July 31, 2023 and July 31, 2022 (in thousands):</w:t>
      </w:r>
    </w:p>
    <w:tbl>
      <w:tblPr>
        <w:tblW w:w="9511" w:type="dxa"/>
        <w:jc w:val="left"/>
        <w:tblInd w:w="0" w:type="dxa"/>
        <w:tblLayout w:type="fixed"/>
        <w:tblCellMar>
          <w:top w:w="28" w:type="dxa"/>
          <w:left w:w="28" w:type="dxa"/>
          <w:bottom w:w="28" w:type="dxa"/>
          <w:right w:w="28" w:type="dxa"/>
        </w:tblCellMar>
      </w:tblPr>
      <w:tblGrid>
        <w:gridCol w:w="1496"/>
        <w:gridCol w:w="1319"/>
        <w:gridCol w:w="1324"/>
        <w:gridCol w:w="227"/>
        <w:gridCol w:w="776"/>
        <w:gridCol w:w="117"/>
        <w:gridCol w:w="117"/>
        <w:gridCol w:w="117"/>
        <w:gridCol w:w="117"/>
        <w:gridCol w:w="227"/>
        <w:gridCol w:w="776"/>
        <w:gridCol w:w="117"/>
        <w:gridCol w:w="109"/>
        <w:gridCol w:w="109"/>
        <w:gridCol w:w="109"/>
        <w:gridCol w:w="211"/>
        <w:gridCol w:w="721"/>
        <w:gridCol w:w="109"/>
        <w:gridCol w:w="109"/>
        <w:gridCol w:w="109"/>
        <w:gridCol w:w="109"/>
        <w:gridCol w:w="211"/>
        <w:gridCol w:w="721"/>
        <w:gridCol w:w="154"/>
      </w:tblGrid>
      <w:tr>
        <w:trPr/>
        <w:tc>
          <w:tcPr>
            <w:tcW w:w="1496"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July 31,</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amount, beginning of period</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57,877 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non-marketable securities:</w:t>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net gains due to changes in fair value</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amount, end of period</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Cumulative unrealized gains and losses for equity securities held as of July 31, 2023 are $9.6 million and $2.9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3. Balance Sheet Components</w:t>
      </w:r>
    </w:p>
    <w:p>
      <w:pPr>
        <w:pStyle w:val="TextBody"/>
        <w:bidi w:val="0"/>
        <w:spacing w:lineRule="auto" w:line="288" w:before="36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24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(in thousands):</w:t>
      </w:r>
    </w:p>
    <w:tbl>
      <w:tblPr>
        <w:tblW w:w="8267" w:type="dxa"/>
        <w:jc w:val="left"/>
        <w:tblInd w:w="0" w:type="dxa"/>
        <w:tblLayout w:type="fixed"/>
        <w:tblCellMar>
          <w:top w:w="28" w:type="dxa"/>
          <w:left w:w="28" w:type="dxa"/>
          <w:bottom w:w="28" w:type="dxa"/>
          <w:right w:w="28" w:type="dxa"/>
        </w:tblCellMar>
      </w:tblPr>
      <w:tblGrid>
        <w:gridCol w:w="1939"/>
        <w:gridCol w:w="1702"/>
        <w:gridCol w:w="1713"/>
        <w:gridCol w:w="211"/>
        <w:gridCol w:w="826"/>
        <w:gridCol w:w="109"/>
        <w:gridCol w:w="109"/>
        <w:gridCol w:w="109"/>
        <w:gridCol w:w="109"/>
        <w:gridCol w:w="255"/>
        <w:gridCol w:w="999"/>
        <w:gridCol w:w="186"/>
      </w:tblGrid>
      <w:tr>
        <w:trPr/>
        <w:tc>
          <w:tcPr>
            <w:tcW w:w="1939"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center and other computer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297,585 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internal-use software and website development costs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113,276 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6,384 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259,013 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708,614 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(216,279)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561,587 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492,335 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2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primarily includes data center equipment purchased that has not yet been placed in service. Data center equipment that was purchased but not yet been placed into service was $185.7 million as of July 31, 2023.</w:t>
      </w:r>
    </w:p>
    <w:p>
      <w:pPr>
        <w:pStyle w:val="TextBody"/>
        <w:bidi w:val="0"/>
        <w:spacing w:lineRule="auto" w:line="288" w:before="24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of property and equipment was $29.8 million and $17.8 million during the three months ended July 31, 2023 and July 31, 2022, respectively, and $56.2 million and $34.1 million during the six months ended July 31, 2023 and July 31, 2022, respectively.</w:t>
      </w:r>
    </w:p>
    <w:p>
      <w:pPr>
        <w:pStyle w:val="TextBody"/>
        <w:bidi w:val="0"/>
        <w:spacing w:lineRule="auto" w:line="288" w:before="24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impairment of property and equipment during the three and six months ended July 31, 2023 and July 31, 2022. The Company capitalized $23.6 million and $13.5 million in internal-use software and website development costs during the three months ended July 31, 2023 and July 31, 2022, respectively, and $40.2 million and $21.6 million during the six months ended July 31, 2023 and July 31, 2022, respectively. Amortization expense associated with internal-use software and website development costs totaled $8.4 million and $4.9 million during the three months ended July 31, 2023 and July 31, 2022, respectively, and $15.9 million and $9.2 million during the six months ended July 31, 2023 and July 31, 2022, respectively. The net book value of capitalized internal-use software and website development costs was $90.8 million and $66.3 million as of July 31, 2023 and January 31, 2023, respectively.</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Intangible Assets, Net</w:t>
      </w:r>
    </w:p>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 consisted of the following (dollars in thousands):</w:t>
      </w:r>
    </w:p>
    <w:tbl>
      <w:tblPr>
        <w:tblW w:w="10198" w:type="dxa"/>
        <w:jc w:val="left"/>
        <w:tblInd w:w="0" w:type="dxa"/>
        <w:tblLayout w:type="fixed"/>
        <w:tblCellMar>
          <w:top w:w="28" w:type="dxa"/>
          <w:left w:w="28" w:type="dxa"/>
          <w:bottom w:w="28" w:type="dxa"/>
          <w:right w:w="28" w:type="dxa"/>
        </w:tblCellMar>
      </w:tblPr>
      <w:tblGrid>
        <w:gridCol w:w="984"/>
        <w:gridCol w:w="863"/>
        <w:gridCol w:w="868"/>
        <w:gridCol w:w="345"/>
        <w:gridCol w:w="1352"/>
        <w:gridCol w:w="178"/>
        <w:gridCol w:w="109"/>
        <w:gridCol w:w="109"/>
        <w:gridCol w:w="109"/>
        <w:gridCol w:w="419"/>
        <w:gridCol w:w="1433"/>
        <w:gridCol w:w="218"/>
        <w:gridCol w:w="109"/>
        <w:gridCol w:w="109"/>
        <w:gridCol w:w="109"/>
        <w:gridCol w:w="211"/>
        <w:gridCol w:w="721"/>
        <w:gridCol w:w="109"/>
        <w:gridCol w:w="109"/>
        <w:gridCol w:w="109"/>
        <w:gridCol w:w="109"/>
        <w:gridCol w:w="444"/>
        <w:gridCol w:w="444"/>
        <w:gridCol w:w="628"/>
      </w:tblGrid>
      <w:tr>
        <w:trPr/>
        <w:tc>
          <w:tcPr>
            <w:tcW w:w="98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Remaining </w:t>
              <w:br/>
              <w:t>Useful</w:t>
              <w:br/>
              <w:t>Life</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months)</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101,460 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6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acquired intangible assets</w:t>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118,743 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39,604 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198" w:type="dxa"/>
        <w:jc w:val="left"/>
        <w:tblInd w:w="0" w:type="dxa"/>
        <w:tblLayout w:type="fixed"/>
        <w:tblCellMar>
          <w:top w:w="28" w:type="dxa"/>
          <w:left w:w="28" w:type="dxa"/>
          <w:bottom w:w="28" w:type="dxa"/>
          <w:right w:w="28" w:type="dxa"/>
        </w:tblCellMar>
      </w:tblPr>
      <w:tblGrid>
        <w:gridCol w:w="984"/>
        <w:gridCol w:w="863"/>
        <w:gridCol w:w="868"/>
        <w:gridCol w:w="345"/>
        <w:gridCol w:w="1352"/>
        <w:gridCol w:w="178"/>
        <w:gridCol w:w="109"/>
        <w:gridCol w:w="109"/>
        <w:gridCol w:w="109"/>
        <w:gridCol w:w="419"/>
        <w:gridCol w:w="1433"/>
        <w:gridCol w:w="218"/>
        <w:gridCol w:w="109"/>
        <w:gridCol w:w="109"/>
        <w:gridCol w:w="109"/>
        <w:gridCol w:w="211"/>
        <w:gridCol w:w="721"/>
        <w:gridCol w:w="109"/>
        <w:gridCol w:w="109"/>
        <w:gridCol w:w="109"/>
        <w:gridCol w:w="109"/>
        <w:gridCol w:w="444"/>
        <w:gridCol w:w="444"/>
        <w:gridCol w:w="628"/>
      </w:tblGrid>
      <w:tr>
        <w:trPr/>
        <w:tc>
          <w:tcPr>
            <w:tcW w:w="98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Remaining </w:t>
              <w:br/>
              <w:t>Useful</w:t>
              <w:br/>
              <w:t>Life</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months)</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101,452 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6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acquired intangible assets</w:t>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118,201 </w:t>
            </w:r>
          </w:p>
        </w:tc>
        <w:tc>
          <w:tcPr>
            <w:tcW w:w="1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31,312 </w:t>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of intangible assets was $4.1 million during the three months ended July 31, 2023 and July 31, 2022, and $8.3 million and $8.2 million during the six months ended July 31, 2023 and July 31, 2022, respectively.</w:t>
      </w:r>
    </w:p>
    <w:p>
      <w:pPr>
        <w:pStyle w:val="TextBody"/>
        <w:bidi w:val="0"/>
        <w:spacing w:lineRule="auto" w:line="288" w:before="24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aggregate future amortization expense of intangible assets as of July 31, 2023 is as follows (in thousands):</w:t>
      </w:r>
    </w:p>
    <w:tbl>
      <w:tblPr>
        <w:tblW w:w="4116" w:type="dxa"/>
        <w:jc w:val="left"/>
        <w:tblInd w:w="0" w:type="dxa"/>
        <w:tblLayout w:type="fixed"/>
        <w:tblCellMar>
          <w:top w:w="28" w:type="dxa"/>
          <w:left w:w="28" w:type="dxa"/>
          <w:bottom w:w="28" w:type="dxa"/>
          <w:right w:w="28" w:type="dxa"/>
        </w:tblCellMar>
      </w:tblPr>
      <w:tblGrid>
        <w:gridCol w:w="1096"/>
        <w:gridCol w:w="964"/>
        <w:gridCol w:w="970"/>
        <w:gridCol w:w="211"/>
        <w:gridCol w:w="721"/>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Fiscal 2024 (remaining six months)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2027</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 customer relationships, and other acquired intangible assets are amortized over their estimated useful lives, generally on a straight-line basis, for periods ranging from 2 to 20 years.</w:t>
      </w:r>
    </w:p>
    <w:p>
      <w:pPr>
        <w:pStyle w:val="TextBody"/>
        <w:bidi w:val="0"/>
        <w:spacing w:lineRule="auto" w:line="288" w:before="240" w:after="18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goodwill during the six months ended July 31, 2023 consisted of the following (in thousands):</w:t>
      </w:r>
    </w:p>
    <w:tbl>
      <w:tblPr>
        <w:tblW w:w="3936" w:type="dxa"/>
        <w:jc w:val="left"/>
        <w:tblInd w:w="0" w:type="dxa"/>
        <w:tblLayout w:type="fixed"/>
        <w:tblCellMar>
          <w:top w:w="28" w:type="dxa"/>
          <w:left w:w="28" w:type="dxa"/>
          <w:bottom w:w="28" w:type="dxa"/>
          <w:right w:w="28" w:type="dxa"/>
        </w:tblCellMar>
      </w:tblPr>
      <w:tblGrid>
        <w:gridCol w:w="994"/>
        <w:gridCol w:w="874"/>
        <w:gridCol w:w="877"/>
        <w:gridCol w:w="211"/>
        <w:gridCol w:w="826"/>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Amounts</w:t>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as of January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as of July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Accrued Expenses</w:t>
      </w:r>
    </w:p>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consisted of the following (in thousands):</w:t>
      </w:r>
    </w:p>
    <w:tbl>
      <w:tblPr>
        <w:tblW w:w="6753" w:type="dxa"/>
        <w:jc w:val="left"/>
        <w:tblInd w:w="0" w:type="dxa"/>
        <w:tblLayout w:type="fixed"/>
        <w:tblCellMar>
          <w:top w:w="28" w:type="dxa"/>
          <w:left w:w="28" w:type="dxa"/>
          <w:bottom w:w="28" w:type="dxa"/>
          <w:right w:w="28" w:type="dxa"/>
        </w:tblCellMar>
      </w:tblPr>
      <w:tblGrid>
        <w:gridCol w:w="1389"/>
        <w:gridCol w:w="1223"/>
        <w:gridCol w:w="1228"/>
        <w:gridCol w:w="211"/>
        <w:gridCol w:w="826"/>
        <w:gridCol w:w="109"/>
        <w:gridCol w:w="109"/>
        <w:gridCol w:w="109"/>
        <w:gridCol w:w="109"/>
        <w:gridCol w:w="255"/>
        <w:gridCol w:w="999"/>
        <w:gridCol w:w="186"/>
      </w:tblGrid>
      <w:tr>
        <w:trPr/>
        <w:tc>
          <w:tcPr>
            <w:tcW w:w="13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 hosting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65,589 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partner commissions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122,419 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137,884 </w:t>
            </w:r>
          </w:p>
        </w:tc>
        <w:tc>
          <w:tcPr>
            <w:tcW w:w="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Accrued Payroll and Benefits</w:t>
      </w:r>
    </w:p>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benefits consisted of the following (in thousands):</w:t>
      </w:r>
    </w:p>
    <w:tbl>
      <w:tblPr>
        <w:tblW w:w="6062" w:type="dxa"/>
        <w:jc w:val="left"/>
        <w:tblInd w:w="0" w:type="dxa"/>
        <w:tblLayout w:type="fixed"/>
        <w:tblCellMar>
          <w:top w:w="28" w:type="dxa"/>
          <w:left w:w="28" w:type="dxa"/>
          <w:bottom w:w="28" w:type="dxa"/>
          <w:right w:w="28" w:type="dxa"/>
        </w:tblCellMar>
      </w:tblPr>
      <w:tblGrid>
        <w:gridCol w:w="1140"/>
        <w:gridCol w:w="1004"/>
        <w:gridCol w:w="1005"/>
        <w:gridCol w:w="211"/>
        <w:gridCol w:w="826"/>
        <w:gridCol w:w="109"/>
        <w:gridCol w:w="109"/>
        <w:gridCol w:w="109"/>
        <w:gridCol w:w="109"/>
        <w:gridCol w:w="255"/>
        <w:gridCol w:w="999"/>
        <w:gridCol w:w="186"/>
      </w:tblGrid>
      <w:tr>
        <w:trPr/>
        <w:tc>
          <w:tcPr>
            <w:tcW w:w="114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commissions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77,287 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benefits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168,767 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4. Debt</w:t>
      </w:r>
    </w:p>
    <w:p>
      <w:pPr>
        <w:pStyle w:val="TextBody"/>
        <w:bidi w:val="0"/>
        <w:spacing w:lineRule="auto" w:line="288" w:before="2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Secured Revolving Credit Facility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4, 2021, the Company amended and restated its existing credit agreement (the “A&amp;R Credit Agreement” and the facility thereunder the “Revolving Facility”) among CrowdStrike, Inc., as borrower, CrowdStrike Holdings, Inc., as guarantor, and Silicon Valley Bank and the other lenders party thereto, providing the Company with a revolving line of credit of up to $750.0 million, including a letter of credit sub-facility in the aggregate amount of $100.0 million, and a swingline sub-facility in the aggregate amount of $50.0 million. The Company also has the option to request an incremental facility of up to an additional $250.0 million from one or more of the lenders under the A&amp;R Credit Agreement. The A&amp;R Credit Agreement is guaranteed by all of the Company’s material domestic subsidiaries. The A&amp;R Credit Agreement extended the maturity date of April 19, 2022 to January 2, 2026.</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On January 6, 2022, the Company modified the A&amp;R Credit Agreement (the “Amended A&amp;R Credit Agreement”) among CrowdStrike, Inc., as borrower, CrowdStrike Holdings, Inc., as guarantor, and Silicon Valley Bank and the other lenders party thereto. There were no changes to the borrowing amounts or maturity date. Under the Amended A&amp;R Credit Agreement, revolving loans are Alternate Base Rate (“ABR”) Loans. Outstanding ABR Loans incur interest at the highest of (a) the Prime Rate, as published by the Wall Street Journal, (b) the federal funds rate in effect on such day plus 0.50%, and (c) the Term Secured Overnight Finance Rate (the “Term SOFR”) for a one-month tenor in effect on such day plus 1.00%, in each case plus a margin between (0.25)% and 0.25%, depending on the senior secured leverage ratio. The Company will be charged a commitment fee of 0.15% to 0.25% per year for committed but unused amounts, depending on the senior secured leverage ratio. The financial covenants require the Company to maintain a</w:t>
      </w:r>
      <w:r>
        <w:rPr>
          <w:color w:val="000000"/>
        </w:rPr>
        <w:t xml:space="preserve"> </w:t>
      </w:r>
      <w:r>
        <w:rPr>
          <w:rFonts w:ascii="Times New Roman;sans-serif" w:hAnsi="Times New Roman;sans-serif"/>
          <w:b w:val="false"/>
          <w:color w:val="000000"/>
          <w:sz w:val="20"/>
        </w:rPr>
        <w:t>minimum consolidated interest coverage ratio of 3.00:1.00, and a maximum total leverage ratio of 5.50:1.00 stepping down to 3.50:1.00 over time. The Company was in compliance with all of its financial covenants as of July 31, 2023.</w:t>
      </w:r>
    </w:p>
    <w:p>
      <w:pPr>
        <w:pStyle w:val="TextBody"/>
        <w:bidi w:val="0"/>
        <w:spacing w:lineRule="auto" w:line="26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A&amp;R Credit Agreement is secured by substantially all of the Company’s current and future consolidated assets, property and rights, including, but not limited to, intellectual property, cash, goods, equipment, contractual rights, financial assets, and intangible assets of the Company and certain of its subsidiaries. The Amended A&amp;R Credit Agreement contains customary covenants limiting the Company’s ability and the ability of its subsidiaries to, among other things, dispose of assets, undergo a change in control, merge or consolidate, make acquisitions, incur debt, incur liens, pay dividends, repurchase stock, and make investments, in each case subject to certain exceptions.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 amounts were outstanding under the Amended A&amp;R Credit Agreement as of July 31, 2023 or January 31, 2023.</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20, 2021, the Company issued $750.0 million in aggregate principal amount of 3.00% Senior Notes maturing in February 2029. The Senior Notes are guaranteed by the Company’s subsidiary, CrowdStrike, Inc. and will be guaranteed by each of the Company’s existing and future domestic subsidiaries that becomes a borrower or guarantor under the A&amp;R Credit Agreement. The Senior Notes were issued at par and bear interest at a rate of 3.00% per annum. Interest payments are payable semiannually on February 15 and August 15 of each year, commencing on August 15, 2021. The Company may voluntarily redeem the Senior Notes, in whole or in part, 1) at any time prior to February 15, 2024 at (a) 100.00% of their principal amount, plus a “make whole” premium or (b) with the net cash proceeds received from an equity offering at a redemption price equal to 103.00% of the principal amount, provided the aggregate principal amount of all such redemptions does not exceed 40% of the original aggregate principal amount of the Senior Notes; 2) at any time on or after February 15, 2024 at a prepayment price equal to 101.50% of the principal amount; 3) at any time on or after February 15, 2025 at a prepayment price equal to 100.75% of the principal amount; and 4) at any time on or after February 15, 2026 at a prepayment price equal to 100.00% of the principal amount; in each case, plus accrued and unpaid interest, if any, to but excluding, the date of redemption.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proceeds from the debt offering were $738.0 million after deducting the underwriting commissions of $9.4 million and $2.6 million of issuance costs. The debt issuance costs are being amortized to interest expense using the effective interest method over the term of the Senior Notes. Interest expense related to contractual interest expense, amortization of debt issuance costs, and accretion of debt discount was $6.0 million during the three months ended July 31, 2023 and 2022 and $12.0 million during the six months ended July 31,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certain circumstances involving a change of control event, the Company will be required to make an offer to repurchase all or, at the holder’s option, any part, of each holder’s notes of that series at 101% of the aggregate principal amount thereof, plus accrued and unpaid interest, if any, to, but excluding, the repurchase date.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Senior Notes (the “Indenture”) contains covenants limiting the Company’s ability and the ability of its subsidiaries to create liens on certain assets to secure debt; grant a subsidiary guarantee of certain debt without also providing a guarantee of the Senior Notes; declare dividends; and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Fitch Ratings, Inc. (“Fitch”), Moody’s Investors Service, Inc. (“Moody’s”), and Standard &amp; Poor’s Ratings Services (“S&amp;P”).</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31, 2023, the Company was in compliance with all of its financial covenants under the Indenture associated with the Senior Notes.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trading prices of the Senior Notes, the fair value of the Senior Notes was approximately $646.1 million and $645.4 million as of July 31, 2023 and January 31, 2023, respectively. While the Senior Notes are recorded at cost, the fair value of the Senior Notes was determined based on quoted prices in markets that are not active; accordingly, the Senior Notes are categorized as Level 2 for purposes of the fair value measurement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5. Income Taxes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income tax expense of $4.6 million and $4.8 million for the three months ended July 31, 2023 and July 31, 2022, respectively, and $9.0 million and $8.2 million for the six months ended July 31, 2023 and July 31, 2022, respectively. The tax expense for the three and six months ended July 31, 2023 and July 31, 2022 was primarily attributable to pre-tax foreign earnings and withholding taxes related to customer payments in certain foreign jurisdictions in which the Company conducts business. The Company’s effective tax rates of 35.2% and (11.0)% for the three months ended July 31, 2023 and July 31, 2022, respectively, and 50.1% and (11.7)% for the six months ended July 31, 2023 and July 31, 2022, respectively, differ from the U.S. statutory tax rate primarily due to taxes in foreign jurisdictions, and the full valuation allowance in the U.S. Consistent with the prior year, the Company maintains a full valuation allowance on its U.S. federal and state and its U.K. deferred tax assets.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unrecognized tax benefits were $45.7 million and $36.9 million as of July 31, 2023 and January 31, 2023, respectively. As of July 31, 2023 and January 31, 2023, approximately $4.8 million and $4.2 million, respectively of unrecognized tax benefits, which, if recognized, would affect the Company’s effective tax rate due to the full valuation allowance. The Company’s policy is to classify interest and penalties related to unrecognized tax benefits as part of the income tax provision in the condensed consolidated statements of operations. The Company had incurred an insignificant amount of interest and penalties related to unrecognized tax benefits as of July 31, 2023 and January 31, 2023. During the three and six months ended July 31, 2023, the net increase in uncertain tax benefits was a result of research and development credits. The potential change in unrecognized tax benefits during the next 12 months is not expected to be material.</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the guidance on the accounting for uncertainty in income taxes, for all U.S. and other tax jurisdictions, the Company recognizes potential liabilities for anticipated tax audit issues based on the Company’s estimate of whether, and the extent to which, additional taxes and interest will be due. If the Company’s estimate of income tax liabilities proves to be less than the ultimate assessment, a further charge to expense would be required. If events occur and the payment of these amounts ultimately proves to be unnecessary, the reversal of the liabilities would result in tax benefits being recognized in the period when the Company determines the liabilities are no longer necessary. The Company includes interest and penalties related to unrecognized tax benefits within the provision for income taxes in the condensed consolidated statements of operations. Accrued interest and penalties are included within other liabilities, noncurrent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6. Stock-Based Compensation</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Stock Incentive Plan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(“RSUs”), and performance-based restricted stock units (“PSUs”). A total of 8,750,000 shares of Class A common stock were initially available for issuance under the 2019 Plan. The Company’s compensation committee administers the 2019 Plan. The number of shares of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available for issuance under the 2019 Plan is subject to an annual increase on the first day of each fiscal year beginning on February 1, 2020, equal to the lesser of: (i) two percent (2%) of outstanding shares of the Company’s capital stock as of the last day of the immediately preceding fiscal year or (ii) such other amount as the Company’s board of directors may determine.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2011 Plan was terminated on June 10, 2019, which was the business day prior to the effectiveness of the Company’s registration statement on Form S-1 used in connection with the Company’s IPO, and stock-based awards are no longer granted under the 2011 Plan. Any shares underlying stock options that expire, terminate, or are forfeited or repurchased under the 2011 Plan will be automatically transferred to the 2019 Plan.</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compensation expense for employee stock options based on the estimated fair value of the options on the date of grant using the Black-Scholes option-pricing model with the assumptions included in the table below. The expected term represents the period that the Company’s share-based awards are expected to be outstanding. The expected term assumptions were determined based on the vesting terms, exercise terms, and contractual lives of the options. The expected stock price volatility is based upon comparable public company data. The risk-free rate is based on the U.S. Treasury yield curve in effect at the time of grant for the estimated option life.</w:t>
      </w:r>
    </w:p>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stock options granted during the three and six months ended July 31, 2023 or July 31, 2022.</w:t>
      </w:r>
    </w:p>
    <w:p>
      <w:pPr>
        <w:pStyle w:val="TextBody"/>
        <w:bidi w:val="0"/>
        <w:spacing w:lineRule="auto" w:line="288" w:before="24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stock option activity for the six months ended July 31, 2023:</w:t>
      </w:r>
    </w:p>
    <w:tbl>
      <w:tblPr>
        <w:tblW w:w="7437" w:type="dxa"/>
        <w:jc w:val="left"/>
        <w:tblInd w:w="0" w:type="dxa"/>
        <w:tblLayout w:type="fixed"/>
        <w:tblCellMar>
          <w:top w:w="28" w:type="dxa"/>
          <w:left w:w="28" w:type="dxa"/>
          <w:bottom w:w="28" w:type="dxa"/>
          <w:right w:w="28" w:type="dxa"/>
        </w:tblCellMar>
      </w:tblPr>
      <w:tblGrid>
        <w:gridCol w:w="1617"/>
        <w:gridCol w:w="1424"/>
        <w:gridCol w:w="1428"/>
        <w:gridCol w:w="374"/>
        <w:gridCol w:w="374"/>
        <w:gridCol w:w="377"/>
        <w:gridCol w:w="109"/>
        <w:gridCol w:w="109"/>
        <w:gridCol w:w="109"/>
        <w:gridCol w:w="326"/>
        <w:gridCol w:w="951"/>
        <w:gridCol w:w="239"/>
      </w:tblGrid>
      <w:tr>
        <w:trPr/>
        <w:tc>
          <w:tcPr>
            <w:tcW w:w="161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Exercise Price</w:t>
              <w:br/>
              <w:t>Per Share</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outstanding at January 31, 2023</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outstanding at July 31, 2023</w:t>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vested and expected to vest at July 31, 2023</w:t>
            </w:r>
          </w:p>
        </w:tc>
        <w:tc>
          <w:tcPr>
            <w:tcW w:w="7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3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exercisable at July 31, 2023</w:t>
            </w:r>
          </w:p>
        </w:tc>
        <w:tc>
          <w:tcPr>
            <w:tcW w:w="74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2,055 </w:t>
            </w:r>
          </w:p>
        </w:tc>
        <w:tc>
          <w:tcPr>
            <w:tcW w:w="3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include 219,994 options that were unvested and exercisable as of July 31, 2023.</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of options vested and exercisable was $314.5 million and $247.2 million as of July 31, 2023 and January 31, 2023, respectively. The weighted-average remaining contractual term of options vested and exercisable was 4.4 years and 4.8 years as of July 31, 2023 and January 31, 2023, respectively.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 of all options exercised was $29.4 million and $36.4 million during the three months ended July 31, 2023 and July 31, 2022, respectively, and $74.5 million and $117.7 million during the six months ended July 31, 2023 and July 31, 2022, respectively.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of stock options outstanding as of July 31, 2023 and January 31, 2023 was $348.5 million and $279.4 million, respectively, which represents the excess of the fair value of the Company’s common stock over the exercise price of the options multiplied by the number of options outstanding. The weighted-average remaining contractual term of stock options outstanding was 4.5 years and 5.0 years as of July 31, 2023 and January 31, 2023, respectively.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unrecognized stock-based compensation expense related to unvested options was $1.2 million as of July 31, 2023. This expense is expected to be amortized over a weighted-average vesting period of 1.2 years.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Early Exercise of Employee Options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2011 Stock Plan allows for the early exercise of stock options for certain individuals as determined by the board of directors. The consideration received for an early exercise of an option is a deposit of the exercise price and the related dollar amount is recorded as a liability for early exercise of unvested stock options in the condensed consolidated balance sheets. This liability is reclassified to Additional paid-in capital as the awards vest. If a stock option is early exercised, the unvested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be repurchased by the Company in case of employment termination or for any reason, including death and disability, at the price paid by the purchaser for such shares. There were no issued shares of common stock related to early exercised stock options during the three and six months ended July 31, 2023 or July 31, 2022. As of July 31, 2023 and January 31, 2023, there were no shares of common stock related to early exercised stock options subject to repurchase. Common stock purchased pursuant to an early exercise of stock options is not deemed to be outstanding for accounting purposes until those shares vest. The Company includes unvested shares subject to repurchase in the number of shares outstanding in the condensed consolidated balance sheets and statements of stockholders’ equity.</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 under the 2019 Plan are generally subject to only a service-based vesting condition. The service-based vesting condition is generally satisfied based on one of four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subject to continued service, (iii) vesting in eight equal quarterly installments, subject to continued service, or (iv) vesting in sixteen quarterly installments with 10% in the first year, 15% in the second year, 25% in the third year and 50% in the fourth year, subject to continued service. The valuation of these RSUs is based solely on the fair value of the Company’s stock on the date of grant.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unrecognized stock-based compensation expense related to unvested RSUs was $1.3 billion as of July 31, 2023. This expense is expected to be amortized over a weighted-average vesting period of 2.8 years.</w:t>
      </w:r>
    </w:p>
    <w:p>
      <w:pPr>
        <w:pStyle w:val="TextBody"/>
        <w:bidi w:val="0"/>
        <w:spacing w:lineRule="auto" w:line="288" w:before="240" w:after="24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Performance-based Stock Units</w:t>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PSUs granted under the 2019 Plan are generally subject to both a service-based vesting condition and a performance-based vesting condition. PSUs will vest upon the achievement of specified performance targets and subject to continued service through the applicable vesting dates. The associated compensation cost is recognized over the requisite service period when it is probable that the performance condition will be satisfied.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unrecognized stock-based compensation expense related to unvested PSUs was $110.4 million as of July 31, 2023. This expense is expected to be amortized over a weighted-average vesting period of 1.5 years.</w:t>
      </w:r>
    </w:p>
    <w:p>
      <w:pPr>
        <w:pStyle w:val="TextBody"/>
        <w:bidi w:val="0"/>
        <w:spacing w:lineRule="auto" w:line="288" w:before="240" w:after="24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Special PSU Awards</w:t>
      </w:r>
    </w:p>
    <w:p>
      <w:pPr>
        <w:pStyle w:val="TextBody"/>
        <w:bidi w:val="0"/>
        <w:spacing w:lineRule="auto" w:line="268" w:before="240" w:after="283"/>
        <w:ind w:left="0" w:right="0" w:firstLine="720"/>
        <w:jc w:val="left"/>
        <w:rPr/>
      </w:pPr>
      <w:r>
        <w:rPr>
          <w:rFonts w:ascii="Times New Roman;sans-serif" w:hAnsi="Times New Roman;sans-serif"/>
          <w:b w:val="false"/>
          <w:color w:val="000000"/>
          <w:sz w:val="20"/>
        </w:rPr>
        <w:t>In fiscal 2022 the Company’s board of directors granted 655,000 performance stock units (the “Special PSU Awards”) to certain executives under the 2019 Plan. The Special PSU Awards will vest upon the satisfaction of the Company’s achievement of specified stock price hurdles, which are based on the average of the closing stock price per share of the Company’s Class A common stock during any 45 consecutive trading day period during the applicable performance period, and a service-based vesting condition. The service condition applicable to each tranche of the Special PSU Awards will be satisfied in installments as follows, subject to continued employment with the Company through each applicable vesting date: (i) 50% of the Special PSU Awards underlying the applicable tranche will service vest on the first anniversary of the vesting commencement date applicable to such tranche of the Special PSU Awards (</w:t>
      </w:r>
      <w:r>
        <w:rPr>
          <w:rFonts w:ascii="Times New Roman;sans-serif" w:hAnsi="Times New Roman;sans-serif"/>
          <w:b w:val="false"/>
          <w:i/>
          <w:color w:val="000000"/>
          <w:sz w:val="20"/>
        </w:rPr>
        <w:t>i.e.</w:t>
      </w:r>
      <w:r>
        <w:rPr>
          <w:rFonts w:ascii="Times New Roman;sans-serif" w:hAnsi="Times New Roman;sans-serif"/>
          <w:b w:val="false"/>
          <w:color w:val="000000"/>
          <w:sz w:val="20"/>
        </w:rPr>
        <w:t>, February 1, 2022, February 1, 2023, February 1, 2024 and February 1, 2025) and (ii) the remaining PSUs with respect to such tranche will thereafter service vest in four equal quarterly installments of 12.5%.</w:t>
      </w:r>
    </w:p>
    <w:p>
      <w:pPr>
        <w:pStyle w:val="TextBody"/>
        <w:bidi w:val="0"/>
        <w:spacing w:lineRule="auto" w:line="26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measured the fair value of the Special PSU Awards on the grant date using a Monte Carlo simulation valuation model. The risk-free interest rates used were 0.85% -1.51%, which were based on the zero-coupon-risk-free interest rate derived from the Treasury Constant Maturities yield curve for the expected term of the award on the grant date. The expected volatility was a blended volatility rate of 54.89% - 55.36%, which includes 50% weight on the Company’s historical volatility calculated from daily stock returns over a 2.21- 2.58 year look-back from the grant date and 50% weight based on the Company’s implied volatility as of the grant date.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unrecognized stock-based compensation expense related to the unvested portion of the Special PSU Awards was $47.0 million as of July 31, 2023. This expense is expected to be amortized over a weighted-average vesting period of 1.7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RSUs, PSUs and the Special PSU Awards activities for the six months ended July 31, 2023:</w:t>
      </w:r>
    </w:p>
    <w:tbl>
      <w:tblPr>
        <w:tblW w:w="8487" w:type="dxa"/>
        <w:jc w:val="left"/>
        <w:tblInd w:w="0" w:type="dxa"/>
        <w:tblLayout w:type="fixed"/>
        <w:tblCellMar>
          <w:top w:w="28" w:type="dxa"/>
          <w:left w:w="28" w:type="dxa"/>
          <w:bottom w:w="28" w:type="dxa"/>
          <w:right w:w="28" w:type="dxa"/>
        </w:tblCellMar>
      </w:tblPr>
      <w:tblGrid>
        <w:gridCol w:w="2068"/>
        <w:gridCol w:w="1821"/>
        <w:gridCol w:w="1826"/>
        <w:gridCol w:w="374"/>
        <w:gridCol w:w="374"/>
        <w:gridCol w:w="377"/>
        <w:gridCol w:w="109"/>
        <w:gridCol w:w="109"/>
        <w:gridCol w:w="109"/>
        <w:gridCol w:w="256"/>
        <w:gridCol w:w="877"/>
        <w:gridCol w:w="187"/>
      </w:tblGrid>
      <w:tr>
        <w:trPr/>
        <w:tc>
          <w:tcPr>
            <w:tcW w:w="2068"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Grant</w:t>
              <w:br/>
              <w:t>Date Fair Value</w:t>
              <w:br/>
              <w:t>Per Share</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RSUs and PSUs outstanding at January 31, 2023</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10,050 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Performance adjustment</w:t>
            </w:r>
            <w:r>
              <w:rPr>
                <w:color w:val="000000"/>
              </w:rPr>
              <w:t> </w:t>
            </w:r>
            <w:r>
              <w:rPr>
                <w:rFonts w:ascii="Times New Roman;sans-serif" w:hAnsi="Times New Roman;sans-serif"/>
                <w:b w:val="false"/>
                <w:color w:val="000000"/>
                <w:sz w:val="13"/>
              </w:rPr>
              <w:t>(1)</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RSUs and PSUs outstanding at July 31, 2023</w:t>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10,566 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RSUs and PSUs ending vested and expected to vest at July 31, 2023</w:t>
            </w:r>
          </w:p>
        </w:tc>
        <w:tc>
          <w:tcPr>
            <w:tcW w:w="74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10,463 </w:t>
            </w:r>
          </w:p>
        </w:tc>
        <w:tc>
          <w:tcPr>
            <w:tcW w:w="3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12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(1)The performance adjustment represents adjustments in shares outstanding due to the actual achievement of performance-based awards, the achievement of which was based upon pre-defined financial performance targets.</w:t>
      </w:r>
    </w:p>
    <w:p>
      <w:pPr>
        <w:pStyle w:val="TextBody"/>
        <w:bidi w:val="0"/>
        <w:spacing w:lineRule="auto" w:line="288" w:before="240" w:after="24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the outstanding shares of the Company’s capital stock as of the last day of the immediately preceding fiscal year or (ii) such other amount as its board of directors may determine. In May 2021, the Company’s compensation committee adopted an amendment and restatement of the ESPP, which was approved by the Company’s stockholders in June 2021. The amended and restated ESPP clarified the original intent that the annual increase will in no event exceed 5,000,000 shares of the Company’s Class A common stock in any year.</w:t>
      </w:r>
    </w:p>
    <w:p>
      <w:pPr>
        <w:pStyle w:val="TextBody"/>
        <w:bidi w:val="0"/>
        <w:spacing w:lineRule="auto" w:line="288"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ESPP provides for consecutive offering periods that will typically have a duration of approximately 24 months in length and are comprised of four purchase periods of approximately six months in length. The offering periods are scheduled to start on the first trading day on or after June 11 and December 11 of each year. The first offering period commenced on June 11, 2019 and ended on June 10, 2021.</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is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 The ESPP allows for up to one increase in contribution during each purchase period. If an employee elects to increase his or her contribution, the Company treats this as an accounting modification. The ESPP also offers a two-year look-back feature, as well as a rollover feature that provides for an offering period to be rolled over to a new lower-priced offering if the offering price of the new offering period is less than that of the current offering period. During the fiscal year ended January 31, 2023, there were ESPP rollovers because the Company’s closing stock price on the purchase date was lower than the Company’s closing stock price on the first day of the offering periods. As a result, these offering dates were rolled over to a new 24-month offering period through December 12, 2024. These rollovers were accounted for as a modification to the original offerings. The total incremental expense as a result of the rollover and contribution modifications was $58.6 million, which will be recognized over the new or remaining offering periods. Contribution modifications during the three and six months ended July 31, 2023 were $1.8 million, which will be recognized over the remaining offering periods.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 payroll contributions ultimately used to purchase shares are reclassified to Stockholders’ equity on the purchase date. ESPP employee payroll contributions accrued as of July 31, 2023 and January 31, 2023 totaled $12.6 million and $17.5 million, respectively, and are included within Accrued payroll and benefits in the condensed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assumptions used in the Black-Scholes option-pricing model to determine the fair value of the Company’s common shares to be issued under the ESPP for the offering periods beginning in June 2020:</w:t>
      </w:r>
    </w:p>
    <w:tbl>
      <w:tblPr>
        <w:tblW w:w="5904" w:type="dxa"/>
        <w:jc w:val="left"/>
        <w:tblInd w:w="0" w:type="dxa"/>
        <w:tblLayout w:type="fixed"/>
        <w:tblCellMar>
          <w:top w:w="28" w:type="dxa"/>
          <w:left w:w="28" w:type="dxa"/>
          <w:bottom w:w="28" w:type="dxa"/>
          <w:right w:w="28" w:type="dxa"/>
        </w:tblCellMar>
      </w:tblPr>
      <w:tblGrid>
        <w:gridCol w:w="951"/>
        <w:gridCol w:w="835"/>
        <w:gridCol w:w="839"/>
        <w:gridCol w:w="290"/>
        <w:gridCol w:w="290"/>
        <w:gridCol w:w="725"/>
        <w:gridCol w:w="193"/>
        <w:gridCol w:w="193"/>
        <w:gridCol w:w="193"/>
        <w:gridCol w:w="284"/>
        <w:gridCol w:w="284"/>
        <w:gridCol w:w="827"/>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July 31,</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0.5 - 2.0</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0.5 - 2.0</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0.2% - 5.2%</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0.1% - 3.4%</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stock price volatility</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46.3% - 61.2%</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39.6% - 67.4% </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4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included in the condensed consolidated statements of operations is as follows (in thousands):</w:t>
      </w:r>
    </w:p>
    <w:tbl>
      <w:tblPr>
        <w:tblW w:w="9059" w:type="dxa"/>
        <w:jc w:val="left"/>
        <w:tblInd w:w="0" w:type="dxa"/>
        <w:tblLayout w:type="fixed"/>
        <w:tblCellMar>
          <w:top w:w="28" w:type="dxa"/>
          <w:left w:w="28" w:type="dxa"/>
          <w:bottom w:w="28" w:type="dxa"/>
          <w:right w:w="28" w:type="dxa"/>
        </w:tblCellMar>
      </w:tblPr>
      <w:tblGrid>
        <w:gridCol w:w="1251"/>
        <w:gridCol w:w="1097"/>
        <w:gridCol w:w="110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July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cost of revenue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164,777 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131,550 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295,633 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234,044 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7. Revenue, Deferred Revenue and Remaining Performance Obligations</w:t>
      </w:r>
    </w:p>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revenue by region based on the shipping address of customers who have contracted to use the Company’s platform or service (in thousands, except percentages):</w:t>
      </w:r>
    </w:p>
    <w:tbl>
      <w:tblPr>
        <w:tblW w:w="11181" w:type="dxa"/>
        <w:jc w:val="left"/>
        <w:tblInd w:w="0" w:type="dxa"/>
        <w:tblLayout w:type="fixed"/>
        <w:tblCellMar>
          <w:top w:w="28" w:type="dxa"/>
          <w:left w:w="28" w:type="dxa"/>
          <w:bottom w:w="28" w:type="dxa"/>
          <w:right w:w="28" w:type="dxa"/>
        </w:tblCellMar>
      </w:tblPr>
      <w:tblGrid>
        <w:gridCol w:w="292"/>
        <w:gridCol w:w="191"/>
        <w:gridCol w:w="193"/>
        <w:gridCol w:w="196"/>
        <w:gridCol w:w="736"/>
        <w:gridCol w:w="109"/>
        <w:gridCol w:w="109"/>
        <w:gridCol w:w="109"/>
        <w:gridCol w:w="109"/>
        <w:gridCol w:w="214"/>
        <w:gridCol w:w="214"/>
        <w:gridCol w:w="503"/>
        <w:gridCol w:w="109"/>
        <w:gridCol w:w="109"/>
        <w:gridCol w:w="109"/>
        <w:gridCol w:w="196"/>
        <w:gridCol w:w="736"/>
        <w:gridCol w:w="109"/>
        <w:gridCol w:w="109"/>
        <w:gridCol w:w="109"/>
        <w:gridCol w:w="109"/>
        <w:gridCol w:w="214"/>
        <w:gridCol w:w="214"/>
        <w:gridCol w:w="503"/>
        <w:gridCol w:w="109"/>
        <w:gridCol w:w="109"/>
        <w:gridCol w:w="109"/>
        <w:gridCol w:w="196"/>
        <w:gridCol w:w="871"/>
        <w:gridCol w:w="109"/>
        <w:gridCol w:w="109"/>
        <w:gridCol w:w="109"/>
        <w:gridCol w:w="109"/>
        <w:gridCol w:w="214"/>
        <w:gridCol w:w="214"/>
        <w:gridCol w:w="503"/>
        <w:gridCol w:w="109"/>
        <w:gridCol w:w="109"/>
        <w:gridCol w:w="109"/>
        <w:gridCol w:w="196"/>
        <w:gridCol w:w="871"/>
        <w:gridCol w:w="109"/>
        <w:gridCol w:w="109"/>
        <w:gridCol w:w="109"/>
        <w:gridCol w:w="109"/>
        <w:gridCol w:w="210"/>
        <w:gridCol w:w="211"/>
        <w:gridCol w:w="568"/>
      </w:tblGrid>
      <w:tr>
        <w:trPr/>
        <w:tc>
          <w:tcPr>
            <w:tcW w:w="2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July 31,</w:t>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Revenue</w:t>
            </w:r>
          </w:p>
        </w:tc>
      </w:tr>
      <w:tr>
        <w:trPr/>
        <w:tc>
          <w:tcPr>
            <w:tcW w:w="6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4077" w:type="dxa"/>
            <w:gridSpan w:val="18"/>
            <w:tcBorders/>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 Middle East, and Africa</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5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5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5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5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 Pacific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5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5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5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5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1,022,987 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 single country other than the United States represented 10% or more of the Company’s total revenue during the three and six months ended July 31, 2023 or July 31, 2022.</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liabilities consist of deferred revenue and include payments received in advance of performance under the contract. Such amounts are recognized as revenue over the contractual period. The Company recognized revenue of $642.3 million and $454.1 million for the three months ended July 31, 2023 and July 31, 2022, respectively, and $1,089.9 million and $728.9 million for the six months ended July 31, 2023 and July 31, 2022, respectively, which was included in the corresponding contract liability balance at the beginning of the period.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deferred revenue were as follows (in thousands):</w:t>
      </w:r>
    </w:p>
    <w:tbl>
      <w:tblPr>
        <w:tblW w:w="8954" w:type="dxa"/>
        <w:jc w:val="left"/>
        <w:tblInd w:w="0" w:type="dxa"/>
        <w:tblLayout w:type="fixed"/>
        <w:tblCellMar>
          <w:top w:w="28" w:type="dxa"/>
          <w:left w:w="28" w:type="dxa"/>
          <w:bottom w:w="28" w:type="dxa"/>
          <w:right w:w="28" w:type="dxa"/>
        </w:tblCellMar>
      </w:tblPr>
      <w:tblGrid>
        <w:gridCol w:w="994"/>
        <w:gridCol w:w="873"/>
        <w:gridCol w:w="877"/>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July 31,</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Carrying Amount</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1,529,321 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deferred revenue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835,477 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1,576,735 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1,337,818 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of 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(1,022,987)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2,507,642 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1,844,152 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2,507,642 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1,844,152 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 xml:space="preserve">The Company’s subscription contracts with its customers have a typical term of one to three years and most subscription contracts are non-cancelable. Customers generally have the right to terminate their contracts for cause as a result of the Company’s failure to perform. As of July 31, 2023, the aggregate </w:t>
      </w:r>
      <w:r>
        <w:rPr>
          <w:rFonts w:ascii="Times New Roman;sans-serif" w:hAnsi="Times New Roman;sans-serif"/>
          <w:b w:val="false"/>
          <w:color w:val="000000"/>
          <w:sz w:val="20"/>
          <w:shd w:fill="FFFFFF" w:val="clear"/>
        </w:rPr>
        <w:t xml:space="preserve">amount of the transaction price allocated to remaining performance obligations was $3.6 billion. The Company expects to recognize approximately 64% of the remaining performance obligations in the 12 months following </w:t>
      </w:r>
      <w:r>
        <w:rPr>
          <w:rFonts w:ascii="Times New Roman;sans-serif" w:hAnsi="Times New Roman;sans-serif"/>
          <w:b w:val="false"/>
          <w:color w:val="000000"/>
          <w:sz w:val="20"/>
        </w:rPr>
        <w:t>July 31, 2023,</w:t>
      </w:r>
      <w:r>
        <w:rPr>
          <w:color w:val="000000"/>
          <w:shd w:fill="FFFFFF" w:val="clear"/>
        </w:rPr>
        <w:t xml:space="preserve"> </w:t>
      </w:r>
      <w:r>
        <w:rPr>
          <w:rFonts w:ascii="Times New Roman;sans-serif" w:hAnsi="Times New Roman;sans-serif"/>
          <w:b w:val="false"/>
          <w:color w:val="000000"/>
          <w:sz w:val="20"/>
          <w:shd w:fill="FFFFFF" w:val="clear"/>
        </w:rPr>
        <w:t xml:space="preserve">and 35% of the remaining performance obligations between </w:t>
      </w:r>
      <w:r>
        <w:rPr>
          <w:rFonts w:ascii="Times New Roman;sans-serif" w:hAnsi="Times New Roman;sans-serif"/>
          <w:b w:val="false"/>
          <w:color w:val="000000"/>
          <w:sz w:val="20"/>
        </w:rPr>
        <w:t>13</w:t>
      </w:r>
      <w:r>
        <w:rPr>
          <w:color w:val="000000"/>
          <w:shd w:fill="FFFFFF" w:val="clear"/>
        </w:rPr>
        <w:t xml:space="preserve"> </w:t>
      </w:r>
      <w:r>
        <w:rPr>
          <w:rFonts w:ascii="Times New Roman;sans-serif" w:hAnsi="Times New Roman;sans-serif"/>
          <w:b w:val="false"/>
          <w:color w:val="000000"/>
          <w:sz w:val="20"/>
          <w:shd w:fill="FFFFFF" w:val="clear"/>
        </w:rPr>
        <w:t xml:space="preserve">to 36 months, with the remainder to be recognized thereafter.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Costs to Obtain and Fulfill a Contract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capitalizes referral fees paid to partners and sales commissions and associated payroll taxes paid to internal sales personnel, contractors or sales agents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condensed consolidated balance sheets.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referral partners, earned upon the initial acquisition of a contract or subsequent upsell are amortized over an estimated period of benefit of four years, while commissions earned for renewal contracts are amortized over the contractual term of the renewals. Sales commissions associated with professional service contracts are amortized ratably over an estimated period of benefit of eight months and are included in sales and marketing expense in the condensed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three and six months ended July 31, 2023 and July 31, 2022.</w:t>
      </w:r>
    </w:p>
    <w:p>
      <w:pPr>
        <w:pStyle w:val="TextBody"/>
        <w:bidi w:val="0"/>
        <w:spacing w:lineRule="auto" w:line="288" w:before="24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of deferred contract acquisition costs (in thousands):</w:t>
      </w:r>
    </w:p>
    <w:tbl>
      <w:tblPr>
        <w:tblW w:w="9839" w:type="dxa"/>
        <w:jc w:val="left"/>
        <w:tblInd w:w="0" w:type="dxa"/>
        <w:tblLayout w:type="fixed"/>
        <w:tblCellMar>
          <w:top w:w="28" w:type="dxa"/>
          <w:left w:w="28" w:type="dxa"/>
          <w:bottom w:w="28" w:type="dxa"/>
          <w:right w:w="28" w:type="dxa"/>
        </w:tblCellMar>
      </w:tblPr>
      <w:tblGrid>
        <w:gridCol w:w="1533"/>
        <w:gridCol w:w="1344"/>
        <w:gridCol w:w="135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July 31,</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Capitalization of contract acquisition costs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contract acquisition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350,566 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costs, current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costs,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contract acquisition costs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458,685 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350,566 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458,685 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350,566 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8. Commitments and Contingencies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Purchase Obligations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enters into long-term non-cancelable agreements with providers to purchase data center capacity, such as bandwidth and colocation space, for the Company’s cloud platform. As of July 31, 2023, the Company is committed to spend $225.3 million on such agreements in excess of one year through fiscal 2031. These obligations are included in purchase commitments below.</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also enters into non-cancelable purchase commitments with various parties to purchase products and services such as advertising, technology, equipment, office renovations, corporate events, and consulting services. A summary of non-cancelable purchase obligations in excess of one year as of July 31, 2023 with expected date of payment is as follows (in thousands):</w:t>
      </w:r>
    </w:p>
    <w:tbl>
      <w:tblPr>
        <w:tblW w:w="4320" w:type="dxa"/>
        <w:jc w:val="left"/>
        <w:tblInd w:w="0" w:type="dxa"/>
        <w:tblLayout w:type="fixed"/>
        <w:tblCellMar>
          <w:top w:w="28" w:type="dxa"/>
          <w:left w:w="28" w:type="dxa"/>
          <w:bottom w:w="28" w:type="dxa"/>
          <w:right w:w="28" w:type="dxa"/>
        </w:tblCellMar>
      </w:tblPr>
      <w:tblGrid>
        <w:gridCol w:w="1080"/>
        <w:gridCol w:w="949"/>
        <w:gridCol w:w="955"/>
        <w:gridCol w:w="236"/>
        <w:gridCol w:w="926"/>
        <w:gridCol w:w="174"/>
      </w:tblGrid>
      <w:tr>
        <w:trPr/>
        <w:tc>
          <w:tcPr>
            <w:tcW w:w="108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Commitments</w:t>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2024 (remaining six months)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w:t>
            </w:r>
          </w:p>
        </w:tc>
        <w:tc>
          <w:tcPr>
            <w:tcW w:w="11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99,074 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81,019 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2027</w:t>
            </w:r>
          </w:p>
        </w:tc>
        <w:tc>
          <w:tcPr>
            <w:tcW w:w="11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41,642 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2028</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48,571 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commitments</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351,524 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2021, the Company entered into a new private pricing addendum with Amazon Web Services (“AWS”), which provides the Company with cloud computing infrastructure. Under the new pricing addendum, the minimum commitment is $600.0 million of cloud services from AWS through September 2026. As of July 31, 2023, the Company had utilized $434.9 million of this commitment. The remaining commitment is excluded from the table above and the Company expects to meet its remaining commitment with AWS.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July 31, 2023</w:t>
      </w:r>
      <w:r>
        <w:rPr>
          <w:rFonts w:ascii="Times New Roman;sans-serif" w:hAnsi="Times New Roman;sans-serif"/>
          <w:b w:val="false"/>
          <w:color w:val="000000"/>
          <w:sz w:val="20"/>
          <w:shd w:fill="FFFFFF" w:val="clear"/>
        </w:rPr>
        <w:t xml:space="preserve">, the Company had unused standby letters of credit for $0.7 million securing its facility in Tel Aviv, Israel, $0.4 million securing its facility in Sunnyvale, California, and $0.1 million securing its principal executive offices in Austin, Texas. As of </w:t>
      </w:r>
      <w:r>
        <w:rPr>
          <w:rFonts w:ascii="Times New Roman;sans-serif" w:hAnsi="Times New Roman;sans-serif"/>
          <w:b w:val="false"/>
          <w:color w:val="000000"/>
          <w:sz w:val="20"/>
        </w:rPr>
        <w:t>January 31, 2023</w:t>
      </w:r>
      <w:r>
        <w:rPr>
          <w:rFonts w:ascii="Times New Roman;sans-serif" w:hAnsi="Times New Roman;sans-serif"/>
          <w:b w:val="false"/>
          <w:color w:val="000000"/>
          <w:sz w:val="20"/>
          <w:shd w:fill="FFFFFF" w:val="clear"/>
        </w:rPr>
        <w:t>, the Company had unused standby letters of credit for $0.8 million securing its principal executive offices in Austin, Texas and $0.4 million securing its facility in Sunnyvale, California.</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2022, the Company and Fair Isaac Corporation (“FICO”) resolved a trademark dispute that was pending before the Trademark Trial and Appellate Board (“TTAB”) at the U.S. Patent and Trademark Office. The TTAB dismissed all proceedings between the parties in July 2022.</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In March 2022, Webroot, Inc. and Open Text, Inc. (collectively, “Webroot”) filed a lawsuit against the Company and CrowdStrike, Inc. in federal court in the Western District of Texas alleging that certain of the Company’s products infringe six patents held by them. In the complaint, Webroot sought unspecified damages, attorneys’ fees and a permanent injunction. In May 2022, CrowdStrike, Inc. asserted counterclaims alleging that certain of Webroot’s products infringe two of its patents. In the filing, CrowdStrike, Inc. sought unspecified damages, reasonable fees and costs, and a permanent injunction. In September 2022, Webroot amended its complaint to assert six additional patents.</w:t>
      </w:r>
      <w:r>
        <w:rPr>
          <w:color w:val="000000"/>
        </w:rPr>
        <w:t xml:space="preserve"> </w:t>
      </w:r>
      <w:r>
        <w:rPr>
          <w:rFonts w:ascii="Times New Roman;sans-serif" w:hAnsi="Times New Roman;sans-serif"/>
          <w:b w:val="false"/>
          <w:color w:val="000000"/>
          <w:sz w:val="20"/>
        </w:rPr>
        <w:t>The Company intends to vigorously defend against Webroot’s allegations. As of July 31, 2023, the Company is unable to predict the outcome of or reasonably estimate a range of loss with respect to Webroot’s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Company is involved in various other legal proceedings and subject to claims that arise in the ordinary course of business. For any claims for which the Company believes a liability is both probable and reasonably estimable, the Company records a liability in the period for which it makes this determination. There is no pending or threatened legal proceeding to which the Company is a party that, in the Company’s opinion, is reasonably possible to have a material effect on its condensed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costs of litigation and the timing of these costs from period to period are difficult to estimate, subject to change and could adversely affect the Company’s condensed consolidated financial statements.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Warranties and Indemnification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cloud computing services are typically warranted to perform in a manner consistent with general industry standards that are reasonably applicable and materially in accordance with the Company’s online help documentation under normal use and circumstances.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arrangements generally include certain provisions for indemnifying customers against liabilities if its products or services infringe a third party’s intellectual property rights. In addition, for its Falcon Complete customers, the Company offers a limited warranty, subject to certain conditions, to cover certain costs incurred by the customer in case of a cybersecurity breach. The Company has entered into an insurance policy to reduce its potential liability arising from this limited warranty arrangement. To date, the Company has not incurred any material costs because of such obligations and has not accrued any liabilities related to such obligations in the condensed consolidated financial statements.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July 31, 2023 or January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9. Acquisitions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Reposify Ltd.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3, 2022, the Company acquired 100% of the equity interest of Reposify Ltd. (“Reposify”), a privately-held company that provides an external attack surface management platform that scans the internet for exposed assets of an organization to detect and eliminate risk from vulnerable and unknown assets before attackers can exploit them. The acquisition has been accounted for as a business combination. The total consideration transferred consisted of $18.9 million, net of cash acquired of $0.5 million, and an immaterial amount representing the fair value of replacement equity awards attributable to pre-acquisition service. The remaining fair value of these replacement awards is subject to the recipient’s continued service and thus were excluded from the purchase price. The purchase price was allocated on a preliminary basis, subject to working capital adjustment and continuing management analysis, to developed technology of $3.8 million, net tangible assets acquired of $0.9 million, and goodwill of $14.2 million, which was allocated to the Company’s one reporting unit and represents the excess of the purchase price over the fair value of net tangible and intangible assets acquired. The goodwill was primarily attributable to the assembled workforce of Reposify, planned growth in new markets, and synergies expected to be achieved from the integration of Reposify. Goodwill was not deductible for income tax purposes.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developed technology acquired was $3.8 million with a useful life of 72 months.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costs during the six months ended July 31, 2023 were not material and are recorded in research and development expenses on the Company’s condensed consolidated statements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acquisition have been included in the Company’s condensed consolidated financial statements from the date of acquisition. The acquisition did not have a material impact on the Company’s condensed consolidated financial statements, and therefore historical and pro forma disclosures have not been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10. Net Income (Loss) Per Share Attributable to Common Stockholders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(loss) per share attributable to CrowdStrike’s common stockholders is computed in conformity with the two-class method required for participating securities. Basic net income (loss) per share attributable to CrowdStrike common stockholders is computed by dividing the net income (loss) attributable to CrowdStrike by the weighted-average number of shares of common stock outstanding during the period. Diluted net income per share attributable to CrowdStrike common stockholders is calculated by dividing net income by the combination of the weighted-average number of common shares outstanding and the weighted-average number of dilutive common share equivalents during the period. Diluted net loss per share is the same as basic net loss per share for the three and six months ended July 31, 2022 because the effects of potentially dilutive items were antidilutive given the Company’s net loss position.</w:t>
      </w:r>
    </w:p>
    <w:p>
      <w:pPr>
        <w:pStyle w:val="TextBody"/>
        <w:bidi w:val="0"/>
        <w:spacing w:lineRule="auto" w:line="26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rights of the holders of Class A and Class B common stock are identical, except with the respect to voting and conversion rights. As such, the undistributed earnings are allocated equally to each share of common stock without class distinction and the resulting basic and diluted net income (loss) per share attributable to CrowdStrike common stockholders are the same for shares of Class A and Class B common stock.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income (loss) per share attributable to CrowdStrike common stockholders (in thousands, except per share data):</w:t>
      </w:r>
    </w:p>
    <w:tbl>
      <w:tblPr>
        <w:tblW w:w="10205" w:type="dxa"/>
        <w:jc w:val="left"/>
        <w:tblInd w:w="0" w:type="dxa"/>
        <w:tblLayout w:type="fixed"/>
        <w:tblCellMar>
          <w:top w:w="28" w:type="dxa"/>
          <w:left w:w="28" w:type="dxa"/>
          <w:bottom w:w="28" w:type="dxa"/>
          <w:right w:w="28" w:type="dxa"/>
        </w:tblCellMar>
      </w:tblPr>
      <w:tblGrid>
        <w:gridCol w:w="2036"/>
        <w:gridCol w:w="1522"/>
        <w:gridCol w:w="1530"/>
        <w:gridCol w:w="217"/>
        <w:gridCol w:w="633"/>
        <w:gridCol w:w="111"/>
        <w:gridCol w:w="111"/>
        <w:gridCol w:w="111"/>
        <w:gridCol w:w="111"/>
        <w:gridCol w:w="217"/>
        <w:gridCol w:w="777"/>
        <w:gridCol w:w="111"/>
        <w:gridCol w:w="109"/>
        <w:gridCol w:w="109"/>
        <w:gridCol w:w="109"/>
        <w:gridCol w:w="211"/>
        <w:gridCol w:w="616"/>
        <w:gridCol w:w="109"/>
        <w:gridCol w:w="109"/>
        <w:gridCol w:w="109"/>
        <w:gridCol w:w="109"/>
        <w:gridCol w:w="211"/>
        <w:gridCol w:w="755"/>
        <w:gridCol w:w="162"/>
      </w:tblGrid>
      <w:tr>
        <w:trPr/>
        <w:tc>
          <w:tcPr>
            <w:tcW w:w="2036"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July 31,</w:t>
            </w:r>
          </w:p>
        </w:tc>
      </w:tr>
      <w:tr>
        <w:trPr/>
        <w:tc>
          <w:tcPr>
            <w:tcW w:w="5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r>
      <w:tr>
        <w:trPr/>
        <w:tc>
          <w:tcPr>
            <w:tcW w:w="5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Class A and Class B CrowdStrike common stockholders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(80,808)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(loss) per share attributable to Class A and Class B of CrowdStrike common stockholders, basic</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common stock equivalents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(loss) per share attributable to Class A and Class B of CrowdStrike common stockholders, dilutive</w:t>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242,144 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232,554 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231,850 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attributable to Class A and Class B CrowdStrike common stockholders, basic</w:t>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attributable to Class A and Class B CrowdStrike common stockholders, diluted</w:t>
            </w:r>
          </w:p>
        </w:tc>
        <w:tc>
          <w:tcPr>
            <w:tcW w:w="21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16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potential shares of common stock that were excluded from the computation of diluted net income (loss) per share attributable to common stockholders for the periods presented because including them would have been antidilutive are as follows (in thousands):</w:t>
      </w:r>
    </w:p>
    <w:tbl>
      <w:tblPr>
        <w:tblW w:w="9280" w:type="dxa"/>
        <w:jc w:val="left"/>
        <w:tblInd w:w="0" w:type="dxa"/>
        <w:tblLayout w:type="fixed"/>
        <w:tblCellMar>
          <w:top w:w="28" w:type="dxa"/>
          <w:left w:w="28" w:type="dxa"/>
          <w:bottom w:w="28" w:type="dxa"/>
          <w:right w:w="28" w:type="dxa"/>
        </w:tblCellMar>
      </w:tblPr>
      <w:tblGrid>
        <w:gridCol w:w="2325"/>
        <w:gridCol w:w="2044"/>
        <w:gridCol w:w="2050"/>
        <w:gridCol w:w="414"/>
        <w:gridCol w:w="414"/>
        <w:gridCol w:w="417"/>
        <w:gridCol w:w="109"/>
        <w:gridCol w:w="109"/>
        <w:gridCol w:w="109"/>
        <w:gridCol w:w="377"/>
        <w:gridCol w:w="377"/>
        <w:gridCol w:w="535"/>
      </w:tblGrid>
      <w:tr>
        <w:trPr/>
        <w:tc>
          <w:tcPr>
            <w:tcW w:w="2325"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 2022</w:t>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subject to repurchase from outstanding stock options</w:t>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and PSUs subject to future vesting</w:t>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3,960 </w:t>
            </w:r>
          </w:p>
        </w:tc>
        <w:tc>
          <w:tcPr>
            <w:tcW w:w="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8,569 </w:t>
            </w:r>
          </w:p>
        </w:tc>
        <w:tc>
          <w:tcPr>
            <w:tcW w:w="5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issuable from stock options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3,275 </w:t>
            </w:r>
          </w:p>
        </w:tc>
        <w:tc>
          <w:tcPr>
            <w:tcW w:w="5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purchase rights under the Employee Stock Purchase Plan</w:t>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5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Potential common shares excluded from diluted net income (loss) per share</w:t>
            </w:r>
          </w:p>
        </w:tc>
        <w:tc>
          <w:tcPr>
            <w:tcW w:w="8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4,060 </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12,972 </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above table excludes founder holdbacks related to business combinations. A variable number of shares will be issued upon vesting to settle a fixed monetary amount of $5.3 million, contingent upon continued employment with the Company. The share price will be determined based on the Company’s average stock price or the volume weighted average stock price five days prior to each vesting date. During the three and six months ended July 31, 2023, 5,748 shares and 18,558 shares, respectively, were issued to settle founder holdbacks at a weighted average price of $154.64 per share and $136.78 per share,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the condensed consolidated financial statements and related notes thereto included elsewhere in this Quarterly Report on Form 10-Q and our Annual Report on Form 10-K for the year ended January 31, 2023, filed with the SEC.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described under the heading Special Note Regarding Forward-Looking Statements following the Table of Contents of this Quarterly Report on Form 10-Q. You should review the disclosure under Part II, Item 1A, “Risk Factors” in this Quarterly Report on Form 10-Q for a discussion of important factors that could cause actual results to differ materially from the results described in or implied by the forward-looking statements contained in the following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Founded in 2011, CrowdStrike reinvented cybersecurity for the cloud era and transformed the way cybersecurity is delivered and experienced by customers. When we started CrowdStrike, cyberattackers had an asymmetric advantage over legacy cybersecurity products that could not keep pace with the rapid changes in adversary tactics. We took a fundamentally different approach to solve this problem with the CrowdStrike Falcon platform – the first, true cloud-native platform capable of harnessing vast amounts of security and enterprise data to deliver highly modular solutions through a single lightweight agent. Our pioneering platform approach keeps customers ahead of attackers by automatically detecting and preventing threats to stop breaches.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approach has defined a new category called the Security Cloud, which has the power to transform the cybersecurity industry the same way the cloud has transformed the customer relationship management, human resources, and service management industries. Using cloud-scale AI, our Security Cloud enriches and correlates trillions of cybersecurity events per week with indicators of attack, threat intelligence, and enterprise data (including data from across endpoints, workloads, identities, DevOps, IT assets, and configurations) to create actionable data, identify shifts in adversary tactics, and automatically prevent threats in real-time across our customer base. The more data that is fed into our Falcon platform, the more intelligent our Security Cloud becomes, and the more our customers benefit, creating a powerful network effect that increases the overall value we provide.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Our Go-To-Market Strategy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 low friction land-and-expand sales strategy. When customers deploy our Falcon platform, they can start with any number of cloud modules and easily add additional cloud modules.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began as a solution for large enterprises, but the flexibility and scalability of our Falcon platform has enabled us to seamlessly offer our solution to customers of any size. We have expanded our sales focus to include any sized organization without the need to modify our Falcon platform for small and medium sized businesses.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majority of our customers purchase subscriptions with a term of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Certain Factors Affecting Our Performance</w:t>
      </w:r>
    </w:p>
    <w:p>
      <w:pPr>
        <w:pStyle w:val="TextBody"/>
        <w:bidi w:val="0"/>
        <w:spacing w:lineRule="auto" w:line="288" w:before="240" w:after="240"/>
        <w:ind w:left="0" w:right="0" w:firstLine="720"/>
        <w:jc w:val="left"/>
        <w:rPr/>
      </w:pPr>
      <w:r>
        <w:rPr>
          <w:rFonts w:ascii="Times New Roman;sans-serif" w:hAnsi="Times New Roman;sans-serif"/>
          <w:b/>
          <w:i/>
          <w:color w:val="000000"/>
          <w:sz w:val="20"/>
        </w:rPr>
        <w:t>Adoption of Our Solutions. </w:t>
      </w:r>
      <w:r>
        <w:rPr>
          <w:rFonts w:ascii="Times New Roman;sans-serif" w:hAnsi="Times New Roman;sans-serif"/>
          <w:b w:val="false"/>
          <w:color w:val="000000"/>
          <w:sz w:val="20"/>
        </w:rPr>
        <w:t>We believe our future success depends in large part on the growth in the market for cloud-based SaaS-delivered endpoint security solutions. Many organizations have not yet abandoned the on-premise legacy products in which they have invested substantial personnel and financial resources to design and maintain. As a result, it is difficult to predict customer adoption rates and demand for our cloud-based solutions.</w:t>
      </w:r>
    </w:p>
    <w:p>
      <w:pPr>
        <w:pStyle w:val="TextBody"/>
        <w:bidi w:val="0"/>
        <w:spacing w:lineRule="auto" w:line="288" w:before="240" w:after="240"/>
        <w:ind w:left="0" w:right="0" w:firstLine="720"/>
        <w:jc w:val="left"/>
        <w:rPr/>
      </w:pPr>
      <w:r>
        <w:rPr>
          <w:rFonts w:ascii="Times New Roman;sans-serif" w:hAnsi="Times New Roman;sans-serif"/>
          <w:b/>
          <w:i/>
          <w:color w:val="000000"/>
          <w:sz w:val="20"/>
        </w:rPr>
        <w:t>New Customer Acquisition. </w:t>
      </w:r>
      <w:r>
        <w:rPr>
          <w:rFonts w:ascii="Times New Roman;sans-serif" w:hAnsi="Times New Roman;sans-serif"/>
          <w:b w:val="false"/>
          <w:color w:val="000000"/>
          <w:sz w:val="20"/>
        </w:rPr>
        <w:t>Our future growth depends in large part on our ability to acquire new customers. If our efforts to attract new customers are not successful, our revenue and rate of revenue growth may decline. We 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pStyle w:val="TextBody"/>
        <w:bidi w:val="0"/>
        <w:spacing w:lineRule="auto" w:line="276" w:before="0" w:after="0"/>
        <w:ind w:left="0" w:right="0" w:firstLine="720"/>
        <w:jc w:val="left"/>
        <w:rPr/>
      </w:pPr>
      <w:r>
        <w:rPr>
          <w:rFonts w:ascii="Times New Roman;sans-serif" w:hAnsi="Times New Roman;sans-serif"/>
          <w:b/>
          <w:i/>
          <w:color w:val="000000"/>
          <w:sz w:val="20"/>
        </w:rPr>
        <w:t xml:space="preserve">Maintain Customer Retention and Increase Sales. </w:t>
      </w:r>
      <w:r>
        <w:rPr>
          <w:rFonts w:ascii="Times New Roman;sans-serif" w:hAnsi="Times New Roman;sans-serif"/>
          <w:b w:val="false"/>
          <w:color w:val="000000"/>
          <w:sz w:val="20"/>
        </w:rPr>
        <w:t xml:space="preserve">Our ability to increase revenue depends in large part on our ability to retain our existing customers and increase the ARR of their subscriptions. We focus on increasing sales to our existing customers by expanding their deployments to more endpoints and selling additional cloud modules for increased functionality. Over time we have transitioned our platform from a single offering into highly-integrated offerings of multiple cloud modules. </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Invest in Growth. </w:t>
      </w:r>
      <w:r>
        <w:rPr>
          <w:rFonts w:ascii="Times New Roman;sans-serif" w:hAnsi="Times New Roman;sans-serif"/>
          <w:b w:val="false"/>
          <w:color w:val="000000"/>
          <w:sz w:val="20"/>
        </w:rPr>
        <w:t>We believe that our market opportunity is large and requires us to continue to invest significantly in sales and marketing efforts to further grow our customer base, both 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grow as a public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Key Metrics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monitor the following key metrics to help us evaluate our business, identify trends affecting our business, formulate business plans, and make strategic decisions.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Annual Recurring Revenue (“ARR”)</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an organization for a new subscription or renewal, or until such organization notifies us that it is not renewing its subscription. </w:t>
      </w:r>
    </w:p>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ARR as of the dates presented (dollars in thousands):</w:t>
      </w:r>
    </w:p>
    <w:tbl>
      <w:tblPr>
        <w:tblW w:w="5478" w:type="dxa"/>
        <w:jc w:val="left"/>
        <w:tblInd w:w="0" w:type="dxa"/>
        <w:tblLayout w:type="fixed"/>
        <w:tblCellMar>
          <w:top w:w="28" w:type="dxa"/>
          <w:left w:w="28" w:type="dxa"/>
          <w:bottom w:w="28" w:type="dxa"/>
          <w:right w:w="28" w:type="dxa"/>
        </w:tblCellMar>
      </w:tblPr>
      <w:tblGrid>
        <w:gridCol w:w="793"/>
        <w:gridCol w:w="696"/>
        <w:gridCol w:w="701"/>
        <w:gridCol w:w="211"/>
        <w:gridCol w:w="976"/>
        <w:gridCol w:w="271"/>
        <w:gridCol w:w="109"/>
        <w:gridCol w:w="109"/>
        <w:gridCol w:w="109"/>
        <w:gridCol w:w="211"/>
        <w:gridCol w:w="976"/>
        <w:gridCol w:w="316"/>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July 31,</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recurring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2,930,132 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2,139,906 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Year-over-year growth</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ARR grew to $2.9 billion as of July 31, 2023, of which $196.2 million and $370.4 million was net new ARR added for the three and six months ended July 31, 2023, respectively. ARR grew to $2.1 billion as of July 31, 2022, of which $218.1 million and $408.6 million was net new ARR added for the three and six months ended July 31,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Dollar-Based Net Retention Rate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dollar-based net retention rate was effectively at our benchmark as of July 31, 2023. Our dollar-based net retention rate can fluctuate from period to period due to large customer contracts in a given period, which may reduce our dollar-based net retention rate in subsequent periods if the customer makes a larger upfront purchase and does not continue to increase purchases.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dollar-based net retention rate has varied from quarter to quarter due to a number of factors and we expect that trend to continue. In addition, we have seen strong success with our strategy to land bigger deals with more modules, and we are also seeing an acceleration in our acquisition of new customers. While we view these two trends as positive developments, they have a natural trade off on our ability to expand business with existing customers in the near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 xml:space="preserve">Subscription Revenue. </w:t>
      </w:r>
      <w:r>
        <w:rPr>
          <w:rFonts w:ascii="Times New Roman;sans-serif" w:hAnsi="Times New Roman;sans-serif"/>
          <w:b w:val="false"/>
          <w:color w:val="000000"/>
          <w:sz w:val="20"/>
        </w:rPr>
        <w:t>Subscription revenue primarily consists of subscription fees for our Falcon platform and additional cloud modules that are supported by our cloud-based platform. Subscription revenue is driven primarily by the number of subscription customers, the number of endpoints per customer, and the number of cloud modules included in the subscription. We recognize subscription revenue ratably over the term of the agreement, which is generally one to three years. Because the majority of our subscription customers are billed upfront, we have recorded significant deferred revenue. Consequently, a substantial portion of the revenue that we report in each period is attributable to the recognition of deferred revenue relating to subscriptions that we entered into during previous periods. The majority of our customers are invoiced annually in advance or multi-year in advance.</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Professional Services Revenue. </w:t>
      </w:r>
      <w:r>
        <w:rPr>
          <w:rFonts w:ascii="Times New Roman;sans-serif" w:hAnsi="Times New Roman;sans-serif"/>
          <w:b w:val="false"/>
          <w:color w:val="000000"/>
          <w:sz w:val="20"/>
        </w:rPr>
        <w:t>Professional services revenue includes incident response and proactive services, forensic and malware analysis, and attribution analysis. Professional services are 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Fixed fee contracts account for an immaterial portion of our revenue.</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Subscription Cost of Revenue. </w:t>
      </w:r>
      <w:r>
        <w:rPr>
          <w:rFonts w:ascii="Times New Roman;sans-serif" w:hAnsi="Times New Roman;sans-serif"/>
          <w:b w:val="false"/>
          <w:color w:val="000000"/>
          <w:sz w:val="20"/>
        </w:rPr>
        <w:t>Subscription cost of revenue consists primarily of costs related to hosting our cloud-based Falcon platform in data centers, amortization of our capitalized internal-use software, employee-related costs such as salaries and bonuses, stock-based compensation expense, benefits costs associated with our operations and support personnel, software license fees, property and equipment depreciation, amortization of acquired intangibles, and an allocated portion of facilities and administrative costs.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Professional Services Cost of Revenue. </w:t>
      </w:r>
      <w:r>
        <w:rPr>
          <w:rFonts w:ascii="Times New Roman;sans-serif" w:hAnsi="Times New Roman;sans-serif"/>
          <w:b w:val="false"/>
          <w:color w:val="000000"/>
          <w:sz w:val="20"/>
        </w:rPr>
        <w:t>Professional services cost of revenue consists primarily of employee-related costs, such as salaries and bonuses, stock-based compensation expense, technology, property and equipment depreciation, and an allocated portion of facilities and administrative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Gross Profit and Gross Margin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sales and marketing, research and development and general administrative expenses. For each of these categories of expense, employee-related expenses are the most significant component, which include salaries, employee bonuses, sales commissions, and employer payroll tax. Operating expenses also include an allocated portion of overhead costs for facilities and IT.</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Sales and Marketing. </w:t>
      </w:r>
      <w:r>
        <w:rPr>
          <w:rFonts w:ascii="Times New Roman;sans-serif" w:hAnsi="Times New Roman;sans-serif"/>
          <w:b w:val="false"/>
          <w:color w:val="000000"/>
          <w:sz w:val="20"/>
        </w:rPr>
        <w:t>Sales and marketing expenses primarily consist of employee-related expenses such as salaries, commissions, and bonuses. Sales and marketing expenses also include stock-based compensation; expenses related to our Fal.Con customer conference and other marketing events; an allocated portion of facilities and administrative expenses; amortization of acquired intangibles, and cloud hosting and related services costs related to proof of value efforts. Sales and marketing expenses also include sales commissions and any other incremental payments made upon the initial acquisition of a subscription or upsells to existing customers, which are capitalized and amortized over the estimated customer life. We also capitalize and amortize any such expenses paid for the renewal of a subscription over the term of the renewal.</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sales and marketing expenses to increase in dollar amount as we continue to make significant investments in our sales and marketing organization to drive additional revenue, further penetrate the market, and expand our global customer base. However, we anticipate sales and marketing expenses to decrease as a percentage of our total revenue over time, although our sales and marketing expenses may fluctuate as a percentage of our total revenue from period to period depending on the timing of these expenses.</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Research and Development. </w:t>
      </w:r>
      <w:r>
        <w:rPr>
          <w:rFonts w:ascii="Times New Roman;sans-serif" w:hAnsi="Times New Roman;sans-serif"/>
          <w:b w:val="false"/>
          <w:color w:val="000000"/>
          <w:sz w:val="20"/>
        </w:rPr>
        <w:t>Research and development expenses primarily consist of employee-related expenses such as salaries and bonuses; stock-based compensation; consulting expenses related to the design, development, testing, and enhancements of our subscription services;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although our research and development expenses may fluctuate as a percentage of our total revenue from period to period depending on the timing of these expenses.</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General and Administrative. </w:t>
      </w:r>
      <w:r>
        <w:rPr>
          <w:rFonts w:ascii="Times New Roman;sans-serif" w:hAnsi="Times New Roman;sans-serif"/>
          <w:b w:val="false"/>
          <w:color w:val="000000"/>
          <w:sz w:val="20"/>
        </w:rPr>
        <w:t>General and administrative expenses consist of employee-related expenses such as salaries and bonuses; stock-based compensation; and related expenses for our executive, finance, human resources, and legal organizations. In addition, general and administrative expenses include outside legal, accounting, and other professional fees; and an allocated portion of facilities and administrative expenses.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general and administrative expenses to increase in dollar amount over time. However, we anticipate general and administrative expenses to decrease as a percentage of our total revenue over time although our general and administrative expenses may fluctuate as a percentage of our total revenue from period-to-period depending on the timing of these expenses.</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Interest Expense.</w:t>
      </w:r>
      <w:r>
        <w:rPr>
          <w:color w:val="000000"/>
        </w:rPr>
        <w:t xml:space="preserve"> </w:t>
      </w:r>
      <w:r>
        <w:rPr>
          <w:rFonts w:ascii="Times New Roman;sans-serif" w:hAnsi="Times New Roman;sans-serif"/>
          <w:b w:val="false"/>
          <w:color w:val="000000"/>
          <w:sz w:val="20"/>
        </w:rPr>
        <w:t xml:space="preserve">Interest expense consists primarily of amortization of debt issuance costs, contractual interest expense for our Senior Notes issued in January 2021, and amortization of debt issuance costs on our secured revolving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 xml:space="preserve">Interest Income. </w:t>
      </w:r>
      <w:r>
        <w:rPr>
          <w:rFonts w:ascii="Times New Roman;sans-serif" w:hAnsi="Times New Roman;sans-serif"/>
          <w:b w:val="false"/>
          <w:color w:val="000000"/>
          <w:sz w:val="20"/>
        </w:rPr>
        <w:t xml:space="preserve">Interest income consists primarily of income earned on our cash and cash equivalents and short-term investments. </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 xml:space="preserve">Other Income, Net. </w:t>
      </w:r>
      <w:r>
        <w:rPr>
          <w:rFonts w:ascii="Times New Roman;sans-serif" w:hAnsi="Times New Roman;sans-serif"/>
          <w:b w:val="false"/>
          <w:color w:val="000000"/>
          <w:sz w:val="20"/>
        </w:rPr>
        <w:t>Other income, net, consists primarily of gain and losses on strategic investments and foreign currency transaction gains and losses.</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 xml:space="preserve">Provision for Income Taxes. </w:t>
      </w:r>
      <w:r>
        <w:rPr>
          <w:rFonts w:ascii="Times New Roman;sans-serif" w:hAnsi="Times New Roman;sans-serif"/>
          <w:b w:val="false"/>
          <w:color w:val="000000"/>
          <w:sz w:val="20"/>
        </w:rPr>
        <w:t>Provision for income taxes consists of state income taxes in the United States, foreign income taxes, and withholding taxes related to customer payments in certain foreign jurisdictions in which we conduct business. We maintain a full valuation allowance on our U.S. federal and state and U.K. deferred tax assets, which we have determined are not realizable on a more likely than not basis.</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Net Income Attributable to Non-controlling Interest</w:t>
      </w:r>
      <w:r>
        <w:rPr>
          <w:rFonts w:ascii="Times New Roman;sans-serif" w:hAnsi="Times New Roman;sans-serif"/>
          <w:b w:val="false"/>
          <w:color w:val="000000"/>
          <w:sz w:val="20"/>
        </w:rPr>
        <w:t>. Net income attributable to non-controlling interest consists of the Falcon Funds’ non-controlling interest share of mark-to-market gains and losses and interest income from our strategic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condensed consolidated statements of operations for each period presented (in thousands, except percentages):</w:t>
      </w:r>
    </w:p>
    <w:tbl>
      <w:tblPr>
        <w:tblW w:w="11577" w:type="dxa"/>
        <w:jc w:val="left"/>
        <w:tblInd w:w="0" w:type="dxa"/>
        <w:tblLayout w:type="fixed"/>
        <w:tblCellMar>
          <w:top w:w="28" w:type="dxa"/>
          <w:left w:w="28" w:type="dxa"/>
          <w:bottom w:w="28" w:type="dxa"/>
          <w:right w:w="28" w:type="dxa"/>
        </w:tblCellMar>
      </w:tblPr>
      <w:tblGrid>
        <w:gridCol w:w="564"/>
        <w:gridCol w:w="324"/>
        <w:gridCol w:w="328"/>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16"/>
        <w:gridCol w:w="220"/>
        <w:gridCol w:w="382"/>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216"/>
        <w:gridCol w:w="220"/>
        <w:gridCol w:w="437"/>
      </w:tblGrid>
      <w:tr>
        <w:trPr/>
        <w:tc>
          <w:tcPr>
            <w:tcW w:w="56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00" w:type="dxa"/>
            <w:gridSpan w:val="6"/>
            <w:tcBorders/>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Subscription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Subscription</w:t>
            </w: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CrowdStrike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our condensed consolidated statements of operations as a percentage of total revenue for the periods presented:</w:t>
      </w:r>
    </w:p>
    <w:tbl>
      <w:tblPr>
        <w:tblW w:w="9714" w:type="dxa"/>
        <w:jc w:val="left"/>
        <w:tblInd w:w="0" w:type="dxa"/>
        <w:tblLayout w:type="fixed"/>
        <w:tblCellMar>
          <w:top w:w="28" w:type="dxa"/>
          <w:left w:w="28" w:type="dxa"/>
          <w:bottom w:w="28" w:type="dxa"/>
          <w:right w:w="28" w:type="dxa"/>
        </w:tblCellMar>
      </w:tblPr>
      <w:tblGrid>
        <w:gridCol w:w="1526"/>
        <w:gridCol w:w="1346"/>
        <w:gridCol w:w="1358"/>
        <w:gridCol w:w="278"/>
        <w:gridCol w:w="216"/>
        <w:gridCol w:w="539"/>
        <w:gridCol w:w="216"/>
        <w:gridCol w:w="216"/>
        <w:gridCol w:w="216"/>
        <w:gridCol w:w="278"/>
        <w:gridCol w:w="216"/>
        <w:gridCol w:w="539"/>
        <w:gridCol w:w="109"/>
        <w:gridCol w:w="109"/>
        <w:gridCol w:w="109"/>
        <w:gridCol w:w="265"/>
        <w:gridCol w:w="201"/>
        <w:gridCol w:w="448"/>
        <w:gridCol w:w="180"/>
        <w:gridCol w:w="180"/>
        <w:gridCol w:w="180"/>
        <w:gridCol w:w="265"/>
        <w:gridCol w:w="201"/>
        <w:gridCol w:w="523"/>
      </w:tblGrid>
      <w:tr>
        <w:trPr/>
        <w:tc>
          <w:tcPr>
            <w:tcW w:w="152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July 31,</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CrowdStrike</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July 31, 2023 and 2022</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40" w:after="180"/>
        <w:ind w:left="0" w:right="0" w:firstLine="720"/>
        <w:jc w:val="left"/>
        <w:rPr/>
      </w:pPr>
      <w:r>
        <w:rPr>
          <w:rFonts w:ascii="Times New Roman;sans-serif" w:hAnsi="Times New Roman;sans-serif"/>
          <w:b w:val="false"/>
          <w:color w:val="000000"/>
          <w:sz w:val="20"/>
        </w:rPr>
        <w:t>The following shows total revenue from subscriptions and professional services for the three months ended</w:t>
      </w:r>
      <w:r>
        <w:rPr>
          <w:color w:val="000000"/>
        </w:rPr>
        <w:t xml:space="preserve"> </w:t>
      </w:r>
      <w:r>
        <w:rPr>
          <w:rFonts w:ascii="Times New Roman;sans-serif" w:hAnsi="Times New Roman;sans-serif"/>
          <w:b w:val="false"/>
          <w:color w:val="000000"/>
          <w:sz w:val="20"/>
        </w:rPr>
        <w:t>July 31, 2023 as compared to the three months ended July 31, 2022 (in thousands, except percentages):</w:t>
      </w:r>
    </w:p>
    <w:tbl>
      <w:tblPr>
        <w:tblW w:w="7024" w:type="dxa"/>
        <w:jc w:val="left"/>
        <w:tblInd w:w="0" w:type="dxa"/>
        <w:tblLayout w:type="fixed"/>
        <w:tblCellMar>
          <w:top w:w="28" w:type="dxa"/>
          <w:left w:w="28" w:type="dxa"/>
          <w:bottom w:w="28" w:type="dxa"/>
          <w:right w:w="28" w:type="dxa"/>
        </w:tblCellMar>
      </w:tblPr>
      <w:tblGrid>
        <w:gridCol w:w="652"/>
        <w:gridCol w:w="573"/>
        <w:gridCol w:w="57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0"/>
        <w:gridCol w:w="181"/>
        <w:gridCol w:w="445"/>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33" w:type="dxa"/>
            <w:gridSpan w:val="6"/>
            <w:tcBorders/>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increased by $196.5 million, or 37%, for the three months ended July 31, 2023 compared to the three months ended July 31, 2022. Subscription revenue accounted for 94% and 95% of our total revenue for the three months ended July 31, 2023 and July 31, 2022, respectively. Professional services revenue accounted for 6% and 5% of our total revenue for the three months ended July 31, 2023 and July 31, 2022, respectively.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 increased by $183.8 million, or 36%, for the three months ended July 31, 2023 compared to the three months ended July 31, 2022, primarily driven by a combination of the addition of new customers and the sale of additional sensors and modules to existing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revenue increased by $12.7 million, or 44%, for the three months ended July 31, 2023, compared to the three months ended July 31, 2022, which was primarily attributable to an increase in the number of professional service hours performed.</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Cost of Revenue, Gross Profit, and Gross Margin</w:t>
      </w:r>
    </w:p>
    <w:p>
      <w:pPr>
        <w:pStyle w:val="TextBody"/>
        <w:bidi w:val="0"/>
        <w:spacing w:lineRule="auto" w:line="288"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shows cost of revenue related to subscriptions and professional services for the three months ended July 31, 2023 as compared to the three months ended July 31, 2022 (in thousands, except percentages):</w:t>
      </w:r>
    </w:p>
    <w:tbl>
      <w:tblPr>
        <w:tblW w:w="6950" w:type="dxa"/>
        <w:jc w:val="left"/>
        <w:tblInd w:w="0" w:type="dxa"/>
        <w:tblLayout w:type="fixed"/>
        <w:tblCellMar>
          <w:top w:w="28" w:type="dxa"/>
          <w:left w:w="28" w:type="dxa"/>
          <w:bottom w:w="28" w:type="dxa"/>
          <w:right w:w="28" w:type="dxa"/>
        </w:tblCellMar>
      </w:tblPr>
      <w:tblGrid>
        <w:gridCol w:w="663"/>
        <w:gridCol w:w="583"/>
        <w:gridCol w:w="58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445"/>
      </w:tblGrid>
      <w:tr>
        <w:trPr/>
        <w:tc>
          <w:tcPr>
            <w:tcW w:w="66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33" w:type="dxa"/>
            <w:gridSpan w:val="6"/>
            <w:tcBorders/>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 increased by $42.4 million, or 30%, for the three months ended July 31, 2023 compared to the three months ended July 31, 2022. Subscription cost of revenue increased by $33.2 million, or 28%, for the three months ended July 31, 2023, compared to the three months ended July 31, 2022. The increase in subscription cost of revenue was primarily due to an increase in employee-related expenses of $11.2 million driven by a 35% increase in average headcount, an increase in cloud hosting and related services cost of $7.7 million driven by increased customer activity, an increase in depreciation of data center equipment of $3.8 million, an increase in amortization of internal-use software of $3.5 million, an increase in allocated overhead costs of $2.9 million, an increase in stock-based compensation expense of $2.9 million, and an increase in term-based software licenses of $1.2 million.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cost of revenue increased by $9.1 million, or 45%, for the three months ended July 31, 2023, compared to the three months ended July 31, 2022. The increase in professional services cost of revenue was primarily due to an increase in employee-related expenses of $4.7 million driven by an increase in average headcount of 30%, an increase in stock-based compensation expense of $2.2 million, an increase in consulting expense of $0.9 million, and an increase in allocated overhead costs of $0.8 million.</w:t>
      </w:r>
    </w:p>
    <w:p>
      <w:pPr>
        <w:pStyle w:val="TextBody"/>
        <w:bidi w:val="0"/>
        <w:spacing w:lineRule="auto" w:line="288"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shows gross profit and gross margin for subscriptions and professional services for the three months ended July 31, 2023 as compared to the three months ended July 31, 2022 (in thousands, except percentages):</w:t>
      </w:r>
    </w:p>
    <w:tbl>
      <w:tblPr>
        <w:tblW w:w="7984" w:type="dxa"/>
        <w:jc w:val="left"/>
        <w:tblInd w:w="0" w:type="dxa"/>
        <w:tblLayout w:type="fixed"/>
        <w:tblCellMar>
          <w:top w:w="28" w:type="dxa"/>
          <w:left w:w="28" w:type="dxa"/>
          <w:bottom w:w="28" w:type="dxa"/>
          <w:right w:w="28" w:type="dxa"/>
        </w:tblCellMar>
      </w:tblPr>
      <w:tblGrid>
        <w:gridCol w:w="1000"/>
        <w:gridCol w:w="878"/>
        <w:gridCol w:w="88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0"/>
        <w:gridCol w:w="181"/>
        <w:gridCol w:w="445"/>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33" w:type="dxa"/>
            <w:gridSpan w:val="6"/>
            <w:tcBorders/>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gross profit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548,709 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6353" w:type="dxa"/>
        <w:jc w:val="left"/>
        <w:tblInd w:w="0" w:type="dxa"/>
        <w:tblLayout w:type="fixed"/>
        <w:tblCellMar>
          <w:top w:w="28" w:type="dxa"/>
          <w:left w:w="28" w:type="dxa"/>
          <w:bottom w:w="28" w:type="dxa"/>
          <w:right w:w="28" w:type="dxa"/>
        </w:tblCellMar>
      </w:tblPr>
      <w:tblGrid>
        <w:gridCol w:w="1044"/>
        <w:gridCol w:w="916"/>
        <w:gridCol w:w="919"/>
        <w:gridCol w:w="200"/>
        <w:gridCol w:w="200"/>
        <w:gridCol w:w="498"/>
        <w:gridCol w:w="200"/>
        <w:gridCol w:w="200"/>
        <w:gridCol w:w="200"/>
        <w:gridCol w:w="200"/>
        <w:gridCol w:w="200"/>
        <w:gridCol w:w="498"/>
        <w:gridCol w:w="109"/>
        <w:gridCol w:w="109"/>
        <w:gridCol w:w="109"/>
        <w:gridCol w:w="153"/>
        <w:gridCol w:w="153"/>
        <w:gridCol w:w="445"/>
      </w:tblGrid>
      <w:tr>
        <w:trPr/>
        <w:tc>
          <w:tcPr>
            <w:tcW w:w="10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gross margin</w:t>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gross margin</w:t>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margin</w:t>
            </w:r>
          </w:p>
        </w:tc>
        <w:tc>
          <w:tcPr>
            <w:tcW w:w="4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gross margin increased by 2% for the three months ended July 31, 2023, compared to the three months ended July 31, 2022. The increase in subscription gross margin was primarily due to an increase in cloud hosting efficiency during the three months ended July 31, 2023, compared to the three months ended July 31, 2022.</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gross margin was relatively flat for the three months ended July 31, 2023 compared to the three months ended July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bidi w:val="0"/>
        <w:spacing w:lineRule="auto" w:line="288" w:before="18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shows sales and marketing expenses for the three months ended July 31, 2023 as compared to the three months ended July 31, 2022 (in thousands, except percentages):</w:t>
      </w:r>
    </w:p>
    <w:tbl>
      <w:tblPr>
        <w:tblW w:w="7654" w:type="dxa"/>
        <w:jc w:val="left"/>
        <w:tblInd w:w="0" w:type="dxa"/>
        <w:tblLayout w:type="fixed"/>
        <w:tblCellMar>
          <w:top w:w="28" w:type="dxa"/>
          <w:left w:w="28" w:type="dxa"/>
          <w:bottom w:w="28" w:type="dxa"/>
          <w:right w:w="28" w:type="dxa"/>
        </w:tblCellMar>
      </w:tblPr>
      <w:tblGrid>
        <w:gridCol w:w="916"/>
        <w:gridCol w:w="806"/>
        <w:gridCol w:w="812"/>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445"/>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33" w:type="dxa"/>
            <w:gridSpan w:val="6"/>
            <w:tcBorders/>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by $58.2 million, or 26%, for the three months ended July 31, 2023 compared to the three months ended July 31, 2022. The increase in sales and marketing expenses was primarily due to an increase in employee-related expenses of $29.6 million driven by an increase in sales and marketing average headcount of 19%, an increase in stock-based compensation of $10.9 million, an increase in marketing programs of $6.9 million, an increase in allocated overhead costs of $4.2 million, an increase in employee benefits of $1.8 million, an increase in employee health insurance costs of $1.6 million, and an increase in travel expenses of $1.1 million, partially offset by a decrease in company events expenses of $1.2 million.</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shows research and development expenses for the three months ended July 31, 2023 as compared to the three months ended July 31, 2022 (in thousands, except percentages):</w:t>
      </w:r>
    </w:p>
    <w:tbl>
      <w:tblPr>
        <w:tblW w:w="8209" w:type="dxa"/>
        <w:jc w:val="left"/>
        <w:tblInd w:w="0" w:type="dxa"/>
        <w:tblLayout w:type="fixed"/>
        <w:tblCellMar>
          <w:top w:w="28" w:type="dxa"/>
          <w:left w:w="28" w:type="dxa"/>
          <w:bottom w:w="28" w:type="dxa"/>
          <w:right w:w="28" w:type="dxa"/>
        </w:tblCellMar>
      </w:tblPr>
      <w:tblGrid>
        <w:gridCol w:w="1120"/>
        <w:gridCol w:w="982"/>
        <w:gridCol w:w="98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445"/>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33" w:type="dxa"/>
            <w:gridSpan w:val="6"/>
            <w:tcBorders/>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$41.5 million, or 30%, for the three months ended July 31, 2023 compared to the three months ended July 31, 2022. This increase was primarily due to an increase in employee-related expenses of $26.8 million driven by an increase in research and development average headcount of 33%, an increase in cloud hosting and related costs of $7.0 million, an increase in stock-based compensation of $6.9 million, an increase in allocated overhead costs of $5.0 million, an increase in depreciation of data center equipment of $2.4 million, an increase in employee benefits of $1.5 million, and an increase in employee health insurance costs of $1.2 million, partially offset by an increase in software capitalization of $6.8 million, a decrease in company events expenses of $1.8 million, and a decrease in travel expenses of $1.0 million.</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shows general and administrative expenses for the three months ended July 31, 2023 as compared to the three months ended July 31, 2022 (in thousands, except percentages):</w:t>
      </w:r>
    </w:p>
    <w:tbl>
      <w:tblPr>
        <w:tblW w:w="8105" w:type="dxa"/>
        <w:jc w:val="left"/>
        <w:tblInd w:w="0" w:type="dxa"/>
        <w:tblLayout w:type="fixed"/>
        <w:tblCellMar>
          <w:top w:w="28" w:type="dxa"/>
          <w:left w:w="28" w:type="dxa"/>
          <w:bottom w:w="28" w:type="dxa"/>
          <w:right w:w="28" w:type="dxa"/>
        </w:tblCellMar>
      </w:tblPr>
      <w:tblGrid>
        <w:gridCol w:w="1120"/>
        <w:gridCol w:w="984"/>
        <w:gridCol w:w="986"/>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445"/>
      </w:tblGrid>
      <w:tr>
        <w:trPr/>
        <w:tc>
          <w:tcPr>
            <w:tcW w:w="112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33" w:type="dxa"/>
            <w:gridSpan w:val="6"/>
            <w:tcBorders/>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$21.5 million, or 27%, for the three months ended July 31, 2023 compared to the three months ended July 31, 2022. The increase in general and administrative expenses was primarily due to an increase in stock-based compensation expense of $10.3 million, an increase in legal expense of $5.1 million, an increase in employee-related expenses of $3.2 million driven by an increase in general and administrative average headcount of 25%, an increase in bad debt expense of $1.3 million, and an increase in allocated overhead costs of $0.9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Interest Expense, Interest Income, and Other Income, Net</w:t>
      </w:r>
    </w:p>
    <w:p>
      <w:pPr>
        <w:pStyle w:val="TextBody"/>
        <w:bidi w:val="0"/>
        <w:spacing w:lineRule="auto" w:line="288" w:before="24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shows interest expense, interest income, and other income, net for the three months ended July 31, 2023 as compared to the three months ended July 31, 2022 (in thousands, except percentages):</w:t>
      </w:r>
    </w:p>
    <w:tbl>
      <w:tblPr>
        <w:tblW w:w="6637" w:type="dxa"/>
        <w:jc w:val="left"/>
        <w:tblInd w:w="0" w:type="dxa"/>
        <w:tblLayout w:type="fixed"/>
        <w:tblCellMar>
          <w:top w:w="28" w:type="dxa"/>
          <w:left w:w="28" w:type="dxa"/>
          <w:bottom w:w="28" w:type="dxa"/>
          <w:right w:w="28" w:type="dxa"/>
        </w:tblCellMar>
      </w:tblPr>
      <w:tblGrid>
        <w:gridCol w:w="565"/>
        <w:gridCol w:w="495"/>
        <w:gridCol w:w="499"/>
        <w:gridCol w:w="212"/>
        <w:gridCol w:w="727"/>
        <w:gridCol w:w="110"/>
        <w:gridCol w:w="110"/>
        <w:gridCol w:w="110"/>
        <w:gridCol w:w="110"/>
        <w:gridCol w:w="212"/>
        <w:gridCol w:w="697"/>
        <w:gridCol w:w="110"/>
        <w:gridCol w:w="109"/>
        <w:gridCol w:w="109"/>
        <w:gridCol w:w="109"/>
        <w:gridCol w:w="211"/>
        <w:gridCol w:w="721"/>
        <w:gridCol w:w="109"/>
        <w:gridCol w:w="109"/>
        <w:gridCol w:w="109"/>
        <w:gridCol w:w="109"/>
        <w:gridCol w:w="269"/>
        <w:gridCol w:w="271"/>
        <w:gridCol w:w="445"/>
      </w:tblGrid>
      <w:tr>
        <w:trPr/>
        <w:tc>
          <w:tcPr>
            <w:tcW w:w="5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12" w:type="dxa"/>
            <w:gridSpan w:val="6"/>
            <w:tcBorders/>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w:t>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consists primarily of amortization of debt issuance costs, contractual interest expense, and accretion of debt discount for our Senior Notes issued in January 2021.</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income for the three months ended July 31, 2023 compared to the three months ended July 31, 2022 was driven by increases in market interest rates and an increase in our cash balance.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other income, net for the three months ended July 31, 2023 compared to the three months ended July 31, 2022 was primarily due to a decrease in net positive mark-to-market adjustments of our strategic investments of $1.9 million, and an increase in net foreign currency transaction losses of $3.2 million.</w:t>
      </w:r>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24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shows the provision for income taxes for the three months ended July 31, 2023 as compared to the three months ended July 31, 2022 (in thousands, except percentage):</w:t>
      </w:r>
    </w:p>
    <w:tbl>
      <w:tblPr>
        <w:tblW w:w="6969" w:type="dxa"/>
        <w:jc w:val="left"/>
        <w:tblInd w:w="0" w:type="dxa"/>
        <w:tblLayout w:type="fixed"/>
        <w:tblCellMar>
          <w:top w:w="28" w:type="dxa"/>
          <w:left w:w="28" w:type="dxa"/>
          <w:bottom w:w="28" w:type="dxa"/>
          <w:right w:w="28" w:type="dxa"/>
        </w:tblCellMar>
      </w:tblPr>
      <w:tblGrid>
        <w:gridCol w:w="825"/>
        <w:gridCol w:w="726"/>
        <w:gridCol w:w="729"/>
        <w:gridCol w:w="230"/>
        <w:gridCol w:w="672"/>
        <w:gridCol w:w="119"/>
        <w:gridCol w:w="119"/>
        <w:gridCol w:w="119"/>
        <w:gridCol w:w="119"/>
        <w:gridCol w:w="230"/>
        <w:gridCol w:w="672"/>
        <w:gridCol w:w="119"/>
        <w:gridCol w:w="109"/>
        <w:gridCol w:w="109"/>
        <w:gridCol w:w="109"/>
        <w:gridCol w:w="211"/>
        <w:gridCol w:w="541"/>
        <w:gridCol w:w="109"/>
        <w:gridCol w:w="109"/>
        <w:gridCol w:w="109"/>
        <w:gridCol w:w="109"/>
        <w:gridCol w:w="165"/>
        <w:gridCol w:w="165"/>
        <w:gridCol w:w="445"/>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102" w:type="dxa"/>
            <w:gridSpan w:val="6"/>
            <w:tcBorders/>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during the three months ended July 31, 2023 and the three months ended July 31, 2022 was primarily attributable to withholding taxes related to customer payments in certain foreign jurisdictions in which the Company conducts business.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Comparison of the Six Months Ended July 31, 2023 and 2022</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40" w:after="180"/>
        <w:ind w:left="0" w:right="0" w:firstLine="720"/>
        <w:jc w:val="left"/>
        <w:rPr/>
      </w:pPr>
      <w:r>
        <w:rPr>
          <w:rFonts w:ascii="Times New Roman;sans-serif" w:hAnsi="Times New Roman;sans-serif"/>
          <w:b w:val="false"/>
          <w:color w:val="000000"/>
          <w:sz w:val="20"/>
        </w:rPr>
        <w:t>The following shows total revenue from subscriptions and professional services for the six months ended</w:t>
      </w:r>
      <w:r>
        <w:rPr>
          <w:color w:val="000000"/>
        </w:rPr>
        <w:t xml:space="preserve"> </w:t>
      </w:r>
      <w:r>
        <w:rPr>
          <w:rFonts w:ascii="Times New Roman;sans-serif" w:hAnsi="Times New Roman;sans-serif"/>
          <w:b w:val="false"/>
          <w:color w:val="000000"/>
          <w:sz w:val="20"/>
        </w:rPr>
        <w:t>July 31, 2023 as compared to the six months ended July 31, 2022 (in thousands, except percentages):</w:t>
      </w:r>
    </w:p>
    <w:tbl>
      <w:tblPr>
        <w:tblW w:w="7324" w:type="dxa"/>
        <w:jc w:val="left"/>
        <w:tblInd w:w="0" w:type="dxa"/>
        <w:tblLayout w:type="fixed"/>
        <w:tblCellMar>
          <w:top w:w="28" w:type="dxa"/>
          <w:left w:w="28" w:type="dxa"/>
          <w:bottom w:w="28" w:type="dxa"/>
          <w:right w:w="28" w:type="dxa"/>
        </w:tblCellMar>
      </w:tblPr>
      <w:tblGrid>
        <w:gridCol w:w="652"/>
        <w:gridCol w:w="573"/>
        <w:gridCol w:w="574"/>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80"/>
        <w:gridCol w:w="181"/>
        <w:gridCol w:w="445"/>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1,022,987 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increased by $401.2 million, or 39%, for the six months ended July 31, 2023 compared to the six months ended July 31, 2022. Subscription revenue accounted for 94% of our total revenue for each of the six months ended July 31, 2023 and July 31, 2022. Professional services revenue accounted for 6% of our total revenue for each of the six months ended July 31, 2023 and July 31, 2022.</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 increased by $375.1 million, or 39%, for the six months ended July 31, 2023 compared to the six months ended July 31, 2022, primarily driven by a combination of the addition of new customers and the sale of additional sensors and modules to existing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revenue increased by $26.1 million, or 46%, for the six months ended July 31, 2023, compared to the six months ended July 31, 2022, which was primarily attributable to an increase in the number of professional service hours performed.</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Cost of Revenue, Gross Profit, and Gross Margin</w:t>
      </w:r>
    </w:p>
    <w:p>
      <w:pPr>
        <w:pStyle w:val="TextBody"/>
        <w:bidi w:val="0"/>
        <w:spacing w:lineRule="auto" w:line="288"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shows cost of revenue related to subscriptions and professional services for the six months ended July 31, 2023 as compared to the six months ended July 31, 2022 (in thousands, except percentages):</w:t>
      </w:r>
    </w:p>
    <w:tbl>
      <w:tblPr>
        <w:tblW w:w="6950" w:type="dxa"/>
        <w:jc w:val="left"/>
        <w:tblInd w:w="0" w:type="dxa"/>
        <w:tblLayout w:type="fixed"/>
        <w:tblCellMar>
          <w:top w:w="28" w:type="dxa"/>
          <w:left w:w="28" w:type="dxa"/>
          <w:bottom w:w="28" w:type="dxa"/>
          <w:right w:w="28" w:type="dxa"/>
        </w:tblCellMar>
      </w:tblPr>
      <w:tblGrid>
        <w:gridCol w:w="663"/>
        <w:gridCol w:w="583"/>
        <w:gridCol w:w="58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445"/>
      </w:tblGrid>
      <w:tr>
        <w:trPr/>
        <w:tc>
          <w:tcPr>
            <w:tcW w:w="66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33" w:type="dxa"/>
            <w:gridSpan w:val="6"/>
            <w:tcBorders/>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 increased by $84.7 million, or 32%, for the six months ended July 31, 2023 compared to the six months ended July 31, 2022. Subscription cost of revenue increased by $67.4 million, or 30%, for the six months ended July 31, 2023, compared to the six months ended July 31, 2022. The increase in subscription cost of revenue was primarily due to an increase in employee-related expenses of $22.9 million driven by a 37% increase in average headcount, an increase in cloud hosting and related services cost of $15.2 million driven by increased customer activity, an increase in depreciation of data center equipment of $8.1 million, an increase in amortization of internal-use software of $6.7 million, an increase in allocated overhead costs of $5.6 million, an increase in stock-based compensation expense of $5.2 million, and an increase in term-based software licenses of $2.9 million.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cost of revenue increased by $17.4 million, or 44%, for the six months ended July 31, 2023, compared to the six months ended July 31, 2022. The increase in professional services cost of revenue was primarily due to an increase in employee-related expenses of $10.0 million driven by an increase in average headcount of 34%, an increase in stock-based compensation expense of $3.9 million, an increase in allocated overhead costs of $1.6 million, an increase in consulting expense of $1.0 million, and an increase in employee health insurance costs of $0.6 million.</w:t>
      </w:r>
    </w:p>
    <w:p>
      <w:pPr>
        <w:pStyle w:val="TextBody"/>
        <w:bidi w:val="0"/>
        <w:spacing w:lineRule="auto" w:line="288"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shows gross profit and gross margin for subscriptions and professional services for the six months ended July 31, 2023 as compared to the six months ended July 31, 2022 (in thousands, except percentages):</w:t>
      </w:r>
    </w:p>
    <w:tbl>
      <w:tblPr>
        <w:tblW w:w="8134" w:type="dxa"/>
        <w:jc w:val="left"/>
        <w:tblInd w:w="0" w:type="dxa"/>
        <w:tblLayout w:type="fixed"/>
        <w:tblCellMar>
          <w:top w:w="28" w:type="dxa"/>
          <w:left w:w="28" w:type="dxa"/>
          <w:bottom w:w="28" w:type="dxa"/>
          <w:right w:w="28" w:type="dxa"/>
        </w:tblCellMar>
      </w:tblPr>
      <w:tblGrid>
        <w:gridCol w:w="1000"/>
        <w:gridCol w:w="878"/>
        <w:gridCol w:w="881"/>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180"/>
        <w:gridCol w:w="181"/>
        <w:gridCol w:w="445"/>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33" w:type="dxa"/>
            <w:gridSpan w:val="6"/>
            <w:tcBorders/>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gross profit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755,588 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6146" w:type="dxa"/>
        <w:jc w:val="left"/>
        <w:tblInd w:w="0" w:type="dxa"/>
        <w:tblLayout w:type="fixed"/>
        <w:tblCellMar>
          <w:top w:w="28" w:type="dxa"/>
          <w:left w:w="28" w:type="dxa"/>
          <w:bottom w:w="28" w:type="dxa"/>
          <w:right w:w="28" w:type="dxa"/>
        </w:tblCellMar>
      </w:tblPr>
      <w:tblGrid>
        <w:gridCol w:w="1044"/>
        <w:gridCol w:w="916"/>
        <w:gridCol w:w="919"/>
        <w:gridCol w:w="183"/>
        <w:gridCol w:w="183"/>
        <w:gridCol w:w="454"/>
        <w:gridCol w:w="183"/>
        <w:gridCol w:w="183"/>
        <w:gridCol w:w="183"/>
        <w:gridCol w:w="183"/>
        <w:gridCol w:w="183"/>
        <w:gridCol w:w="454"/>
        <w:gridCol w:w="109"/>
        <w:gridCol w:w="109"/>
        <w:gridCol w:w="109"/>
        <w:gridCol w:w="153"/>
        <w:gridCol w:w="153"/>
        <w:gridCol w:w="445"/>
      </w:tblGrid>
      <w:tr>
        <w:trPr/>
        <w:tc>
          <w:tcPr>
            <w:tcW w:w="10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gross margin</w:t>
            </w:r>
          </w:p>
        </w:tc>
        <w:tc>
          <w:tcPr>
            <w:tcW w:w="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gross margin</w:t>
            </w:r>
          </w:p>
        </w:tc>
        <w:tc>
          <w:tcPr>
            <w:tcW w:w="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margin</w:t>
            </w:r>
          </w:p>
        </w:tc>
        <w:tc>
          <w:tcPr>
            <w:tcW w:w="3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gross margin increased by 2% for the six months ended July 31, 2023, compared to the six months ended July 31, 2022. The increase in subscription gross margin was primarily due to an increase in cloud hosting efficiency during the six months ended July 31, 2023, compared to the six months ended July 31, 2022.</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gross margin increased by 1% for the six months ended July 31, 2023 compared to the six months ended July 31, 2022. The increase in professional services gross margin was primarily due to increased utilization and decreased subcontractor costs during the six months ended July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bidi w:val="0"/>
        <w:spacing w:lineRule="auto" w:line="288" w:before="18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shows sales and marketing expenses for the six months ended July 31, 2023 as compared to the six months ended July 31, 2022 (in thousands, except percentages):</w:t>
      </w:r>
    </w:p>
    <w:tbl>
      <w:tblPr>
        <w:tblW w:w="7759" w:type="dxa"/>
        <w:jc w:val="left"/>
        <w:tblInd w:w="0" w:type="dxa"/>
        <w:tblLayout w:type="fixed"/>
        <w:tblCellMar>
          <w:top w:w="28" w:type="dxa"/>
          <w:left w:w="28" w:type="dxa"/>
          <w:bottom w:w="28" w:type="dxa"/>
          <w:right w:w="28" w:type="dxa"/>
        </w:tblCellMar>
      </w:tblPr>
      <w:tblGrid>
        <w:gridCol w:w="916"/>
        <w:gridCol w:w="806"/>
        <w:gridCol w:w="81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0"/>
        <w:gridCol w:w="181"/>
        <w:gridCol w:w="445"/>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33" w:type="dxa"/>
            <w:gridSpan w:val="6"/>
            <w:tcBorders/>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by $145.7 million, or 35%, for the six months ended July 31, 2023 compared to the six months ended July 31, 2022. The increase in sales and marketing expenses was primarily due to an increase in employee-related expenses of $69.4 million driven by an increase in sales and marketing average headcount of 27%, an increase in marketing programs of $22.8 million, an increase in stock-based compensation of $19.9 million, an increase in allocated overhead costs of $8.5 million, an increase in company events expenses of $5.0 million, an increase in employee benefits of $4.0 million, an increase in employee health insurance costs of $3.5 million, an increase in travel expenses of $3.1 million, and an increase in tax and licenses of $2.9 million.</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shows research and development expenses for the six months ended July 31, 2023 as compared to the six months ended July 31, 2022 (in thousands, except percentages):</w:t>
      </w:r>
    </w:p>
    <w:tbl>
      <w:tblPr>
        <w:tblW w:w="8209" w:type="dxa"/>
        <w:jc w:val="left"/>
        <w:tblInd w:w="0" w:type="dxa"/>
        <w:tblLayout w:type="fixed"/>
        <w:tblCellMar>
          <w:top w:w="28" w:type="dxa"/>
          <w:left w:w="28" w:type="dxa"/>
          <w:bottom w:w="28" w:type="dxa"/>
          <w:right w:w="28" w:type="dxa"/>
        </w:tblCellMar>
      </w:tblPr>
      <w:tblGrid>
        <w:gridCol w:w="1120"/>
        <w:gridCol w:w="982"/>
        <w:gridCol w:w="98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445"/>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33" w:type="dxa"/>
            <w:gridSpan w:val="6"/>
            <w:tcBorders/>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$97.2 million, or 37%, for the six months ended July 31, 2023 compared to the six months ended July 31, 2022. This increase was primarily due to an increase in employee-related expenses of $60.0 million driven by an increase in research and development average headcount of 39%, an increase in stock-based compensation of $17.3 million, an increase in cloud hosting and related costs of $13.5 million, an increase in allocated overhead costs of $10.0 million, an increase in depreciation of data center equipment of $3.5 million, an increase in employee benefits of $3.3 million, an increase in employee health insurance costs of $2.9 million, an increase in term-based software licenses of $1.6 million, and an increase in consulting expense of $1.1 million, partially offset by an increase in software capitalization of $12.3 million, a decrease in company events of $2.5 million, and a decrease in travel expenses of $1.4 million.</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24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shows general and administrative expenses for the six months ended July 31, 2023 as compared to the six months ended July 31, 2022 (in thousands, except percentages):</w:t>
      </w:r>
    </w:p>
    <w:tbl>
      <w:tblPr>
        <w:tblW w:w="8210" w:type="dxa"/>
        <w:jc w:val="left"/>
        <w:tblInd w:w="0" w:type="dxa"/>
        <w:tblLayout w:type="fixed"/>
        <w:tblCellMar>
          <w:top w:w="28" w:type="dxa"/>
          <w:left w:w="28" w:type="dxa"/>
          <w:bottom w:w="28" w:type="dxa"/>
          <w:right w:w="28" w:type="dxa"/>
        </w:tblCellMar>
      </w:tblPr>
      <w:tblGrid>
        <w:gridCol w:w="1120"/>
        <w:gridCol w:w="984"/>
        <w:gridCol w:w="986"/>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445"/>
      </w:tblGrid>
      <w:tr>
        <w:trPr/>
        <w:tc>
          <w:tcPr>
            <w:tcW w:w="112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33" w:type="dxa"/>
            <w:gridSpan w:val="6"/>
            <w:tcBorders/>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pPr>
      <w:r>
        <w:rPr>
          <w:rFonts w:ascii="Times New Roman;sans-serif" w:hAnsi="Times New Roman;sans-serif"/>
          <w:b w:val="false"/>
          <w:color w:val="000000"/>
          <w:sz w:val="20"/>
        </w:rPr>
        <w:t>General and administrative expenses increased by $36.2 million, or 24%, for the six months ended July 31, 2023 compared to the six months ended July 31, 2022. The increase in general and administrative expenses was primarily due to an increase in stock-based compensation expense of $15.3 million, an increase in legal expense of $8.0 million, an increase in employee-related expenses of $7.7 million driven by an increase in general and administrative average headcount of 29%, an increase in allocated overhead costs of $1.8 million, an increase in bad debt expense of $1.2 million, and an increase in other labor expense of $0.7 million</w:t>
      </w:r>
      <w:r>
        <w:rPr>
          <w:rFonts w:ascii="Calibri;sans-serif" w:hAnsi="Calibri;sans-serif"/>
          <w:b w:val="false"/>
          <w:color w:val="000000"/>
          <w:sz w:val="22"/>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Interest Expense, Interest Income, and Other Income, Net</w:t>
      </w:r>
    </w:p>
    <w:p>
      <w:pPr>
        <w:pStyle w:val="TextBody"/>
        <w:bidi w:val="0"/>
        <w:spacing w:lineRule="auto" w:line="288" w:before="24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shows interest expense, interest income, and other income, net for the six months ended July 31, 2023 as compared to the six months ended July 31, 2022 (in thousands, except percentages):</w:t>
      </w:r>
    </w:p>
    <w:tbl>
      <w:tblPr>
        <w:tblW w:w="6798" w:type="dxa"/>
        <w:jc w:val="left"/>
        <w:tblInd w:w="0" w:type="dxa"/>
        <w:tblLayout w:type="fixed"/>
        <w:tblCellMar>
          <w:top w:w="28" w:type="dxa"/>
          <w:left w:w="28" w:type="dxa"/>
          <w:bottom w:w="28" w:type="dxa"/>
          <w:right w:w="28" w:type="dxa"/>
        </w:tblCellMar>
      </w:tblPr>
      <w:tblGrid>
        <w:gridCol w:w="565"/>
        <w:gridCol w:w="495"/>
        <w:gridCol w:w="499"/>
        <w:gridCol w:w="211"/>
        <w:gridCol w:w="796"/>
        <w:gridCol w:w="109"/>
        <w:gridCol w:w="109"/>
        <w:gridCol w:w="109"/>
        <w:gridCol w:w="109"/>
        <w:gridCol w:w="211"/>
        <w:gridCol w:w="796"/>
        <w:gridCol w:w="109"/>
        <w:gridCol w:w="109"/>
        <w:gridCol w:w="109"/>
        <w:gridCol w:w="109"/>
        <w:gridCol w:w="211"/>
        <w:gridCol w:w="721"/>
        <w:gridCol w:w="109"/>
        <w:gridCol w:w="109"/>
        <w:gridCol w:w="109"/>
        <w:gridCol w:w="109"/>
        <w:gridCol w:w="269"/>
        <w:gridCol w:w="271"/>
        <w:gridCol w:w="445"/>
      </w:tblGrid>
      <w:tr>
        <w:trPr/>
        <w:tc>
          <w:tcPr>
            <w:tcW w:w="5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12" w:type="dxa"/>
            <w:gridSpan w:val="6"/>
            <w:tcBorders/>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consists primarily of amortization of debt issuance costs, contractual interest expense, and accretion of debt discount for our Senior Notes issued in January 2021.</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interest income for the six months ended July 31, 2023 compared to the six months ended July 31, 2022 was driven by increases in market interest rates and an increase in our cash balance.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other income, net for the six months ended July 31, 2023 compared to the six months ended July 31, 2022 was primarily due to a decrease in net positive mark-to-market adjustments of our strategic investments of $4.1 million, and an increase in net foreign currency transaction losses of $2.5 million.</w:t>
      </w:r>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24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shows the provision for income taxes for the six months ended July 31, 2023 as compared to the six months ended July 31, 2022 (in thousands, except percentage):</w:t>
      </w:r>
    </w:p>
    <w:tbl>
      <w:tblPr>
        <w:tblW w:w="6725" w:type="dxa"/>
        <w:jc w:val="left"/>
        <w:tblInd w:w="0" w:type="dxa"/>
        <w:tblLayout w:type="fixed"/>
        <w:tblCellMar>
          <w:top w:w="28" w:type="dxa"/>
          <w:left w:w="28" w:type="dxa"/>
          <w:bottom w:w="28" w:type="dxa"/>
          <w:right w:w="28" w:type="dxa"/>
        </w:tblCellMar>
      </w:tblPr>
      <w:tblGrid>
        <w:gridCol w:w="825"/>
        <w:gridCol w:w="726"/>
        <w:gridCol w:w="72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180"/>
        <w:gridCol w:w="181"/>
        <w:gridCol w:w="445"/>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br/>
              <w:t>%</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133" w:type="dxa"/>
            <w:gridSpan w:val="6"/>
            <w:tcBorders/>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provision for income taxes of $0.8 million during the six months ended July 31, 2023 compared to the six months ended July 31, 2022 was primarily attributable to withholding taxes related to customer payments in certain foreign jurisdictions in which the Company conducts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sources of liquidity as of July 31, 2023, consisted of: (i) $3.2 billion in cash and cash equivalents, which mainly consists of cash on hand and highly liquid investments in money market funds, (ii) cash we expect to generate from operations, and (iii) available capacity under our $750.0 million senior secured revolving credit facility (the “A&amp;R Credit Agreement”). We expect that the combination of our existing cash and cash equivalents, cash flows from operations, and the A&amp;R Credit Agreement will be sufficient to meet our anticipated cash needs for working capital and capital expenditures for at least the next 12 months.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short-term and long-term liquidity requirements primarily arise from: (i) business acquisitions and investments we may make from time to time, (ii) working capital requirements, (iii) interest and principal payments related to our outstanding indebtedness, (iv) research and development and capital expenditure needs, and (v) license and service arrangements integral to our business operations. Our ability to fund these requirements will depend, in part, on our future cash flows, which are determined by our future operating performance and, therefore, subject to prevailing global macroeconomic conditions and financial, business and other factors, some of which are beyond our control.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historically generated operating losses, as reflected in our accumulated deficit of $1.1 billion as of July 31, 2023. We expect to continue to make investments, particularly in sales and marketing and research and development. As a result, we may require additional capital resources in the future to execute strategic initiatives to grow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typically invoice our subscription customers annually in advance. Therefore, a substantial source of our cash is from such prepayments, which are included on our condensed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July 31, 2023, we had deferred revenue of $2.5 billion, of which $1.9 billion was recorded as a current liability and is expected to be recorded as revenue in the next 12 months, provided all other revenue recognition criteria have been met.</w:t>
      </w:r>
    </w:p>
    <w:p>
      <w:pPr>
        <w:pStyle w:val="TextBody"/>
        <w:bidi w:val="0"/>
        <w:spacing w:lineRule="auto" w:line="276"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24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 (in thousands):</w:t>
      </w:r>
    </w:p>
    <w:tbl>
      <w:tblPr>
        <w:tblW w:w="7298" w:type="dxa"/>
        <w:jc w:val="left"/>
        <w:tblInd w:w="0" w:type="dxa"/>
        <w:tblLayout w:type="fixed"/>
        <w:tblCellMar>
          <w:top w:w="28" w:type="dxa"/>
          <w:left w:w="28" w:type="dxa"/>
          <w:bottom w:w="28" w:type="dxa"/>
          <w:right w:w="28" w:type="dxa"/>
        </w:tblCellMar>
      </w:tblPr>
      <w:tblGrid>
        <w:gridCol w:w="1677"/>
        <w:gridCol w:w="1476"/>
        <w:gridCol w:w="1481"/>
        <w:gridCol w:w="211"/>
        <w:gridCol w:w="826"/>
        <w:gridCol w:w="109"/>
        <w:gridCol w:w="109"/>
        <w:gridCol w:w="109"/>
        <w:gridCol w:w="109"/>
        <w:gridCol w:w="211"/>
        <w:gridCol w:w="826"/>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July 31,</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(140,099)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cash equivalents and restricted cash</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712,192 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during the six months ended July 31, 2023 was $545.7 million, which resulted from net income of $9.0 million, adjusted for non-cash charges of $480.5 million and net cash inflow of $56.2 million from changes in operating assets and liabilities. Non-cash charges primarily consisted of $295.6 million in stock-based compensation expense, $112.9 million of amortization of deferred contract acquisition costs, $56.2 million of depreciation and amortization, $8.3 million of amortization of intangibles assets, $6.3 million of non-cash operating lease costs, and $1.5 million of non-cash interest expense. The net cash inflow from changes in operating assets and liabilities was primarily due to a $152.5 million increase in deferred revenue, an $86.7 million decrease in accounts receivable, net, and a $4.9 million increase in accrued expenses and other liabilities, partially offset by a $122.0 million increase in deferred contract acquisition costs, a $30.2 million decrease in accrued payroll and benefits, a $26.3 million increase in prepaid expenses and other assets, a $6.5 million decrease in operating lease liabilities, and a $3.0 million decrease in accounts payable.</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of $107.8 million during the six months ended July 31, 2023 was primarily due to proceeds from maturities and sales of short-term investments of $250.0 million, partially offset by purchases of property and equipment of $102.7 million, capitalized internal-use software and website development costs of $26.0 million, and purchases of strategic investments of $12.2 million.</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of $57.6 million during the six months ended July 31, 2023 was primarily due to proceeds from our employee stock purchase plan of $45.4 million, capital contributions from non-controlling interests of $8.1 million, and proceeds from the exercise of stock options of $4.1 million.</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Supplemental Guarantor Financial Information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Senior Notes are guaranteed on a senior, unsecured basis by CrowdStrike, Inc., a wholly owned subsidiary of CrowdStrike Holdings, Inc. (the “subsidiary guarantor,” and together with CrowdStrike Holdings, Inc., the “Obligor Group”). The guarantee is full and unconditional and is subject to certain conditions for release. See Note 4, “Debt”, in our Notes to Condensed Consolidated Financial Statements in Part I, Item 1 of this Quarterly Report on Form 10-Q, for a brief description of the Senior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our operations almost entirely through our subsidiaries. Accordingly, the Obligor Group’s cash flow and ability to service the notes will depend on the earnings of our subsidiaries and the distribution of those earnings to the Obligor Group, whether by dividends, loans or otherwise. Holders of the guaranteed registered debt securities will have a direct claim only against the Obligor Group.</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Summarized financial information is presented below for the Obligor Group on a combined basis after elimination of intercompany transactions and balances within the Obligor Group and equity in the earnings from and investments in any non-guarantor subsidiary. The revenue amounts presented in the summarized financial information include all of our condensed consolidated revenue, and there is no intercompany revenue from the non-guarantor subsidiaries. This summarized financial information has been prepared and presented pursuant to Regulation S-X Rule 13-01, “Financial Disclosures about Guarantors and Issuers of Guaranteed Securities” and is not intended to present the financial position or results of operations of the Obligor Group in accordance with U.S. GAAP.</w:t>
      </w:r>
    </w:p>
    <w:tbl>
      <w:tblPr>
        <w:tblW w:w="4710" w:type="dxa"/>
        <w:jc w:val="left"/>
        <w:tblInd w:w="0" w:type="dxa"/>
        <w:tblLayout w:type="fixed"/>
        <w:tblCellMar>
          <w:top w:w="28" w:type="dxa"/>
          <w:left w:w="28" w:type="dxa"/>
          <w:bottom w:w="28" w:type="dxa"/>
          <w:right w:w="28" w:type="dxa"/>
        </w:tblCellMar>
      </w:tblPr>
      <w:tblGrid>
        <w:gridCol w:w="1097"/>
        <w:gridCol w:w="964"/>
        <w:gridCol w:w="969"/>
        <w:gridCol w:w="264"/>
        <w:gridCol w:w="1223"/>
        <w:gridCol w:w="193"/>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July 31, 2023</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1,424,206 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373,008 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1,122,078 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(70,880)</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CrowdStrike</w:t>
            </w:r>
          </w:p>
        </w:tc>
        <w:tc>
          <w:tcPr>
            <w:tcW w:w="14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(22,731)</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527" w:type="dxa"/>
        <w:jc w:val="left"/>
        <w:tblInd w:w="0" w:type="dxa"/>
        <w:tblLayout w:type="fixed"/>
        <w:tblCellMar>
          <w:top w:w="28" w:type="dxa"/>
          <w:left w:w="28" w:type="dxa"/>
          <w:bottom w:w="28" w:type="dxa"/>
          <w:right w:w="28" w:type="dxa"/>
        </w:tblCellMar>
      </w:tblPr>
      <w:tblGrid>
        <w:gridCol w:w="2270"/>
        <w:gridCol w:w="1993"/>
        <w:gridCol w:w="2007"/>
        <w:gridCol w:w="211"/>
        <w:gridCol w:w="976"/>
        <w:gridCol w:w="109"/>
        <w:gridCol w:w="109"/>
        <w:gridCol w:w="109"/>
        <w:gridCol w:w="109"/>
        <w:gridCol w:w="257"/>
        <w:gridCol w:w="1190"/>
        <w:gridCol w:w="187"/>
      </w:tblGrid>
      <w:tr>
        <w:trPr/>
        <w:tc>
          <w:tcPr>
            <w:tcW w:w="2270"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2023</w:t>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(excluding intercompany receivables from non-Guarantors)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3,541,670 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receivables from non-Guarantors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1,443,684 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2,163,942 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2,027,443 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 (excluding intercompany payable to non-Guarantors)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1,417,627 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payable to non-Guarantors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289,242 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Strategic Investments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2019, we agreed to commit up to $10.0 million to a newly formed entity, CrowdStrike Falcon Fund LLC (the “Original Falcon Fund”) in exchange for 50% of the sharing percentage of any distribution by the Original Falcon Fund. In December 2021, we agreed to commit an additional $50.0 million to a newly formed entity, CrowdStrike Falcon Fund II LLC (“Falcon Fund II”) in exchange for 50% of the sharing percentage of any distribution by Falcon Fund II. Further, entities associated with Accel also agreed to commit up to $10.0 million and $50.0 million, respectively, to the Original Falcon Fund and Falcon Fund II (collectively, the “Falcon Funds”), and collectively own the remaining 50% of the sharing percentage of the Falcon Funds. Both Falcon Funds are in the business of purchasing, selling and investing in minority equity and convertible debt securities of privately-held companies that develop applications that have potential for substantial contribution to us and our platform. We are the manager of the Falcon Funds and control their investment decisions and day-to-day operations and accordingly have consolidated each of the Falcon Funds. Each Falcon Fund has a duration of ten years and may be extended for three additional years. At dissolution, the Falcon Funds will be liquidated and the remaining assets will be distributed to the investors based on their respective sharing percentage.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 xml:space="preserve">Contractual Obligations and Commitments </w:t>
      </w:r>
    </w:p>
    <w:p>
      <w:pPr>
        <w:pStyle w:val="TextBody"/>
        <w:bidi w:val="0"/>
        <w:spacing w:lineRule="auto" w:line="288" w:before="18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July 31, 2023, there were no significant changes to our debt obligations related to the Senior Notes or our contractual obligations under our non-cancelable real estate arrangements, as presented in Part II, Item 7, Management’s Discussion and Analysis of Financial Condition and Results of Operations included in our Annual Report on Form 10-K for the fiscal year ended January 31, 2023.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non-cancelable data center commitments totaling $236.4 million as of July 31, 2023, of which $225.3 million has a remaining term in excess of 12 months. We also have non-cancelable purchase commitments with various parties to purchase products and services entered in the normal course of business totaling $133.1 million as of July 31, 2023, of which $126.2 million has a remaining term in excess of 12 months. We expect to fund these obligations with cash flows from operations and cash on our balance sheet.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contractual commitment amounts above are associated with agreements that are enforceable and legally binding. Obligations under contracts, including purchase orders, that we can cancel without a significant penalty are excluded.</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Other Obligations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2021, we entered into a new private pricing addendum with Amazon Web Services (“AWS”), which provides us with cloud computing infrastructure. Under the new pricing addendum, we committed to purchase a minimum of $600.0 million of cloud services from AWS through September 2026. As of July 31, 2023, we have utilized $434.9 million of this commitment. We expect to meet our remaining commitment with AWS.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31, 2023, our unrecognized tax benefits included $4.8 million which were classified as long-term liabilities due to the inherent uncertainty with respect to the timing of future cash outflows associated with our unrecognized tax benefits.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subscription agreements contain standard indemnification obligations. Pursuant to these agreements, we will indemnify, defend, and hold the other party harmless with respect to a claim, suit, or proceeding brought against the other party by a third party alleging that our intellectual property infringes upon the intellectual property of the third party, or results from a breach of our representations and warranties or covenants, or that results from any acts of negligence or willful misconduct. The term of these indemnification agreements is generally perpetual after the execution of the agreement. Typically, these indemnification provisions do not provide for a maximum potential amount of future payments we could be required to make. However, in the past we have not been obligated to make significant payments for these obligations and no liabilities have been recorded for these obligations on our condensed consolidated balance sheets as of July 31, 2023 or January 31, 2023.</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agreed to indemnify our directors and certain executive officers for certain events or occurrences, subject to certain limits, while the officer is or was serving at our request in such capacity. The maximum amount of potential future indemnification is unlimited. However, our director and officer liability insurance policy mitigates our exposure. Historically, we have not been obligated to make any payments for these obligations and no liabilities have been recorded for these obligations on our condensed consolidated balance sheets as of July 31, 2023 or January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were prepared in accordance with U.S GAAP. The preparation of the condensed consolidated financial statements requires our management to make estimates and assumptions that affect the amounts reported in the financial statements and accompanying notes.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estimates we use in the preparation of our condensed consolidated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condensed consolidated financial statements. By their nature, these estimates and judgments are subject to an inherent degree of uncertainty and actual results could differ materially from the amounts reported based on these estimates.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in our critical accounting policies and estimates during the six months ended July 31, 2023, as compared to the critical accounting policies and estimates disclosed in Management’s Discussion and Analysis of Financial Condition and Results of Operations included in our Annual Report on Form 10-K for the year ended January 31, 2023, filed with the SEC on March 9,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both single and multi-year subscription contracts for our solutions. We generally invoice our customers at contract signing prior to commencement of subscription period. Until such time as these amounts are invoiced, they are not recorded in deferred revenue or elsewhere in our condensed consolidated financial statements, and are considered by us to be backlog. As of July 31, 2023, we had backlog of approximately $1.0 billion.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76"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Given the annual budget approval process of many of our customers, we see seasonal patterns in our business. Net new ARR generation is typically greater in the second half of the year, particularly in the fourth quarter, as compared to the first half of the year. In addition, we also experience seasonality in our operating margin, typically with a lower margin in the first half of our fiscal year due to a step up in costs for payroll taxes and annual sales and marketing events. This also impacts the timing of operating cash flow.</w:t>
      </w:r>
    </w:p>
    <w:p>
      <w:pPr>
        <w:pStyle w:val="TextBody"/>
        <w:bidi w:val="0"/>
        <w:spacing w:lineRule="auto" w:line="276"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Employees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31, 2023, we had 7,586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local labor law requirements which may automatically make our employees subject to industry-wide collective bargaining agreements. We have not experienced any work stoppages, and we consider our relations with our employees to be good.</w:t>
      </w:r>
    </w:p>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Corporate Information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offices are located at 206 E. 9th Street, Suite 1400, Austin, Texas 78701 and our telephone number is (888) 512-8906. We are a holding company and all of our business operations are conducted through our subsidiaries, including CrowdStrike, Inc. Our website address is www.crowdstrike.com. Information contained on, or that can be accessed through, our website does not constitute part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 “Description of Business and Significant Accounting Policies”, of our condensed consolidated financial statements included elsewhere in this Quarterly Report on Form 10-Q, for more information about the impact of certain recent accounting pronouncements on our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to our market risks during the three and six months ended July 31, 2023 compared to our disclosures in Part II, Item 7A of our Annual Report on Form 10-K for the fiscal year ended January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 13a–15(e) and Rule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has evaluated the effectiveness of our disclosure controls and procedures as of July 31, 2023. Based on such evaluation of our disclosure controls and procedures as of July 31, 2023, our Chief Executive Officer and Chief Financial Officer concluded that, as of such date, our disclosure controls and procedures were effective at the reasonable assurance level.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identified in connection with the evaluation required by Rule 13a-15(d) and Rule 15d-15(d) of the Exchange Act that occurred during the period covered by this Quarterly Report on Form 10-Q that has materially affected, or is reasonably likely to materially affect, our internal control over financial reporting.</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Inherent Limitations on Effectiveness of Controls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Inherent limitations in all control systems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information regarding legal proceedings and other claims in which we are involved, see Note 8, “Commitments and Contingencies” in our Notes to Condensed Consolidated Financial Statements in Part I, Item 1 of this Quarterly Report on Form 10-Q.</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any claims for which we believe a liability is both probable and reasonably estimable, we record a liability in the period for which it makes this determination. There is no pending or threatened legal proceeding to which we are a party that, in our opinion, is likely to have a material adverse effect on our business and our condensed consolidated financial statements; however, the results of litigation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description of the risks and uncertainties associated with our business is set forth below. You should carefully consider the risks and uncertainties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could decline, and you could lose all or part of your investment.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experienced rapid growth in recent periods, and if we do not manage our future growth, our business and results of operations will be adversely affected.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experienced rapid revenue growth in recent periods and we expect to continue to invest broadly across our organization to support our growth. For example, our headcount grew from 3,394 employees as of January 31, 2021, to 7,586 employees as of July 31, 2023. Although we have experienced rapid growth historically, we may not sustain our current growth rates and our investments to support our growth may not be successful. The growth and expansion of our business will require us to invest significant financial and operational resources and the continuous dedication of our management team. Our future success will depend in part on our ability to manage our growth effectively, which will require us to, among other things: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effectively attract, integrate, and retain a large number of new employees, particularly members of our sales and marketing and research and development teams;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further improve our Falcon platform, including our cloud modules, and IT infrastructure, including expanding and optimizing our data centers, to support our business needs;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enhance our information and communication systems to ensure that our employees and offices around the world are well coordinated and can effectively communicate with each other and our growing base of channel partners and customers;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improve our financial, management, and compliance systems and controls.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a history of losses, and while we have achieved profitability in quarterly periods, we may not be able to achieve or sustain profitability in the future.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each year since our inception, and we may not achieve or maintain profitability in the future. We experienced net losses of $183.2 million, $234.8 million, and $92.6 million for fiscal 2023, fiscal 2022, and fiscal 2021, respectively. As of July 31, 2023, we had an accumulated deficit of $1.1 billion. While we have experienced significant growth in revenue in recent periods, and have achieved profitability during quarterly periods, we cannot assure you when or whether we will reach sustained profitability. We also expect our operating expenses to increase in the future as we continue to invest for our future growth, which will negatively affect our results of operations if our total revenue does not increase. We cannot assure you that these investments will result in substantial increases in our total revenue or improvements in our results of operations. We also have incurred and expect to continue to incur significant additional legal, accounting, and other expenses as a public company. Any failure to increase our revenue as we invest in our business or to manage our costs could prevent us from achieving or maintaining profitability or positive cash flow.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organizations do not adopt cloud-based SaaS-delivered endpoint security solutions, our ability to grow our business and results of operations may be adversely affected.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customer consolidation on our platform,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if we or other SaaS security providers experience security incidents, loss or disclosure of customer data, disruptions in delivery, or other problems, the market for SaaS solutions as a whole, including our security solutions, could be negatively affected. You should consider our business and prospects in light of the risks and difficulties we encounter in this new and evolving market.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increase revenue from existing customers and attract new customers will depend in significant part on our ability to anticipate and respond effectively to rapid technological changes and market developments as well as evolving security threats. The success of our Falcon platform depends on our ability to take such changes into account and invest effectively in our research and development organization to increase the reliability, availability and scalability of our existing solutions and introduce new solutions. If we fail to effectively anticipate, identify or respond to such changes in a timely manner, or at all, our business could be harmed. Even if we adequately fund our research and development efforts there is no guarantee that we will realize a return on such efforts.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Success in delivering enhancements and new solutions depends on several factors, including the timely completion, introduction and market acceptance of the enhancement or new solution, the risk that such enhancement or new solution may have quality or other defects or deficiencies, especially in the early stages of introduction, as well as our ability to seamlessly integrate all of our product and service offerings and develop adequate sales capabilities in new markets. For example, Artificial Intelligence (“AI”) is a core component of our business and we are continuing to incorporate novel uses of AI, including generative AI, into our services. We may encounter new and difficult-to-anticipate risks, challenges, and unintended consequences as a result of our use of AI. For example, there has been increased public scrutiny on potential risks relating to AI, including ethical, legal or operational risks, which could result in reputational harm, legal liability or reduce or delay adoption of our products and services. Failure to effectively deliver, integrate, and manage perceptions with respect to enhancements and new solutions may erode our competitive position, significantly impair our revenue growth, and negatively impact our operating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attract new customers, our future results of operations could be harmed.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as a result of the geopolitical environment, the outbreak of diseases such as COVID-19, volatility in the banking and financial services sector, or inflation (as well as government policies such as raising interest rates in response to inflation), have in the past and may in the future cause our current and prospective customers to delay or cut their overall security and IT operations spending, and such delays or cuts may fall disproportionately on cloud-based security solutions like ours. Economic weakness, customer financial difficulties, and constrained spending on security and IT operations may result in decreased revenue, reduced sales, an increase in multi-phase subscription start dates, shorter terms for customer subscriptions, lengthened sales cycles,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 churn, lower demand for our products, and adversely affect our results of operations and financial conditions. Furthermore, we may need to exercise more flexibility in customer payment terms as customers navigate a more challenging economic environment.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our customers do not renew their subscriptions for our products and add additional cloud modules to their subscriptions, our future results of operations could be harmed.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year, and in the normal course of business, some customers have elected not to renew. In addition, customers that previously signed multi-year subscription contracts may renew for shorter contract subscription lengths, and customers may cease using certain cloud modules altogether. Even if customers choose to renew their subscription of certain cloud modules, they may decline to purchase additional cloud modules or choose not to consolidate onto our Falcon platform. Our customer retention and expansion may decline or fluctuate as a result of a number of factors, including our customers’ satisfaction with our services, our pricing, customer security and networking issues and requirements, our customers’ spending levels, decreases in the number of endpoints to which our customers deploy our solutions, mergers and acquisitions involving our customers, industry developments, competition and general economic and geopolitical conditions. If our efforts to maintain and expand our relationships with our existing customers are not successful, our business, results of operations, and financial condition may materially suffer.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sales cycles can be long and unpredictable, and our sales efforts require considerable time and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recognition is difficult to predict because of the length and unpredictability of the sales cycle for our Falcon platform.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and adds uncertainty to our sales cycle. In addition, uncertain economic conditions may lead to additional scrutiny of budgets by current and prospective customers, which has resulted in, for example, longer sales cycles for products and services, and may result in shifting demand for IT products and services, and slower adoption of new technologies.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face intense competition and could lose market share to our competitors, which could adversely affect our business, financial condition, and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product capabilities, including performance and reliability, of our Falcon platform, including our cloud modules, services, and features compared to those of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and the ability of our competitors, to improve existing products, services, and features, or to develop new ones to address evolving customer needs;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attract, retain, and motivate talented employees;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establish and maintain relationships with channel partners;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strength of our sales and marketing efforts;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acquisitions or consolidation within our industry, which may result in more formidable competitors.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competitors include the following by general category: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legacy antivirus product providers who offer a broad range of approaches and solutions including traditional signature-based anti-virus protection;</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alternative endpoint security providers who generally offer a mix of on-premise and cloud-hosted products that rely heavily on malware-only or application whitelisting techniques;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network security vendors who are supplementing their core perimeter-based offerings with endpoint security solutions;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professional service providers who offer cybersecurity response services.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including with respect to AI. Our competitors may more successfully incorporate AI into their products, gain or leverage superior access to certain AI technologies, and achieve higher market acceptance of their AI solutions. Conditions in our market could also change rapidly and significantly due to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platform. Furthermore, even if the functionality offered by other security and IT operations providers is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Competitive pricing pressure may reduce our gross profits and adversely affect our financial results.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The cybersecurity market remains very competitive, and competition may further increase in the future. Competitors may reduce the price of products or subscriptions that compete with ours or may bundle them with other products and subscriptions.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our solutions fail or are perceived to fail to detect or prevent incidents or have or are perceived to have defects, errors, or vulnerabilities, our brand and reputation would be harmed, which would adversely affect our business and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may contain defects or errors that are not detected until after deployment.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solutions, our solutions could be or become vulnerable to security incidents (both from intentional attacks and accidental causes) that cause them to fail to secure endpoints and detect and block attacks.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Moreover, as our cloud native security platform is adopted by an increasing number of enterprises and governments, individuals and organizations behind advanced cyberattacks may intensify their efforts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could result in personally-identifiable information and other customer data being 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or if the attack would have otherwise been mitigated or prevented if the customer had fully deployed aspects of our Falcon platform.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pStyle w:val="TextBody"/>
        <w:bidi w:val="0"/>
        <w:spacing w:lineRule="auto" w:line="288" w:before="240" w:after="283"/>
        <w:jc w:val="left"/>
        <w:rPr/>
      </w:pPr>
      <w:r>
        <w:rPr>
          <w:rFonts w:ascii="Times New Roman;sans-serif" w:hAnsi="Times New Roman;sans-serif"/>
          <w:b/>
          <w:i/>
          <w:color w:val="000000"/>
          <w:sz w:val="20"/>
        </w:rPr>
        <w:t>As a cybersecurity provider, we have been, and expect to continue to be, a target of cyberattacks. If our or our service providers</w:t>
      </w:r>
      <w:r>
        <w:rPr>
          <w:color w:val="000000"/>
        </w:rPr>
        <w:t xml:space="preserve">’ </w:t>
      </w:r>
      <w:r>
        <w:rPr>
          <w:rFonts w:ascii="Times New Roman;sans-serif" w:hAnsi="Times New Roman;sans-serif"/>
          <w:b/>
          <w:i/>
          <w:color w:val="000000"/>
          <w:sz w:val="20"/>
        </w:rPr>
        <w:t>internal networks, systems, or data are or are perceived to have been compromised, our reputation may be damaged and our financial results may be negatively affected.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Such efforts may also intensify if geopolitical tensions increase. We are also susceptible to inadvertent compromises of our systems and data, including those arising from process, coding, or human errors. We also utilize third-party service providers to, among other things, host, transmit, or otherwise process electronic data in connection with our business activities, including our supply chain, operations, and communications. Our third-party service providers and other vendors have faced and may continue to face cyberattacks, compromises, interruptions in service, or other security incidents from a variety of sources. A successful attack or other incident that results in an interruption of service or that compromises our or our service providers’ internal networks, systems, or data could have a significant negative effect on our operations, reputation, financial resources,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It is virtually impossible for us to entirely eliminate the risk of such attacks,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any or all of which could damage our relationships with our existing customers and could have a negative effect on our ability to attract and retain new customers. We have expended, and anticipate continuing to expend, significant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factors, many of which are beyond our control, can affect the delivery, availability, and the performance of our Falcon platform:</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development and maintenance of the infrastructure of the internet;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performance and availability of third-party providers of cloud infrastructure services, such as AWS, with the necessary speed, data capacity and security for providing reliable internet access and services;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physical or electronic break-ins, acts of war or terrorism, human error or interference (including by disgruntled employees, former employees or contractors) and other catastrophic events;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cyberattacks, including denial of service attacks, targeted at us, our data centers, or the infrastructure of the internet;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failure by us to maintain and update our cloud infrastructure to meet our data capacity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errors, defects or performance problems in our software, including third-party software incorporated in our software;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improper deployment or configuration of our solutions;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failure of our redundancy systems, in the event of a service disruption at one of our data centers, to provide failover to other data centers in our data center network;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failure of our disaster recovery and business continuity arrangements.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While we do not consider them to have been material,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rely on our key technical, sales and management personnel to grow our business, and the loss of one or more key employees could harm our business.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Leadership transitions can be inherently difficult to manage. In particular, they can cause operational and administrative inefficiencies, and could impact relationships with key customers and vendors. If Mr. Kurtz, or one or more of our key employees, or members of our management team resigns or otherwise ceases to provide us with their service, our business could be harmed.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attract and retain qualified personnel, our business could be harmed.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is also significant competition for personnel with the skills and technical knowledge that we require across our technology, cyber, sales, professional services, and administrative support functions. Competition for these personnel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More generally, the technology industry is subject to substantial and continuous competition for engineers with high levels of experience in designing, developing and managing software and Internet-related services.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job candidates and existing employees often consider the value of the equity awards they receive in connection with their employment. Volatility or lack of performance in our stock price may also affect our ability to attract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Any failure to successfully attract, integrate or retain qualified personnel to fulfill our current or future needs could adversely affect our business,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do not effectively expand and train our direct sales force, we may be unable to add new customers or increase sales to our existing customers, and our business will be adversely affected.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Because we recognize revenue from subscriptions to our platform over the term of the subscription, downturns or upturns in new business will not be immediately reflected in our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recognize revenue from customers ratably over the terms of their subscription, which is generally one year.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Accordingly, the effect of downturns or upturns in new sales and potential changes in our rate of renewals may not be fully reflected in our results of operations until future periods. We may also be unable to timely reduce our cost structure in line with a significant deterioration in sales or renewals that would adversely affect our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results of operations may fluctuate significantly, which could make our future results difficult to predict and could cause our results of operations to fall below expectations.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attract new and retain existing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budgeting cycles, seasonal buying patterns, and purchasing practices of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economic difficulties confronting our customers, which may impact the number of modules or endpoint deployments they are willing or able to purchase;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length of our sales cycles;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customer or channel partner requirements or market needs;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the growth rate of the cloud-based SaaS-delivered endpoint security solutions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success of new product and service introductions by us or our competitors or any other competitive developments, including consolidation among our customers or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level of awareness of cybersecurity threats, particularly advanced cyberattacks, and the market adoption of our Falcon platform;</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successfully expand our business domestically and internationally;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decisions by organizations to purchase security solutions from larger, more established security vendors or from their primary IT equipment vendors;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our pricing policies or those of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disruption in our relationship with channel partners;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insolvency or credit difficulties confronting our customers, affecting their ability to purchase or pay for our solutions;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significant security breaches of, technical difficulties with or interruptions to, the use of our Falcon platform;</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extraordinary expenses such as litigation or other dispute-related settlement payments or outcomes;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future accounting pronouncements or changes in our accounting policies or practices;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negative media coverage or publicity;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political events;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amount and timing of operating costs (including new hires) and capital expenditures related to the expansion of our business;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increases or decreases in our expenses caused by fluctuations in foreign currency exchange rates;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significant natural disasters and other catastrophic events, including the occurrence of a contagious disease or illness, such as COVID-19.</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our business and revenues are impacted by global economic and geopolitical conditions. Volatile financial markets, bank failures, inflation, rising interest rates, supply chain challenges, political turmoil and other disruptions to global and regional economies and markets continue to add uncertainty to macroeconomic conditions. Any continued or further uncertainty, weakness or deterioration in economic conditions or the geopolitical environment could harm our business and results of operations. 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 of many of our customers. In addition, we also experience seasonality in our operating margin, typically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not able to maintain and enhance our CrowdStrike and Falcon brand and our reputation as a provider of high-efficacy security solutions, our business and results of operations may be adversely affected.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maintaining and enhancing our CrowdStrike and Falcon brand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 will depend on a number of factors, including our marketing efforts, our ability to continue to develop additional cloud modules and features for our Falcon platform, our ability to successfully differentiate our Falcon platform from competitive cloud-based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security solutions and, ultimately, our ability to detect and stop breaches. Although we believe it is important for our growth, our brand promotion activities may not be successful or yield increased revenue.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private and public customers as well as assist in analyzing and remediating high profile cyberattacks, which sometimes involve nation-state actors. Our work with such customers has exposed us to publicity and media coverage. Changing political environments in the United States and abroad may amplify the media and political scrutiny we face. Negative publicity about us, including about our management, the efficacy and reliability of our Falcon platform, our products offerings, our professional services, and the customers we work with, even if inaccurate, could adversely affect our reputation and brand.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direct sales force, we rely on our channel partners to sell and support our Falcon platform. The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international operations and plans for future international expansion expose us to significant risks, and failure to manage those risks could adversely impact our business.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derived approximately 28%, 28%, 30% and 31% of our total revenue from our international customers for fiscal 2021, fiscal 2022, fiscal 2023 and the six months ended July 31, 2023,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greater difficulty in negotiating contracts with standard terms, enforcing contracts and managing collections, and longer collection periods;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higher costs of doing business internationally, including costs incurred in establishing and maintaining office space and equipment for our international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management communication and integration problems resulting from cultural and geographic dispersion;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risks associated with trade restrictions and foreign legal requirements, including any importation, certification, and localization of our Falcon platform that may be required in foreign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greater risk of unexpected changes in regulatory practices, tariffs, and tax laws and treaties;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compliance with anti-bribery laws, including, without limitation, compliance with the U.S. Foreign Corrupt Practices Act of 1977, as amended, or FCPA, the U.S. Travel Act and the U.K Bribery Act 2010, or Bribery Act, violations of which could lead to significant fines, penalties, and collateral consequences for our company;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heightened risk of unfair or corrupt business practices in certain geographies and of improper or fraudulent sales arrangements that may impact financial results and result in restatements of, or irregularities in, financial statements;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uncertainty of protection for intellectual property rights in some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general economic and political conditions in these foreign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foreign exchange controls or tax regulations that might prevent us from repatriating cash earned outside the United States;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political and economic instability in some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double taxation of our international earnings and potentially adverse tax consequences due to changes in the tax laws of the United States or the foreign jurisdictions in which we operate;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unexpected costs for the localization of our services, including translation into foreign languages and adaptation for local practices and regulatory requirements (including, but not limited to data localization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requirements to comply with foreign privacy, data protection, and information security laws and regulations and the risks and costs of noncompliance;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greater difficulty in identifying, attracting and retaining local qualified personnel, and the costs and expenses associated with such activities;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greater difficulty identifying qualified channel partners and maintaining successful relationships with such partners;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differing employment practices and labor relations issues;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difficulties in managing and staffing international offices and increased travel, infrastructure, and legal compliance costs associated with multiple international locations.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nearly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Australian Dollar, British Pound, Canadian Dollar, Euro, Indian Rupee, and Japanese Yen;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depends, in part, on sales to government organizations, and significant changes in the contracting or fiscal policies of such government organizations could have an adverse effect on our business and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U.S. federal, state and local government sales as well as foreign government sales are subject to a number of challenges and risks that may adversely impact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to such government entities include, but are not limited to, the following risks: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selling to governmental agencies can be highly competitive, expensive and time consuming, often requiring significant upfront time and expense without any assurance that such efforts will generate a sale;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be required to obtain personnel security clearances and facility clearances to perform on classified contracts for government agencies, and there is no guarantee that we will be able to obtain or maintain such clearances;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government certification, software supply chain, or source code transparency requirements applicable to us or our products are constantly evolving and, in doing so, restrict our ability to sell to certain government customers until we have attained the new or revised certification or meet other applicable requirements, which we are not guaranteed to do. For example, although we are currently certified under the U.S. Federal Risk and Authorization Management Program, or FedRAMP, such certification is costly to maintain and if we lose our certification it would restrict our ability to sell to government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government product requirements are often technically complex and assessors may require us to make costly changes to our products to meet such requirements without any assurance that such changes will generate a sale;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government demand and payment for our Falcon platform may be impacted by public sector budgetary cycles and funding authorizations, with funding reductions or delays in the government appropriations or procurement processes adversely affecting public sector demand for our Falcon platform, including as a result of abrupt events such as war, incidents of terrorism, natural disasters, and public health concerns or epidemics;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government attitudes towards us as a company, our platform or the capabilities that we offer as a viable software solution may change, and reduce interest in our products and services as acceptable solutions;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the political environment, including before or after a change to the leadership within the government administration, can create uncertainty or changes in policy or priorities and reduce available funding for our products and services;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third parties may compete intensely with us on pending, new or existing contracts with government products, which can also lead to appeals, disputes, or litigation relating to government procurement, including but not limited to bid protests by unsuccessful bidders on potential or actual awards of contracts to us or our partners by the government;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even if we are awarded a sale, the terms of such contracts may be unusually burdensome;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 foregoing risks could cause governments and governmental agencies to delay or refrain from purchasing our solutions in the future or otherwise have an adverse effect on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timely and cost-effectively scale and adapt our existing technology to meet our customers’ performance and other requirements.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it takes a significant amount of time to plan, develop and test improvements to our technologies and infrastructure, and we may not be able to accurately forecast demand or predict the results we will realize from such improvements. To the extent that we do not effectively scale our operations to meet the needs of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maintain customer satisfaction depends in part on the quality of our customer support.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larger organizations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need to raise additional capital to expand our operations and invest in new solutions, which capital may not be available on terms acceptable to us, or at all, and which could reduce our ability to compete and could harm our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our existing cash and cash equivalents will be sufficient to meet our anticipated cash needs for working capital and capital expenditures for at least the next 12 months. Retaining or expanding our current levels of personnel and products offerings may require additional funds to respond to business challenges, including the need to develop new products and enhancements to our Falcon platform, improve our operating infrastructure, or acquire complementary businesses and technologies. Our failure to raise additional capital or generate the significant capital necessary to expand our operations and invest in new products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Class A common stock could decline. If we engage in additional debt financing, the holders of such debt would have priority over the holders of our Class A common stock, and we may be required to accept terms that further restrict our operations or our ability to incur additional indebtedness or to take other actions that would otherwise be in the interests of the debt holders. Any of the above could harm our business,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cannot maintain our company culture as we grow, we could lose the innovation, teamwork, passion, and focus on execution that we believe contribute to our success and our business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Public health crises, such as the COVID-19 pandemic could adversely affect our business, operating results and future revenue.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public health crises, such as the COVID-19 pandemic, which has impacted and continues to impact worldwide economic activity and financial markets. We have previously taken and may in the future take precautionary measures intended to mitigate the spread of the COVID-19 virus and minimize the risk to our employees, customers, partners, and the communities in which we operate to respond to developments relating to the pandemic, including developments relating to infection rates, disease variants, vaccination progress and efficacy, and evolving public health guidance. These measures could, for example, negatively affect our customer success efforts, delay and lengthen our sales cycles, impact our sales and marketing efforts, slow our international expansion efforts, increase cybersecurity risks, and create operational or other challenges, any of which could harm our business and results of operations.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public health crises may disrupt the operations of our customers and partners for an indefinite period of time. For example, the COVID-19 pandemic adversely affected economies and financial markets globally. Uncertainty caused by public health crises could lead to prolonged economic downturns, which could result in a larger customer churn than we can anticipate and reduce or delay demand for our products and services, in which case our revenues could be significantly impacted. The lasting impact of the public health crises, including the COVID-19 pandemic, may also exacerbate other risks discussed in this “Risk Factors” section and elsewhere in this Quarterly Report on Form 10-Q.</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rely on a limited number of suppliers for certain components of the equipment we use to operate our cloud platform. Supply chain disruptions could delay our ability to expand or increase the capacity of our global data center network, replace defective equipment in our existing data centers and impact our operating costs.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a limited number of suppliers for several components of the equipment we use to operate our cloud platform and provide services to our customers. We generally purchase these components on a purchase order basis, and do not have long-term contracts guaranteeing supply. Our reliance on these suppliers exposes us to risks, including reduced control over production costs and constraints based on the then current availability, terms and pricing of these components. If we experience disruption or delay from our suppliers, we may not be able to obtain supplies or components from alternative suppliers on a timely basis or on terms that are favorable to us, if at all. The technology industry has recently experienced widespread component shortages and delivery delays, including as a result of geopolitical tensions, the COVID-19 pandemic and natural disasters. While we have taken steps to mitigate our supply chain risk, supply chain disruptions and delays could nevertheless adversely impact our operations by, among other things, causing us to delay opening new data centers, delay increasing capacity or replacing defective equipment at existing data centers, and experience increased operating costs.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Intellectual Property, Legal, and Regulatory Matters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success of our business depends in part on our ability to protect and enforce our intellectual property rights.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Claims by others that we infringe their proprietary technology or other intellectual property rights could result in significant costs and substantially harm our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For example, in March 2022, Webroot, Inc. and Open Text, Inc. filed a lawsuit against us alleging that certain of our products infringe on patents held by them.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effort and expense and may ultimately not be successful. Additionally, we may be unable to continue to offer our affected services or features while developing such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effort and expense and may ultimately not be successful. Additionally, we may be unable to continue to offer our affected products, subscriptions or services, while developing such technology. Furthermore, a successful claimant could secure a judgment or we may agree to a settlement that prevents us from distributing certain products, providing certain subscriptions or performing certain services. Any such judgment or settlement could also require us to pay substantial damages, royalties or other fees. Any of these events could harm our business, financial condition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license technology from third parties, and our inability to maintain those licenses could harm our business.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comply with stringent, complex and evolving laws, rules, regulations and standards in many jurisdictions, as well as contractual obligations, relating to data privacy and security. Ensuring that our collection, use, transfer, storage and other processing of personal information complies with such requirements can increase operating costs, impact the development of new products or services, and reduce operational efficiency.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there are numerous federal, state and local data privacy and security laws, rules, and regulations governing the collection, sharing, use, retention, disclosure, security, transfer, storage and other processing of personal information, including federal and state data privacy and security laws, data breach notification laws, and data disposal laws. For example, at the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security), as well as the Electronic Communication Privacy Act, the Computer Fraud and Abuse Act, the Health Insurance Portability and Accountability Act, and the Gramm Leach Bliley Act. The United States Congress also has considered, is currently considering, and may in the future consider, various proposals for comprehensive federal data privacy and security legislation, to which we may become subject if passed. If we are found to have violated applicable laws or regulations, we also may be subject to penalties, fines, damages, injunctions or other outcomes that may adversely affect our operations and financial results.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the state level, we are subject to laws and regulations such as the California Consumer Privacy Act, as amended by the California Privacy Rights Act (collectively, the “CCPA”). The CCPA broadly defines personal information and gives California residents expanded privacy rights and protections, such as affording them the right to access and request deletion of their information and to opt out of certain sharing and sales of personal information. The CCPA also prohibits covered businesses from discriminating against California residents for exercising any of their CCPA rights. The CCPA provides for severe civil penalties and statutory damages for violations and a private right of action for certain data breaches that result in the loss of unencrypted personal information. This private right of action is expected to increase the likelihood of, and risks associated with, data breach litigation. Numerous other states have also enacted, or are in the process of enacting or considering, comprehensive state-level data privacy and security laws, rules, and regulations that share similarities with the CCPA. At least four such laws, in Virginia, Colorado, Connecticut, and Utah, have taken effect, or are scheduled to take effect, in 2023. Moreover, laws in all 50 U.S. states require businesses to provide notice under certain circumstances to consumers whose personal information has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disclosed as a result of a data breach. These state statutes, and other similar state or federal laws that may be enacted in the future, may require us to modify our data processing practices and policies, incur substantial compliance-related costs and expenses, and otherwise suffer adverse impacts on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Internationally, virtually every jurisdiction in which we operate has established its own data privacy and security legal framework with which we must comply. For example, we are required to comply with the European Union (“EU”) General Data Protection Regulation (“GDPR”), which imposes stringent obligations regarding the collection, control, use, sharing, disclosure and other processing of personal data. Additionally, following the United Kingdom’s withdrawal from the EU, we also are subject to the U.K. General Data Protection Regulation (“U.K. GDPR”), a version of the GDPR as implemented into the laws of the United Kingdom (“U.K.”). While the GDPR and U.K. GDPR remain substantially similar for the time being, the U.K. government has announced that it would seek to chart its own path on data protection and reform its relevant laws, including in ways that may differ from the GDPR. While these developments increase uncertainty with regard to data protection regulation in the U.K., even in their current, substantially similar form, the GDPR and U.K. GDPR can expose businesses to divergent parallel regimes that may be subject to potentially different interpretations and enforcement actions for certain violations and related uncertainty. Failure to comply with the GDPR or the U.K. GDPR can result in significant fines and other liability, including, under the GDPR, fines of up to EUR 20 million (or GBP 17.5 million under the U.K. GDPR) or four percent (4%) of annual global revenue, whichever is greater. The cost of compliance, and the potential for fines and penalties for non-compliance, with GDPR and U.K. GDPR may have a significant adverse effect on our business and operations.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Legal developments in the European Economic Area (“EEA”), including recent rulings from the Court of Justice of the European Union (“CJEU”) and from various EU member state data protection authorities, have created complexity and uncertainty regarding processing and transfers of personal data from the EEA to the United States and other so-called third countries outside the EEA, including in the context of website cookies. Similar complexities and uncertainties also apply to transfers from the U.K. to third countries. While we have taken steps to mitigate the impact on us, such as implementing the European Commission’s standard contractual clauses (“SCCs”), the efficacy and longevity of these mechanisms remains uncertain. Moreover, in 2021, the European Commission adopted new SCCs, which impose on companies additional obligations relating to personal data transfers out of the EEA, including the obligation to update internal privacy practices, conduct transfer impact assessments and, as required, implement additional security measures. The new SCCs may increase the legal risks and liabilities under EU laws associated with cross-border data transfers, and result in material increased compliance and operational costs. In March 2022, the U.S. and EU announced a new regulatory regime, the EU-U.S. Data Privacy Framework, and on July 10, 2023, the European Commission adopted an adequacy decision concluding that the U.S. ensures an adequate level of protection for personal data transferred from the EU to the U.S. under the EU-U.S. Data Privacy Framework; however, such new adequacy decision is likely to face challenge at the CJEU. Moreover, although the U.K. currently has an adequacy decision from the European Commission, such that SCCs are not required for the transfer of personal data from the EEA to the U.K., that decision will sunset in June 2025 unless extended and it may be revoked in the future by the European Commission if the U.K. data protection regime is reformed in ways that deviate substantially from the GDPR. Adding further complexity for international data flows, in March 2022, the U.K. adopted its own International Data Transfer Agreement (“IDTA”) for transfers of personal data out of the U.K. to so-called third countries, as well as an international data transfer addendum (U.K. Addendum) that can be used with the SCCs for the same purpose. The EU has also proposed legislation that would regulate non-personal data and establish new cybersecurity standards, and other countries, including the U.K., may similarly do so in the future. If we are otherwise unable to transfer data, including personal data, between and among countries and regions in which we operate, it could affect the manner in which we provide our services, the geographical location or segregation of our relevant systems and operations, and could adversely affect our financial results. While we have implemented new controls and procedures designed to comply with the requirements of the GDPR, U.K. GDPR and the data privacy and security laws of other jurisdictions in which we operate, such procedures and controls may not be effective in ensuring compliance or preventing unauthorized transfers of personal data.</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while we strive to publish and prominently display privacy policies that are accurate, comprehensive, and compliant with applicable laws, rules regulations and industry standards, we cannot ensure that our privacy policies and other statements regarding our practices will be sufficient to protect us from claims, proceedings, liability or adverse publicity relating to data privacy and security. Although we endeavor to comply with our privacy policies, we may at times fail to do so or be alleged to have failed to do so. If our public statements about our use, collection, disclosure and other processing of personal information, whether made through our privacy policies, information provided on our website, press statements or otherwise, are alleged to be deceptive, unfair or misrepresentative of our actual practices, we may be subject to potential government or legal investigation or action, including by the Federal Trade Commission or applicable state attorneys general.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compliance efforts are further complicated by the fact that data privacy and security laws, rules, regulations and standards around the world are rapidly evolving, may be subject to uncertain or inconsistent interpretations and enforcement, and may conflict among various jurisdictions. Any failure or perceived failure by us to comply with our privacy policies, or applicable data privacy and security laws, rules, regulations, standards, certifications or contractual obligations, or any compromise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that results in unauthorized access to, or unauthorized loss, destruction, use, modification, acquisition, disclosure, release or transfer of personal information, may result in requirements to modify or cease certain operations or practices, the expenditure of substantial costs, time and other resources, proceedings or actions against us, legal liability, governmental investigations, enforcement actions, claims, fines, judgments, awards, penalties, sanctions and costly litigation (including class actions). Any of the foregoing could harm our reputation, distract our management and technical personnel, increase our costs of doing business, adversely affect the demand for our products and services, and ultimately result in the imposition of liability, any of which could have a material adverse effect on our business, financial condition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Failure to comply with laws and regulations applicable to our business could subject us to fines and penalties and could also cause us to lose customers or negatively impact our ability to contract with customers, including those in the public sector.</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regulation by various federal, state, local and foreign governmental agencies, including agencies responsible for monitoring and enforcing data protection, data privacy and data security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Increased scrutiny of technologies like AI may also become subject to regulation under new laws or new applications of existing laws, such as the AI Act being considered in the EU. Noncompliance by us, our employees, representatives, contractors, channel partners, agents, intermediaries, or other third parties with applicable regulations or requirements could subject us to: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investigations, enforcement actions and sanctions;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mandatory changes to our Falcon platform;</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disgorgement of profits, fines and damages;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civil and criminal penalties or injunctions;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claims for damages by our customers or channel partners;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termination of contracts;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loss of intellectual property rights;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loss of our license to do business in the jurisdictions in which we operate;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temporary or permanent debarment from sales to government organizations.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customers, including those in the public sector, could result in reduced sales of our products, substantial product inventory write-offs, reputational damage, penalties, and other sanctions, any of which could harm our business, reputation, and results of operations.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laws and regulations, including governmental export and import controls, sanctions, and anti-corruption laws, that could impair our ability to compete in our markets and subject us to liability if we are not in full compliance with applicable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laws and regulations, including governmental export controls, that could subject us to liability or impair our ability to compete in our markets. Our products are subject to U.S. export controls, including the U.S. Department of Commerce’s Export Administration Regulations, and we and our employees, representatives, contractors, agents, intermediaries, and other third parties are also subject to various economic and trade sanctions regulations administered by the U.S. Treasury Department’s Office of Foreign Assets Control. We incorporate standard encryption algorithms into our products, which, along with the underlying technology, may be exported outside of the U.S. only with the required export authorizations, including by license, license exception or other appropriate government authorizations, which may require the filing of an encryption registration and classification request. Furthermore, U.S. export control laws and economic sanctions prohibit the shipment of certain cloud-based solutions to countries, governments, and persons targeted by U.S. sanctions. </w:t>
      </w:r>
    </w:p>
    <w:p>
      <w:pPr>
        <w:pStyle w:val="TextBody"/>
        <w:bidi w:val="0"/>
        <w:spacing w:lineRule="auto" w:line="26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collect information about cyber threats from open sources, intermediaries, and third parties, which we use and make available to our customers in our threat industry publications. Although we take precautions and have implemented certain procedures to prevent our information collection practices and services from being provided in violation of applicable laws and regulations, our information collection practices and services may have been in the past, and could in the future be, provided in violation of such laws and regulations. In addition, we cannot assure you that third parties, many of whom we do not control, have complied with all such laws or regulations. Failure by our employees, representatives, contractors, agents, intermediaries, or other third parties to comply with such laws and regulations in the collection of this information could adversely affect us, through reputational harm, loss of access to certain markets, government investigations, and civil and criminal penalties.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Various countries regulate the import of certain encryption technology, including through import permit and license requirements, and have enacted laws that could limit our ability to distribute our products or could limit our customers’ ability to implement our products in those countries. Obtaining the necessary authorizations, including any required license, for a particular transaction may be time consuming, is not guaranteed and may result in the delay or loss of sales opportunities. Changes in our products or changes in export and import regulations may create delays in the introduction of our products into international markets, prevent our customers with international operations from deploying our products globally or, in some cases, prevent the export or import of our products to certain countries, governments or persons altogether. Any promulgation of new regulations or change in export or import regulations, economic sanctions or related legislation, the enforcement or scope of existing regulations, or the countries, governments, persons or technologies targeted by such regulations, could result in decreased use of our products by, or in our decreased ability to export or sell our products to, existing or potential customers. Any decreased use of our products or limitation on our ability to export or sell our products would likely adversely affect our business, results of operations, and financial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the FCPA, the Bribery Act, and other anti-corruption, sanctions, anti-bribery, anti-money laundering and similar laws in the United States and other countries in which we conduct activities. Anti-corruption and anti-bribery laws, which have been enforced aggressively and are interpreted broadly, prohibit companies and their employees, agents, intermediaries, and other third parties from promising, authorizing, making or offering improper payments or other benefits to government officials and others in the private sector. We leverage third parties, including intermediaries, agents, and channel partners, to conduct our business in the U.S. and abroad, to sell subscriptions to our Falcon platform and to collect information about cyber threats. We and these third-parties may have direct or indirect interactions with officials and employees of government agencies or state-owned or affiliated entities and we may be held liable for the corrupt or other illegal activities of these third-party business partners and intermediaries, our employees, representatives, contractors, channel partners, agents, intermediaries, and other third parties, even if we do not authorize such activities. While we have policies and procedures to address compliance with the FCPA, the Bribery Act and other anti-corruption, sanctions, anti-bribery, anti-money laundering and similar laws and regulations, we cannot assure you that they will be effective, or that all of our employees, representatives, contractors, channel partners, agents, intermediaries, or other third parties will not take or have not taken actions, in violation of our policies and applicable law, for which we may be ultimately held responsible. As we increase our international sales and business, our risks under these laws may increase. Noncompliance with these laws and regulations, whether by us or third parties we conduct business with, could subject us to investigations, severe criminal or civil sanctions, settlements, prosecution, loss of export privileges, suspension or debarment from U.S. and non-U.S. government contracts, other enforcement actions, disgorgement of profits, significant fines, damages, other civil and criminal penalties or injunctions, whistleblower complaints, adverse media coverage and other consequences. Any investigations, actions or sanctions could harm our reputation, business, results of operations and financial condition.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Some of our technology incorporates “open source” software, which could negatively affect our ability to sell our Falcon platform and subject us to possible litigation.</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licensors generally do not provide warranties or other contractual protections regarding infringement claims or the quality of the code and they can change the license terms on which they offer the open source software. Many of the risks associated with use of open source software cannot be eliminated and could negatively affect our business. In addition, the wide availability of source code used in our solutions could expose us to security vulnerabilities.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resulting in time-consuming and costly litigation;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diverting management’s time and attention from developing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requiring us to pay monetary damages or enter into royalty and licensing agreements that we would not normally find acceptable;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causing delays in the deployment of our Falcon platform or service offerings to our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requiring us to stop offering certain services or features of our Falcon platform;</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requiring us to redesign certain components of our Falcon platform using alternative non-infringing or non-open source technology, which could require significant effort and expense;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requiring us to disclose our software source code and the detailed program commands for our software;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requiring us to satisfy indemnification obligations to our customers.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provide service level commitments under some of our customer contracts. If we fail to meet these contractual commitments, we could be obligated to provide credits for future service and our business could suffer.</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If we are unable to meet our stated service level commitments or if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sheets for such commitments. Our revenue, other results of operations and financial condition could be harmed if we suffer performance issues or downtime that exceeds the service level commitments under our agreements with our customers.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currently, and may in the future become, involved in litigation that may adversely affect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regularly subject to claims, suits, and government investigations and other proceedings including patent, product liability, class action, whistleblower, personal injury, property damage, labor and employment (including allegations of wage and hour violations), commercial disputes, compliance with laws and regulatory requirements and other matters, and we may become subject to additional types of claims, suits, investigations and proceedings as our business develops.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condensed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is subject to the risks of warranty claims, product returns,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be subject to liability claims for damages related to errors or defects in our solutions.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do not cover our indemnification obligations as described in the section titled “Management’s Discussion and Analysis of Financial Condition and Results of Operations—Indemnification” and they may not fully or effectively protect us from claims as a result of federal, state, or local laws or ordinances, or unfavorable judicial decisions in the United States or other countries. The sale and support of our products also entails the risk of product liability claims.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not to date received any indemnification claims from third parties. However, as we continue to grow, the possibility of these claims against us will increase.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divert management’s time and other resources, and harm our business and reputation. We offer our Falcon Complete customers a limited warranty, subject to certain conditions. While we maintain insurance relating to our warranty, we cannot be certain that our insurance coverage will be adequate to cover such claims, that such insurance will continue to be available to us on commercially reasonable terms, or at all, or that any insurer will not deny coverage as to any claim.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market price of our Class A common stock may be volatile regardless of our operating performance, and you could lose all or part of your investment.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the prices at which our Class A common stock will trade. The market price of our Class A common stock depends on a number of factors, including those described in this “Risk Factors” section, many of which are beyond our control and may not be related to our operating performance. These fluctuations could cause you to lose all or part of your investment in our Class A common stock. Factors that could cause fluctuations in the market price of our Class A common stock include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actual or anticipated changes or fluctuations in our results of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financial projections we may provide to the public, any changes in these projections or our failure to meet these projections;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announcements by us or our competitors of new products or new or terminated significant contracts, commercial relationships or capital commitments;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industry or financial analyst or investor reaction to our press releases, other public announcements and filings with the SEC;</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rumors and market speculation involving us or other companies in our industry;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price and volume fluctuations in the overall stock market from time to time;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operating performance and stock market valuations of other technology companies generally, or those in our industry in particular;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failure of industry or financial analysts to maintain coverage of us, changes in financial estimates by any analysts who follow our company, or our failure to meet these estimates or the expectations of investors;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actual or anticipated developments in our business or our competitors’ businesses or the competitive landscape generally;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litigation involving us, our industry or both, or investigations by regulators into our operations or those of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developments or disputes concerning our intellectual property rights or our solutions, or third-party proprietary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announced or completed acquisitions of businesses or technologies by us or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new laws or regulations or new interpretations of existing laws or regulations applicable to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major changes in our management or our board of directors, particularly with respect to Mr. Kurtz;</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effects of public health crises, pandemics and epidemics, such as COVID-19;</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general economic conditions and slow or negative growth of our markets;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other events or factors, including those resulting from war, incidents of terrorism or responses to these events.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have an adverse effect on our business,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Sales of substantial amounts of our Class A common stock in the public markets, or the perception that they might occur, could reduce the price that our Class A common stock might otherwise attain and may dilute your voting power and your ownership interest in us.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Class A common stock in the public market, including shares of Class A stock that have been converted from shares of Class B common stock, and particularly sales by our directors, executive officers and significant stockholders, or the perception that these sales could occur, could adversely affect the market price of our Class A common stock. As of August 15, 2023, we had 226,056,362 shares of Class A common stock outstanding and 12,731,839 shares of Class B common stock outstanding.</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certain holders of our Class B common stock are entitled to rights with respect to registration of these shares under the Securities Act pursuant to our amended and restated registration rights agreement. If these holders of our Class B common stock, by exercising their registration rights, sell a large number of shares, they could adversely affect the market price for our Class A common stock.</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also issue our shares of Class A common stock or securities convertible into shares of our Class A common stock from time to time in connection with a financing, acquisition, investments or otherwise. Any such issuance could result in substantial dilution to our existing stockholders and cause the market price of our Class A common stock to decline.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industry or financial analysts do not publish research or reports about our business, or if they issue inaccurate or unfavorable research regarding our Class A common stock, our stock price and trading volume could decline.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will be influenced by the research and reports that industry or financial analysts publish about us or our business. We do not control these analysts or the content and opinions included in their reports.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Class A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dual class structure of our common stock has the effect of concentrating voting control with those stockholders who held our capital stock (or options or other securities convertible into or exercisable for our capital stock) prior to the completion of our initial public offering, including our executive officers, employees, directors, principal stockholders, and their affiliates, which will limit your ability to influence the outcome of matters submitted to our stockholders for approval.</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Class B common stock has 10 votes per share, and our Class A common stock has one vote per share. The dual class structure of our common stock has the effect of concentrating voting control with those stockholders who held our capital stock (or options or other securities convertible into or exercisable for our capital stock) prior to our initial public offering, including our executive officers, employees, directors, principal stockholders, and their affiliates, which will limit your ability to influence the outcome of matters submitted to our stockholders for approval, including the election of our directors and the approval of any change in control transaction. Future transfers by holders of Class B common stock will generally result in those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converting to Class A common stock, which will have the effect, over time, of increasing the relative voting power of those holders of Class B common stock who retain their shares in the long term.</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31, 2023, our executive officers, directors, one of our current stockholders and its respective affiliates held, in aggregate, 37% of the voting power of our outstanding capital stock. As a result, these stockholders, acting together, have control over most matters that require approval by our stockholders, including the election of directors and approval of significant corporate transactions. They may also have interests that differ from yours and may vote in a way with which you disagree and which may be adverse to your interests. This concentration of ownership may have the effect of delaying, preventing or deterring a change of control or other liquidity event of our company, could deprive our stockholders of an opportunity to receive a premium for their shares of common stock as part of a sale or other liquidity event and might ultimately affect the market price of our common stock.</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our amended and restated certificate of incorporation provides that, to the fullest extent permitted by law, the doctrine of “corporate opportunity” does not apply to Accel, or its respective affiliates, in a manner that would prohibit them from investing in competing businesses or doing business with our partners or customers.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do not intend to pay dividends in the foreseeable future. As a result, your ability to achieve a return on your investment will depend on appreciation in the price of our Class A common stock.</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Class A common stock after price appreciation, which may never occur, as the only way to realize any future gains on their investments.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Class A common stock.</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and Class B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 which prohibition will take effect on the first date on which the number of outstanding shares of our Class B common stock represents less than 10% of the aggregate number of outstanding shares of our Class A common stock and our Class B common stock, taken together as a single class;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requirement that a special meeting of stockholders may be called only by the chairperson of our board of directors, chief executive officer or by the board of directors acting pursuant to a resolution adopted by a majority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our board of directors, which could delay the ability of our stockholders to force consideration of a proposal or to take action, including the removal of directors;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certain amendments to our amended and restated certificate of incorporation require the approval of two-thirds of the then-outstanding voting power of our capital stock;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provisions may prohibit large stockholders, in particular those owning 15% or more of our outstanding voting stock, from merging or combining with us for a certain period of time.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bylaws provide that the Court of Chancery of the State of Delaware is the exclusive forum for: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derivative action or proceeding brought on our behalf;</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action asserting a breach of fiduciary duty;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action asserting a claim against us arising under the Delaware General Corporation Law, our amended and restated certificate of incorporation or our amended and restated bylaws;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action to interpret, apply, enforce or determine the validity of our amended and restated certificate of incorporation or our amended and restated bylaws;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action asserting a claim against us that is governed by the internal-affairs doctrine.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Indebtedness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indebtedness could adversely affect our financial condition.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31, 2023, we had $750.0 million principal amount of indebtedness outstanding (excluding intercompany indebtedness), and there is additional availability under our revolving facility of up to $750.0 million (excluding issued but undrawn letters of credit). Our indebtedness could have important consequences,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limiting our ability to obtain additional financing to fund future working capital, capital expenditures, acquisitions or other general corporate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requiring a portion of our cash flows to be dedicated to debt service payments instead of other purposes, thereby reducing the amount of cash flows available for working capital, capital expenditures, acquisitions and other general corporate purposes;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increasing our vulnerability to adverse changes in general economic, industry and competitive conditions;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exposing us to the risk of increased interest rates as certain of our borrowings, including borrowings under our revolving facility, are at variable rates of interest; and increasing our cost of borrowing.</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generate sufficient cash to service all of our indebtedness, including the notes, and may be forced to take other actions to satisfy our obligations under our indebtedness, which may not be successful.</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on or to refinance our debt obligations, including the Senior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notes.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Senior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Senior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our credit agreement contains provisions that restrict our ability to dispose of assets and use the proceeds from any such disposition. We may not be able to consummate those dispositions or to obtain the proceeds that we could realize from them and these proceeds may not be adequate to meet any debt service obligations then due. These alternative measures may not be successful and may not permit us to meet our scheduled debt service obligations.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cannot make scheduled payments on our indebtedness, we will be in default and holders of our Senior Notes could declare all outstanding principal and interest to be due and payable, the lenders under our revolving facility could terminate their 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revolving facility and the indenture that governs our Senior Notes contain terms which restrict our current and future operations, particularly our ability to respond to changes or to take certain actions.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revolving facility and the indenture that governs our Senior Notes contain a number of restrictive covenants that impose significant operating and financial restrictions on us and may limit our ability to engage in acts that may be in our long-term best interest, including, among other things, restrictions on our ability to: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incur additional indebtedness and guarantee indebtedness;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prepay, redeem or repurchase certain indebtedness;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sell or otherwise dispose of assets;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incur liens;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enter into transactions with affiliates;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alter the businesses we conduct;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enter into agreements restricting our subsidiaries’ ability to pay dividends;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consolidate, merge with, or sell all or substantially all of our assets to, another person.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covenants in the indenture and supplemental indenture that govern the Senior Notes are subject to exceptions and qualifications.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restrictive covenants in the credit agreement governing our revolving facility require us to maintain specified financial ratios and satisfy other financial condition tests. Our ability to meet those financial ratios and tests can be affected by events beyond our control, and we may not be able to meet them. These restrictive covenants could adversely affect our ability to: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finance our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make needed capital expenditures;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make strategic acquisitions or investments or enter into joint ventures;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withstand a future downturn in our business, the industry or the economy in general;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engage in business activities, including future opportunities, that may be in our best interest;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plan for or react to market conditions or otherwise execute our business strategies.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restrictions may affect our ability to expand our business, which could have a material adverse effect on our business, financial condition and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failure to comply with the restrictive covenants described above and/or the terms of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business, financial condition and results of operations could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revolving facility and the indenture that governs our Senior Notes contain cross-default provisions that could result in the acceleration of all of our indebtedness.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breach of the covenants under our revolving facility or the indenture that governs our Senior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the credit agreement governing our revolving facility would permit the lenders under our revolving facility to terminate all commitments to extend further credit under that facility. Furthermore, if we were unable to repay amounts due and payable under our revolving facility, those lenders could proceed against the collateral granted to them to secure that indebtedness. In the event our lenders or noteholders accelerate the repayment of our borrowings, we and our guarantors may not have sufficient assets to repay that indebtedness. Additionally, we may not be able to borrow money from other lenders to enable us to refinance our indebtedness.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controls, our ability to produce timely and accurate financial statements or comply with applicable regulations could be impaired.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reporting requirements of the Exchange Act, the Sarbanes-Oxley Act of 2002 (“Sarbanes-Oxley Act”), the rules and regulations of Nasdaq, and other securities rules and regulations that impose various requirements on public companies. Our management and other personnel devote substantial time and resources to comply with these rules and regulations. Such compliance has increased, and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internal control over financial reporting. We are continuing to develop and refine our disclosure controls, internal control over financial reporting and other procedures that are designed to ensure information required to be disclosed by us in our condensed consolidated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controls and any new controls we develop may become inadequate because of changes in conditions in our business. Additionally, to the extent we acquire other businesses, the acquired company may not have a sufficiently robust system of internal controls and we may uncover new deficiencies. Weaknesses in our internal controls may be discovered in the future. Any failure to develop or maintain effective controls, or any difficulties encountered in their implementation or improvement, could harm our results of operations, may result in a restatement of our condensed consolidated financial statements for prior periods, cause us to fail to meet our reporting obligations, and could result in an adverse opinion regarding our internal control over financial reporting from our independent registered public accounting firm, and lead to investigations or sanctions by regulatory authorities.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Class A common stock to decline.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failure to maintain effective disclosure controls and internal control over financial reporting could have a material and adverse effect on our business and results of operations and could cause a decline in the price of our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business strategy, we have in the past and expect to continue to make investments in and/or acquire complementary companies, services or technologies.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end-customers or investors. In addition, our due diligence may fail to identify all of the problems, liabilities or other shortcomings or challenges of an acquired business, product or technology, including issues related to intellectual property, product quality or product architecture, regulatory compliance practices, revenue recognition or other accounting practices or issues with employees or customers.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charges. We may have to pay cash, incur debt or issue equity securities to pay for any such acquisition, each of which could adversely affect our financial condition and the market price of our Class A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risks we may face in connection with acquisitions include: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diversion of management time and focus from operating our business to addressing acquisition integration challenges;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coordination of research and development and sales and marketing functions;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integration of administrative systems, employee, product and service offerings;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retention of key employees from the acquired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relationships with strategic partners as a result of product acquisitions or strategic positioning resulting from the acquisition;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need to implement or improve controls, procedures, and policies at a business that prior to the acquisition may have lacked sufficiently effective controls, procedures and policies;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additional legal, regulatory or compliance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financial reporting, revenue recognition or other financial or control deficiencies of the acquired company that we do not adequately address and that cause our reported results to be incorrect;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liability for activities of the acquired company before the acquisition, including intellectual property infringement claims, violations of laws, commercial disputes, tax liabilities and other known and unknown liabilities;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litigation or other claims in connection with the acquired company, including claims from terminated employees, customers, former stockholders or other third parties.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corporate structure and intercompany arrangements are subject to the tax laws of various jurisdictions, and we could be obligated to pay additional taxes, which would harm our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may be uncertain. In addition, our tax obligations and effective tax rates could be adversely affected, among other things, by (i) changes in the relevant tax, accounting and other laws, regulations, principles and interpretations, including increases in corporate tax rates and greater taxation of international income and changes relating to income tax nexus, (ii) recognizing tax losses or lower than anticipated earnings in jurisdictions where we have lower statutory rates and higher than anticipated earnings in jurisdictions where we have higher statutory rates, (iii) changes in foreign currency exchange rates, or (iv)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Organization for Economic Cooperation and Development (“OECD”) has published proposals covering a number of issues, including country-by-country reporting, permanent establishment rules, transfer pricing rules, tax treaties and taxation of the digital economy. On October 8, 2021, the OECD/G20 inclusive framework on Base Erosion and Profit Shifting (the “Inclusive Framework”) published a statement updating and finalizing the key components of a two-pillar plan on global tax reform originally agreed on July 1, 2021, and a timetable for implementation by 2023. The timetable for implementation has since been extended to 2024 and, with respect to certain components of the plan, to 2025. Under pillar one, a portion of the residual profits of multinational businesses with global turnover above €20 billion and a profit margin above 10% will be allocated to market jurisdictions where such allocated profits would be taxed. Under pillar two, the Inclusive Framework has agreed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global minimum corporate tax rate of 15% for companies with revenue above €750 million, calculated on a jurisdictional basis. While substantial work remains to be completed by the OECD and national governments on the implementation of these proposals, future tax reform resulting from these developments may result in changes to long-standing tax principles, which could adversely affect our effective tax rate or result in higher cash tax liabilities. On February 1, 2023, the U.S. Financial Accounting Standards Board indicated that they believe the minimum tax imposed under pillar two is an alternative minimum tax, and, accordingly, deferred tax assets and liabilities associated with the minimum tax would not be recognized or adjusted for the estimated future effects of the minimum tax but would be recognized in the period incurred. In addition, the OECD’s proposed solution envisages new international tax rules and the removal of all Digital Services Taxes (“DST”). Notwithstanding this, some countries, in the European Union and beyond, continue to operate existing DST regimes to capture tax revenue on digital services more immediately. Such laws may increase our tax obligations in those countries or change the manner in which we operate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2023, we had aggregate U.S. federal and California net operating loss carryforwards of $1.6 billion and $248.2 million, respectively, which may be available to offset future taxable income for income tax purposes. If not utilized, the federal and California net operating loss carryforwards will begin to expire in fiscal 2031. As of January 31, 2023, we had net operating loss carryforwards for other states of $1.0 billion that will begin to expire in fiscal 2024. As of January 31, 2023, we had federal and California research and development credit carryforwards of $87.4 million and $18.8 million, respectively. The federal research and development credit carryforwards will begin to expire in 2035, and the California carryforwards are carried forward indefinitely. As of January 31, 2023, we had aggregate United Kingdom net operating loss carryforwards of $80.9 million, which are carried forward indefinitely. Realization of these net operating loss and research and development credit carryforwards depends on future income, and there is a risk that our existing carryforwards could expire unused and be unavailable to offset future income tax liabilities, which could adversely affect our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We may experience ownership changes in the future as a result of shifts in our stock ownership. As a result, if we earn net taxable income, our ability to use our pre-change net operating loss carryforwards to offset U.S. federal taxable income may be subject to limitations, which could potentially result in increased future tax liability to us.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our estimates or judgments relating to our critical accounting policies prove to be incorrect or financial reporting standards or interpretations change, our results of operations could be adversely affected.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U.S. GAAP requires management to make estimates and assumptions that affect the amounts reported in our condensed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revenue recognition; allowance for credit losses; valuation of common stock and redeemable convertible preferred stock warrants; carrying value and useful lives of long-lived assets; loss contingencies; and the provision for income taxes and related deferred taxes. Our results of operations may be adversely affected if our assumptions change or if actual circumstances differ from those in our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which could cause our results of operations to fall below the expectations of industry or financial analysts and investors, resulting in a decline in the market price of our Class A common stock.</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our equity investments, including partial or complete loss of invested capital, and significant changes in the fair value of this portfolio could adversely impact our financial results.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Through our Falcon Funds, we invest in early to late stage private companies, and we may not realize a return on our equity investments. Many such companies generate net losses and the market for their products, services, or technologies may be slow to develop or never materialize. These companies are often dependent on the availability of later rounds of financing from banks or investors on favorable terms to continue their operations. The financial success of our investment in any company is typically dependent on a liquidity event, such as a public offering, acquisition, or other favorable market event reflecting appreciation to the cost of our initial investment. The capital markets for public offerings and acquisitions are dynamic and the likelihood of liquidity events for the companies in which we have invested could deteriorate, which could result in a loss of all or a substantial part of our investment in these companies. In addition, our ability to realize gains on investments may be impacted by our contractual obligations to hold securities for a set period of time. For example, to the extent a company we have invested in undergoes an initial public offering, we may be subject to a lock-up agreement that restricts our ability to sell our securities for a period of time after the public offering or otherwise impedes our ability to mitigate market volatility in such securities.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valuations of non-marketable equity investments are inherently complex due to the lack of readily available market data. In addition, we may experience additional volatility to our statements of operations due to changes in market prices of our marketable equity investments, the valuation and timing of observable price changes or impairments of our non-marketable equity investments, and changes in the proportionate share of earnings and losses or impairment of our equity investments accounted for under the equity method. This volatility could be material to our results in any given quarter and may cause our stock price to decline.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is subject to the risks of catastrophic events, including, but not limited to, natural events such as earthquakes, fire, floods, and the outbreak of diseases, as well as man-made problems such as power disruptions, computer viruses, data security breaches, terrorism and bank or financial institution failures.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executive offices are located in Austin, Texas, and we also maintain other office locations around the world, including in California and India, that are prone to natural disasters including severe weather and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Natural disasters and other catastrophic events such as COVID-19,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If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our internal systems may be victimized by such attacks. Although we maintain incident management and disaster response plans, in the event of a major disruption caused by a catastrophic event, such as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Acts of terrorism and other geopolitical unrest could also cause disruptions in our business or the business of our supply chain, manufacturers, logistics providers, partners, or customers or the economy as a whole. Any disruption in the business of our supply chain, manufacturers, logistics providers, partners or end-customers could have a significant adverse impact on our financial results. Moreover, the failure of a bank, or other adverse conditions impacting financial institutions at which we maintain balances, could adversely impact our business, results of operations, and financial performance. For example, in March 2023,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val="false"/>
          <w:color w:val="000000"/>
          <w:sz w:val="20"/>
        </w:rPr>
        <w:t>Federal Deposit Insurance Corporation (the “FDIC”) was named receiver for Silicon Valley Bank, one of the lenders under our credit agreement. While our cash management strategy is to maintain diversity in deposit accounts across financial institutions,</w:t>
      </w:r>
      <w:r>
        <w:rPr>
          <w:color w:val="000000"/>
        </w:rPr>
        <w:t xml:space="preserve"> </w:t>
      </w:r>
      <w:r>
        <w:rPr>
          <w:rFonts w:ascii="Times New Roman;sans-serif" w:hAnsi="Times New Roman;sans-serif"/>
          <w:b w:val="false"/>
          <w:color w:val="000000"/>
          <w:sz w:val="20"/>
        </w:rPr>
        <w:t>balances in these accounts regularly exceed FDIC insurance limits and the federal government may not guarantee all deposits if any such financial institutions were to fail. All of the aforementioned risks may be further increased if the disaster recovery plans for us and our suppliers prove to be inadequate. To the extent that any of the above should result in delays or cancellations of customer orders, or the delay in the manufacture, deployment or shipment of our products, our business, financial condition and results of operations would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5. OTHER INFORMATION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10b5-1 and Non-Rule 10b5-1 Trading Arrangements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July 31, 2023, certain of our officers or directors listed below adopted or terminated trading arrangements for the sale of shares of our Class A common stock in amounts and prices determined in accordance with a formula set forth in each such plan:</w:t>
      </w:r>
    </w:p>
    <w:tbl>
      <w:tblPr>
        <w:tblW w:w="10205" w:type="dxa"/>
        <w:jc w:val="left"/>
        <w:tblInd w:w="0" w:type="dxa"/>
        <w:tblLayout w:type="fixed"/>
        <w:tblCellMar>
          <w:top w:w="28" w:type="dxa"/>
          <w:left w:w="28" w:type="dxa"/>
          <w:bottom w:w="28" w:type="dxa"/>
          <w:right w:w="28" w:type="dxa"/>
        </w:tblCellMar>
      </w:tblPr>
      <w:tblGrid>
        <w:gridCol w:w="564"/>
        <w:gridCol w:w="344"/>
        <w:gridCol w:w="347"/>
        <w:gridCol w:w="109"/>
        <w:gridCol w:w="109"/>
        <w:gridCol w:w="109"/>
        <w:gridCol w:w="294"/>
        <w:gridCol w:w="294"/>
        <w:gridCol w:w="298"/>
        <w:gridCol w:w="109"/>
        <w:gridCol w:w="109"/>
        <w:gridCol w:w="109"/>
        <w:gridCol w:w="235"/>
        <w:gridCol w:w="235"/>
        <w:gridCol w:w="237"/>
        <w:gridCol w:w="109"/>
        <w:gridCol w:w="109"/>
        <w:gridCol w:w="109"/>
        <w:gridCol w:w="261"/>
        <w:gridCol w:w="261"/>
        <w:gridCol w:w="262"/>
        <w:gridCol w:w="109"/>
        <w:gridCol w:w="109"/>
        <w:gridCol w:w="109"/>
        <w:gridCol w:w="304"/>
        <w:gridCol w:w="304"/>
        <w:gridCol w:w="305"/>
        <w:gridCol w:w="109"/>
        <w:gridCol w:w="109"/>
        <w:gridCol w:w="109"/>
        <w:gridCol w:w="425"/>
        <w:gridCol w:w="425"/>
        <w:gridCol w:w="426"/>
        <w:gridCol w:w="109"/>
        <w:gridCol w:w="109"/>
        <w:gridCol w:w="109"/>
        <w:gridCol w:w="705"/>
        <w:gridCol w:w="705"/>
        <w:gridCol w:w="1012"/>
      </w:tblGrid>
      <w:tr>
        <w:trPr/>
        <w:tc>
          <w:tcPr>
            <w:tcW w:w="56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Plans</w:t>
            </w:r>
          </w:p>
        </w:tc>
      </w:tr>
      <w:tr>
        <w:trPr/>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and Title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Rule 10b5-1</w:t>
            </w:r>
            <w:r>
              <w:rPr>
                <w:rFonts w:ascii="Times New Roman;sans-serif" w:hAnsi="Times New Roman;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Non- Rule 10b5-1</w:t>
            </w:r>
            <w:r>
              <w:rPr>
                <w:rFonts w:ascii="Times New Roman;sans-serif" w:hAnsi="Times New Roman;sans-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 to be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Expiration</w:t>
            </w:r>
          </w:p>
        </w:tc>
      </w:tr>
      <w:tr>
        <w:trPr/>
        <w:tc>
          <w:tcPr>
            <w:tcW w:w="1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Sameer Gandhi,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Up to 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Earlier of when all shares under plan are sold and September 30, 2024</w:t>
            </w:r>
          </w:p>
        </w:tc>
      </w:tr>
      <w:tr>
        <w:trPr/>
        <w:tc>
          <w:tcPr>
            <w:tcW w:w="1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Godfrey Sullivan,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Up to 250,000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Earlier of when all shares under plan are sold and December 31, 2024</w:t>
            </w:r>
          </w:p>
        </w:tc>
      </w:tr>
    </w:tbl>
    <w:p>
      <w:pPr>
        <w:pStyle w:val="TextBody"/>
        <w:bidi w:val="0"/>
        <w:spacing w:lineRule="auto" w:line="288" w:before="240" w:after="283"/>
        <w:ind w:left="0" w:right="0" w:firstLine="72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Intended to satisfy the affirmative defense conditions of Rule 10b5-1(c)</w:t>
      </w:r>
    </w:p>
    <w:p>
      <w:pPr>
        <w:pStyle w:val="TextBody"/>
        <w:bidi w:val="0"/>
        <w:spacing w:lineRule="auto" w:line="288" w:before="240" w:after="283"/>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Not intended to satisfy the affirmative defense conditions of Rule 10b5-1(c)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filed the exhibits listed on the accompanying Exhibit Index, which is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Index to Exhibits</w: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1750"/>
        <w:gridCol w:w="1750"/>
        <w:gridCol w:w="1753"/>
        <w:gridCol w:w="208"/>
        <w:gridCol w:w="208"/>
        <w:gridCol w:w="213"/>
        <w:gridCol w:w="340"/>
        <w:gridCol w:w="264"/>
        <w:gridCol w:w="232"/>
        <w:gridCol w:w="210"/>
        <w:gridCol w:w="210"/>
        <w:gridCol w:w="211"/>
        <w:gridCol w:w="416"/>
        <w:gridCol w:w="263"/>
        <w:gridCol w:w="266"/>
        <w:gridCol w:w="242"/>
        <w:gridCol w:w="242"/>
        <w:gridCol w:w="350"/>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Filing </w:t>
              <w:br/>
              <w:t>Date</w:t>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Filed </w:t>
              <w:br/>
              <w:t>Herewith</w:t>
            </w:r>
          </w:p>
        </w:tc>
      </w:tr>
      <w:tr>
        <w:trPr/>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Certificate of Incorporation of the Registrant, as currently in effect.</w:t>
              </w:r>
            </w:hyperlink>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001-38933</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14, 2019</w:t>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Amended and Restated Bylaws of the Registrant, as currently in effect.</w:t>
              </w:r>
            </w:hyperlink>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001-38933</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03, 2023</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tsidedirectorcompensatio.htm">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tsidedirectorcompensatio.htm">
              <w:r>
                <w:rPr>
                  <w:rStyle w:val="InternetLink"/>
                  <w:rFonts w:ascii="Times New Roman;sans-serif" w:hAnsi="Times New Roman;sans-serif"/>
                  <w:b w:val="false"/>
                  <w:color w:val="0000FF"/>
                  <w:sz w:val="20"/>
                  <w:u w:val="single"/>
                </w:rPr>
                <w:t>Outside Director Compensation Policy, as amended on June 21, 2023</w:t>
              </w:r>
            </w:hyperlink>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22.1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List of Subsidiary Guarantors</w:t>
              </w:r>
            </w:hyperlink>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S-3ASR</w:t>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333-252007</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11, 2021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wd-20230731xexx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wd-20230731xexx311.htm">
              <w:r>
                <w:rPr>
                  <w:rStyle w:val="InternetLink"/>
                  <w:rFonts w:ascii="Times New Roman;sans-serif" w:hAnsi="Times New Roman;sans-serif"/>
                  <w:b w:val="false"/>
                  <w:color w:val="0000FF"/>
                  <w:sz w:val="20"/>
                  <w:u w:val="single"/>
                </w:rPr>
                <w:t>Certification of the Principal Executive Officer pursuant to Exchange Act Rules 13a14(a) and 15d14(a), as adopted pursuant to Section 302 of the Sarbanes-Oxley Act of 2002.</w:t>
              </w:r>
            </w:hyperlink>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wd-20230731xexx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wd-20230731xexx312.htm">
              <w:r>
                <w:rPr>
                  <w:rStyle w:val="InternetLink"/>
                  <w:rFonts w:ascii="Times New Roman;sans-serif" w:hAnsi="Times New Roman;sans-serif"/>
                  <w:b w:val="false"/>
                  <w:color w:val="0000FF"/>
                  <w:sz w:val="20"/>
                  <w:u w:val="single"/>
                </w:rPr>
                <w:t>Certification of the Principal Financial Officer pursuant to Exchange Act Rules 13a14(a) and 15d14(a), as adopted pursuant to Section 302 of the Sarbanes-Oxley Act of 2002.</w:t>
              </w:r>
            </w:hyperlink>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wd-20230731xexx32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rwd-20230731xexx321.htm">
              <w:r>
                <w:rPr>
                  <w:rStyle w:val="InternetLink"/>
                  <w:rFonts w:ascii="Times New Roman;sans-serif" w:hAnsi="Times New Roman;sans-serif"/>
                  <w:b w:val="false"/>
                  <w:color w:val="0000FF"/>
                  <w:sz w:val="20"/>
                  <w:u w:val="single"/>
                </w:rPr>
                <w:t>Certification of the Principal Executive Officer and Principal Financial Officer pursuant to 18 U.S.C. Section 1350, as adopted pursuant to Section 906 of the Sarbanes-Oxley Act of 2002.</w:t>
              </w:r>
            </w:hyperlink>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Instance XBRL document</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furnished in Exhibit 32.1 hereto are deemed to accompany this Quarterly Report on Form 10-Q and will not be deemed “filed” or purposes of Section 18 of the Securities Exchange Act of 1934, as amended, and are not to be incorporated by reference into any of CrowdStrike Holdings, Inc.’s filings under the Securities Act of 1933, as amended, irrespective of any general incorporation language contained in such filing.</w:t>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hyperlink w:anchor="ia20a12f115b3415db6b14aca63636f6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on the day of August 30, 2023. </w:t>
      </w:r>
    </w:p>
    <w:tbl>
      <w:tblPr>
        <w:tblW w:w="6636" w:type="dxa"/>
        <w:jc w:val="left"/>
        <w:tblInd w:w="0" w:type="dxa"/>
        <w:tblLayout w:type="fixed"/>
        <w:tblCellMar>
          <w:top w:w="28" w:type="dxa"/>
          <w:left w:w="28" w:type="dxa"/>
          <w:bottom w:w="28" w:type="dxa"/>
          <w:right w:w="28" w:type="dxa"/>
        </w:tblCellMar>
      </w:tblPr>
      <w:tblGrid>
        <w:gridCol w:w="124"/>
        <w:gridCol w:w="109"/>
        <w:gridCol w:w="109"/>
        <w:gridCol w:w="498"/>
        <w:gridCol w:w="498"/>
        <w:gridCol w:w="498"/>
        <w:gridCol w:w="1405"/>
        <w:gridCol w:w="1405"/>
        <w:gridCol w:w="19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CROWDSTRIKE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Burt W. Podbere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Burt W. Podbere </w:t>
            </w:r>
          </w:p>
          <w:p>
            <w:pPr>
              <w:pStyle w:val="TableContents"/>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Chief Financial Officer (Principal Financial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Anurag Saha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Anurag Saha</w:t>
            </w:r>
          </w:p>
          <w:p>
            <w:pPr>
              <w:pStyle w:val="TableContents"/>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Chief Accounting Officer (Principal Accounting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10.1</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CROWDSTRIKE HOLDINGS, INC.</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OUTSIDE DIRECTOR COMPENSATION POLICY</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CrowdStrike Holdings, Inc.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believes that the granting of equity and cash compensation to its members of the Board of Directors (the “</w:t>
      </w:r>
      <w:r>
        <w:rPr>
          <w:rFonts w:ascii="Times New Roman;sans-serif" w:hAnsi="Times New Roman;sans-serif"/>
          <w:b/>
          <w:color w:val="000000"/>
          <w:sz w:val="22"/>
        </w:rPr>
        <w:t>Board</w:t>
      </w:r>
      <w:r>
        <w:rPr>
          <w:rFonts w:ascii="Times New Roman;sans-serif" w:hAnsi="Times New Roman;sans-serif"/>
          <w:b w:val="false"/>
          <w:color w:val="000000"/>
          <w:sz w:val="22"/>
        </w:rPr>
        <w:t>,” and members of the Board, “</w:t>
      </w:r>
      <w:r>
        <w:rPr>
          <w:rFonts w:ascii="Times New Roman;sans-serif" w:hAnsi="Times New Roman;sans-serif"/>
          <w:b/>
          <w:color w:val="000000"/>
          <w:sz w:val="22"/>
        </w:rPr>
        <w:t>Directors</w:t>
      </w:r>
      <w:r>
        <w:rPr>
          <w:color w:val="000000"/>
        </w:rPr>
        <w:t>”</w:t>
      </w:r>
      <w:r>
        <w:rPr>
          <w:rFonts w:ascii="Times New Roman;sans-serif" w:hAnsi="Times New Roman;sans-serif"/>
          <w:b w:val="false"/>
          <w:color w:val="000000"/>
          <w:sz w:val="22"/>
        </w:rPr>
        <w:t>) represents a powerful tool to attract, retain and reward Directors who are not employees of the Company (“</w:t>
      </w:r>
      <w:r>
        <w:rPr>
          <w:rFonts w:ascii="Times New Roman;sans-serif" w:hAnsi="Times New Roman;sans-serif"/>
          <w:b/>
          <w:color w:val="000000"/>
          <w:sz w:val="22"/>
        </w:rPr>
        <w:t>Outside Directors</w:t>
      </w:r>
      <w:r>
        <w:rPr>
          <w:color w:val="000000"/>
        </w:rPr>
        <w:t>”</w:t>
      </w:r>
      <w:r>
        <w:rPr>
          <w:rFonts w:ascii="Times New Roman;sans-serif" w:hAnsi="Times New Roman;sans-serif"/>
          <w:b w:val="false"/>
          <w:color w:val="000000"/>
          <w:sz w:val="22"/>
        </w:rPr>
        <w:t>).  This Outside Director Compensation Policy (the “</w:t>
      </w:r>
      <w:r>
        <w:rPr>
          <w:rFonts w:ascii="Times New Roman;sans-serif" w:hAnsi="Times New Roman;sans-serif"/>
          <w:b/>
          <w:color w:val="000000"/>
          <w:sz w:val="22"/>
        </w:rPr>
        <w:t>Policy</w:t>
      </w:r>
      <w:r>
        <w:rPr>
          <w:color w:val="000000"/>
        </w:rPr>
        <w:t>”</w:t>
      </w:r>
      <w:r>
        <w:rPr>
          <w:rFonts w:ascii="Times New Roman;sans-serif" w:hAnsi="Times New Roman;sans-serif"/>
          <w:b w:val="false"/>
          <w:color w:val="000000"/>
          <w:sz w:val="22"/>
        </w:rPr>
        <w:t>) is intended to formalize the Company’s policy regarding cash compensation and grants of equity to its Outside Directors.   Unless otherwise defined herein, capitalized terms used in this Policy will have the meaning given such term in the CrowdStrike Holdings, Inc. 2019 Equity Incentive Plan (the “</w:t>
      </w:r>
      <w:r>
        <w:rPr>
          <w:rFonts w:ascii="Times New Roman;sans-serif" w:hAnsi="Times New Roman;sans-serif"/>
          <w:b/>
          <w:color w:val="000000"/>
          <w:sz w:val="22"/>
        </w:rPr>
        <w:t>Plan</w:t>
      </w:r>
      <w:r>
        <w:rPr>
          <w:color w:val="000000"/>
        </w:rPr>
        <w:t>”</w:t>
      </w:r>
      <w:r>
        <w:rPr>
          <w:rFonts w:ascii="Times New Roman;sans-serif" w:hAnsi="Times New Roman;sans-serif"/>
          <w:b w:val="false"/>
          <w:color w:val="000000"/>
          <w:sz w:val="22"/>
        </w:rPr>
        <w:t xml:space="preserve">).  Outside Directors will be solely responsible for any tax obligations they incur as a result of the equity and cash payments received under this Policy.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color w:val="000000"/>
          <w:sz w:val="22"/>
        </w:rPr>
        <w:t>1</w:t>
      </w:r>
      <w:r>
        <w:rPr>
          <w:rFonts w:ascii="Times New Roman;sans-serif" w:hAnsi="Times New Roman;sans-serif"/>
          <w:b w:val="false"/>
          <w:color w:val="000000"/>
          <w:sz w:val="22"/>
        </w:rPr>
        <w:t>.    </w:t>
      </w:r>
      <w:r>
        <w:rPr>
          <w:rFonts w:ascii="Times New Roman;sans-serif" w:hAnsi="Times New Roman;sans-serif"/>
          <w:b/>
          <w:color w:val="000000"/>
          <w:sz w:val="22"/>
          <w:u w:val="single"/>
        </w:rPr>
        <w:t>CASH COMPENSATION</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annual cash compensation for Outside Directors is payable quarterly in arrears on a monthly prorated basis. Any partial month of service shall be calculated as a full month of service for purposes of calculating cash compensation due under this Policy.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GENERAL BOARD ANNUAL RETAINER</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Annual cash compensation for the general services of Outside Directors is as follows: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color w:val="000000"/>
          <w:sz w:val="22"/>
        </w:rPr>
        <w:t>Outside Director</w:t>
      </w:r>
      <w:r>
        <w:rPr>
          <w:rFonts w:ascii="Times New Roman;sans-serif" w:hAnsi="Times New Roman;sans-serif"/>
          <w:b w:val="false"/>
          <w:color w:val="000000"/>
          <w:sz w:val="22"/>
        </w:rPr>
        <w:t>:  $40,000 General Annual Retainer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Directors will receive no additional compensation for attending regular meetings of the Board.</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NON-EXECUTIVE CHAIRMAN ANNUAL RETAINER</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Additional annual cash compensation for the general services of the Non-Executive Chairman is as follows: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color w:val="000000"/>
          <w:sz w:val="22"/>
        </w:rPr>
        <w:t>Non-Executive Chairman</w:t>
      </w:r>
      <w:r>
        <w:rPr>
          <w:rFonts w:ascii="Times New Roman;sans-serif" w:hAnsi="Times New Roman;sans-serif"/>
          <w:b w:val="false"/>
          <w:color w:val="000000"/>
          <w:sz w:val="22"/>
        </w:rPr>
        <w:t>:  $50,000 Chairman Annual Retainer</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COMMITTEE ANNUAL RETAINERS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the annual cash retainers described above, each Outside Director will also receive annual cash retainers in recognition of their service on the committees of the Board.</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Audit Committee</w:t>
      </w:r>
      <w:r>
        <w:rPr>
          <w:rFonts w:ascii="Times New Roman;sans-serif" w:hAnsi="Times New Roman;sans-serif"/>
          <w:b w:val="false"/>
          <w:color w:val="000000"/>
          <w:sz w:val="22"/>
        </w:rPr>
        <w:t>.</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Annual cash compensation for Audit Committee members is as follows: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color w:val="000000"/>
          <w:sz w:val="22"/>
        </w:rPr>
        <w:t>Chairman of Committee</w:t>
      </w:r>
      <w:r>
        <w:rPr>
          <w:rFonts w:ascii="Times New Roman;sans-serif" w:hAnsi="Times New Roman;sans-serif"/>
          <w:b w:val="false"/>
          <w:color w:val="000000"/>
          <w:sz w:val="22"/>
        </w:rPr>
        <w:t>:  $25,000 Chairman Annual Retainer</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color w:val="000000"/>
          <w:sz w:val="22"/>
        </w:rPr>
        <w:t>Non-Chairman Committee Members</w:t>
      </w:r>
      <w:r>
        <w:rPr>
          <w:rFonts w:ascii="Times New Roman;sans-serif" w:hAnsi="Times New Roman;sans-serif"/>
          <w:b w:val="false"/>
          <w:color w:val="000000"/>
          <w:sz w:val="22"/>
        </w:rPr>
        <w:t>:  $10,000 Non-Chairman Annual Retainer</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There are no per meeting attendance fees for attending Audit Committee meetings.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Compensation Committee</w:t>
      </w:r>
      <w:r>
        <w:rPr>
          <w:rFonts w:ascii="Times New Roman;sans-serif" w:hAnsi="Times New Roman;sans-serif"/>
          <w:b w:val="false"/>
          <w:color w:val="000000"/>
          <w:sz w:val="22"/>
        </w:rPr>
        <w:t>.</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Annual cash compensation for the Compensation Committee is as follows: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color w:val="000000"/>
          <w:sz w:val="22"/>
        </w:rPr>
        <w:t>Chairman of Committee</w:t>
      </w:r>
      <w:r>
        <w:rPr>
          <w:rFonts w:ascii="Times New Roman;sans-serif" w:hAnsi="Times New Roman;sans-serif"/>
          <w:b w:val="false"/>
          <w:color w:val="000000"/>
          <w:sz w:val="22"/>
        </w:rPr>
        <w:t>:  $20,000 Chairman Annual Retainer</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color w:val="000000"/>
          <w:sz w:val="22"/>
        </w:rPr>
        <w:t>Non-Chairman Committee Members</w:t>
      </w:r>
      <w:r>
        <w:rPr>
          <w:rFonts w:ascii="Times New Roman;sans-serif" w:hAnsi="Times New Roman;sans-serif"/>
          <w:b w:val="false"/>
          <w:color w:val="000000"/>
          <w:sz w:val="22"/>
        </w:rPr>
        <w:t>:  $9,500 Non-Chairman Annual Retainer</w:t>
      </w:r>
    </w:p>
    <w:p>
      <w:pPr>
        <w:pStyle w:val="TextBody"/>
        <w:bidi w:val="0"/>
        <w:spacing w:lineRule="auto" w:line="240"/>
        <w:jc w:val="both"/>
        <w:rPr>
          <w:color w:val="000000"/>
        </w:rPr>
      </w:pPr>
      <w:r>
        <w:rPr>
          <w:color w:val="000000"/>
        </w:rPr>
        <w:t> </w:t>
      </w:r>
    </w:p>
    <w:p>
      <w:pPr>
        <w:pStyle w:val="TextBody"/>
        <w:bidi w:val="0"/>
        <w:spacing w:lineRule="auto" w:line="240"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10.1</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There are no per meeting attendance fees for attending Compensation Committee meetings.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Nominating and Corporate Governance Committee</w:t>
      </w:r>
      <w:r>
        <w:rPr>
          <w:rFonts w:ascii="Times New Roman;sans-serif" w:hAnsi="Times New Roman;sans-serif"/>
          <w:b w:val="false"/>
          <w:color w:val="000000"/>
          <w:sz w:val="22"/>
        </w:rPr>
        <w:t>.</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Annual cash compensation for the Nominating and Corporate Governance Committee is as follows: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color w:val="000000"/>
          <w:sz w:val="22"/>
        </w:rPr>
        <w:t>Chairman of Committee</w:t>
      </w:r>
      <w:r>
        <w:rPr>
          <w:rFonts w:ascii="Times New Roman;sans-serif" w:hAnsi="Times New Roman;sans-serif"/>
          <w:b w:val="false"/>
          <w:color w:val="000000"/>
          <w:sz w:val="22"/>
        </w:rPr>
        <w:t>:  $10,000 Chairman Annual Retainer</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color w:val="000000"/>
          <w:sz w:val="22"/>
        </w:rPr>
        <w:t>Non-Chairman Committee Members</w:t>
      </w:r>
      <w:r>
        <w:rPr>
          <w:rFonts w:ascii="Times New Roman;sans-serif" w:hAnsi="Times New Roman;sans-serif"/>
          <w:b w:val="false"/>
          <w:color w:val="000000"/>
          <w:sz w:val="22"/>
        </w:rPr>
        <w:t>:  $5,000 Non-Chairman Annual Retainer</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There are no per meeting attendance fees for attending Nominating and Corporate Governance Committee meetings.</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ELECTION TO RECEIVE SHARES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An Outside Director may elect that 100% (or such other percentage as may be determined by the Compensation Committee from time to time) of his or her annual cash retainers payable in respect of his or her future services be paid in the form of Shares of the Company’s Common Stock by timely executing and submitting to the Company an election on such form as specified by the Company from time to time (the “</w:t>
      </w:r>
      <w:r>
        <w:rPr>
          <w:rFonts w:ascii="Times New Roman;sans-serif" w:hAnsi="Times New Roman;sans-serif"/>
          <w:b/>
          <w:color w:val="000000"/>
          <w:sz w:val="22"/>
        </w:rPr>
        <w:t>Election Form</w:t>
      </w:r>
      <w:r>
        <w:rPr>
          <w:color w:val="000000"/>
        </w:rPr>
        <w:t>”</w:t>
      </w:r>
      <w:r>
        <w:rPr>
          <w:rFonts w:ascii="Times New Roman;sans-serif" w:hAnsi="Times New Roman;sans-serif"/>
          <w:b w:val="false"/>
          <w:color w:val="000000"/>
          <w:sz w:val="22"/>
        </w:rPr>
        <w:t xml:space="preserve">). The terms of any such election (including with respect to the periods covered by such election and any revocation of such election) shall be set forth in, and subject to, the applicable Election Form. To be valid, the election must comply with any procedural requirements (including as to timing of elections) determined by the Company from time to time, as well as the Company’s insider trading policy. Notwithstanding the foregoing, a newly appointed Outside Director will be permitted during the open trading window following his or her Start Date (as defined below) to submit an Election Form to elect to receive the portion of such new Outside Director’s cash retainers that are payable with respect to the remainder of the first fiscal year of his or her service in the form of Shares.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As of each cash retainer payment date, an Outside Director who has validly elected to receive all or a portion of his or her annual cash retainers in Shares of our Common Stock will become entitled to receive a number of Shares determined by dividing (i) the amount of the annual cash retainers covered by such election that otherwise would have been payable to such Outside Director on the applicable payment date by (ii) the Fair Market Value (as defined in the Plan) of a Share on the applicable issuance date </w:t>
      </w:r>
      <w:r>
        <w:rPr>
          <w:rFonts w:ascii="Times New Roman;sans-serif" w:hAnsi="Times New Roman;sans-serif"/>
          <w:b w:val="false"/>
          <w:color w:val="000000"/>
          <w:sz w:val="21"/>
        </w:rPr>
        <w:t>(</w:t>
      </w:r>
      <w:r>
        <w:rPr>
          <w:rFonts w:ascii="Times New Roman;sans-serif" w:hAnsi="Times New Roman;sans-serif"/>
          <w:b w:val="false"/>
          <w:color w:val="000000"/>
          <w:sz w:val="22"/>
        </w:rPr>
        <w:t>rounded down to the nearest whole Share</w:t>
      </w:r>
      <w:r>
        <w:rPr>
          <w:rFonts w:ascii="Times New Roman;sans-serif" w:hAnsi="Times New Roman;sans-serif"/>
          <w:b w:val="false"/>
          <w:color w:val="000000"/>
          <w:sz w:val="21"/>
        </w:rPr>
        <w:t>)</w:t>
      </w:r>
      <w:r>
        <w:rPr>
          <w:rFonts w:ascii="Times New Roman;sans-serif" w:hAnsi="Times New Roman;sans-serif"/>
          <w:b w:val="false"/>
          <w:color w:val="000000"/>
          <w:sz w:val="22"/>
        </w:rPr>
        <w:t>. Such shares shall be issued to the applicable Outside Director under the Plan on the regular quarterly vesting date following the date that the corresponding cash retainer would have otherwise been paid to such Outside Director. The Shares issued in lieu of cash retainers shall be fully vested and unrestricted pursuant to the Plan.</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color w:val="000000"/>
          <w:sz w:val="22"/>
        </w:rPr>
        <w:t>2.</w:t>
      </w:r>
      <w:r>
        <w:rPr>
          <w:color w:val="000000"/>
        </w:rPr>
        <w:t>    </w:t>
      </w:r>
      <w:r>
        <w:rPr>
          <w:rFonts w:ascii="Times New Roman;sans-serif" w:hAnsi="Times New Roman;sans-serif"/>
          <w:b/>
          <w:color w:val="000000"/>
          <w:sz w:val="22"/>
          <w:u w:val="single"/>
        </w:rPr>
        <w:t>EQUITY COMPENSATION</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Outside Directors will also be eligible to receive the following Awards, as well as all types of Awards (except Incentive Stock Options) under the Plan, including discretionary Awards not covered under this Policy.</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Initial Awards</w:t>
      </w:r>
      <w:r>
        <w:rPr>
          <w:rFonts w:ascii="Times New Roman;sans-serif" w:hAnsi="Times New Roman;sans-serif"/>
          <w:b w:val="false"/>
          <w:color w:val="000000"/>
          <w:sz w:val="22"/>
        </w:rPr>
        <w:t>.  Each Outside Director shall be automatically granted the following awards upon first joining the Board (such date, the “</w:t>
      </w:r>
      <w:r>
        <w:rPr>
          <w:rFonts w:ascii="Times New Roman;sans-serif" w:hAnsi="Times New Roman;sans-serif"/>
          <w:b/>
          <w:color w:val="000000"/>
          <w:sz w:val="22"/>
        </w:rPr>
        <w:t>Start Date</w:t>
      </w:r>
      <w:r>
        <w:rPr>
          <w:color w:val="000000"/>
        </w:rPr>
        <w:t>”</w:t>
      </w:r>
      <w:r>
        <w:rPr>
          <w:rFonts w:ascii="Times New Roman;sans-serif" w:hAnsi="Times New Roman;sans-serif"/>
          <w:b w:val="false"/>
          <w:color w:val="000000"/>
          <w:sz w:val="22"/>
        </w:rPr>
        <w:t>):</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1485"/>
        <w:jc w:val="both"/>
        <w:rPr/>
      </w:pPr>
      <w:r>
        <w:rPr>
          <w:rFonts w:ascii="Times New Roman;sans-serif" w:hAnsi="Times New Roman;sans-serif"/>
          <w:b w:val="false"/>
          <w:color w:val="000000"/>
          <w:sz w:val="22"/>
        </w:rPr>
        <w:t>(1)    an award of Restricted Stock Units with a Value of $375,000 (the “</w:t>
      </w:r>
      <w:r>
        <w:rPr>
          <w:rFonts w:ascii="Times New Roman;sans-serif" w:hAnsi="Times New Roman;sans-serif"/>
          <w:b/>
          <w:color w:val="000000"/>
          <w:sz w:val="22"/>
        </w:rPr>
        <w:t>Initial Award</w:t>
      </w:r>
      <w:r>
        <w:rPr>
          <w:color w:val="000000"/>
        </w:rPr>
        <w:t>”</w:t>
      </w:r>
      <w:r>
        <w:rPr>
          <w:rFonts w:ascii="Times New Roman;sans-serif" w:hAnsi="Times New Roman;sans-serif"/>
          <w:b w:val="false"/>
          <w:color w:val="000000"/>
          <w:sz w:val="22"/>
        </w:rPr>
        <w:t>). The Initial Award will vest annually over three years (on the same day of the month as the Start Date), subject to continued service on Board through each vesting date, </w:t>
      </w:r>
      <w:r>
        <w:rPr>
          <w:rFonts w:ascii="Times New Roman;sans-serif" w:hAnsi="Times New Roman;sans-serif"/>
          <w:b w:val="false"/>
          <w:i/>
          <w:color w:val="000000"/>
          <w:sz w:val="22"/>
        </w:rPr>
        <w:t>plus</w:t>
      </w:r>
    </w:p>
    <w:p>
      <w:pPr>
        <w:pStyle w:val="TextBody"/>
        <w:bidi w:val="0"/>
        <w:spacing w:lineRule="auto" w:line="240" w:before="0" w:after="0"/>
        <w:jc w:val="both"/>
        <w:rPr>
          <w:color w:val="000000"/>
        </w:rPr>
      </w:pPr>
      <w:r>
        <w:rPr>
          <w:color w:val="000000"/>
        </w:rPr>
        <w:t> </w:t>
      </w:r>
    </w:p>
    <w:p>
      <w:pPr>
        <w:pStyle w:val="TextBody"/>
        <w:bidi w:val="0"/>
        <w:spacing w:lineRule="auto" w:line="240"/>
        <w:ind w:left="0" w:right="0" w:firstLine="1440"/>
        <w:jc w:val="both"/>
        <w:rPr/>
      </w:pPr>
      <w:r>
        <w:rPr>
          <w:rFonts w:ascii="Times New Roman;sans-serif" w:hAnsi="Times New Roman;sans-serif"/>
          <w:b w:val="false"/>
          <w:color w:val="000000"/>
          <w:sz w:val="22"/>
        </w:rPr>
        <w:t>(2)    an award of Restricted Stock Units equal to the product of (A) the number of Restricted Stock Units subject to the Annual Award provided to Outside Directors at the last annual meeting of stockholders (the “</w:t>
      </w:r>
      <w:r>
        <w:rPr>
          <w:rFonts w:ascii="Times New Roman;sans-serif" w:hAnsi="Times New Roman;sans-serif"/>
          <w:b/>
          <w:color w:val="000000"/>
          <w:sz w:val="22"/>
        </w:rPr>
        <w:t>Annual Meeting</w:t>
      </w:r>
      <w:r>
        <w:rPr>
          <w:color w:val="000000"/>
        </w:rPr>
        <w:t>”</w:t>
      </w:r>
      <w:r>
        <w:rPr>
          <w:rFonts w:ascii="Times New Roman;sans-serif" w:hAnsi="Times New Roman;sans-serif"/>
          <w:b w:val="false"/>
          <w:color w:val="000000"/>
          <w:sz w:val="22"/>
        </w:rPr>
        <w:t>) </w:t>
      </w:r>
      <w:r>
        <w:rPr>
          <w:rFonts w:ascii="Times New Roman;sans-serif" w:hAnsi="Times New Roman;sans-serif"/>
          <w:b w:val="false"/>
          <w:i/>
          <w:color w:val="000000"/>
          <w:sz w:val="22"/>
        </w:rPr>
        <w:t>multiplied by </w:t>
      </w:r>
      <w:r>
        <w:rPr>
          <w:rFonts w:ascii="Times New Roman;sans-serif" w:hAnsi="Times New Roman;sans-serif"/>
          <w:b w:val="false"/>
          <w:color w:val="000000"/>
          <w:sz w:val="22"/>
        </w:rPr>
        <w:t>(B) a fraction (i) the numerator of which is (x) 12 minus (y) the number of fully completed months between the date of the last Annual Meeting and the Start Date and (ii) the denominator of which is 12, rounded to the nearest unit (the “</w:t>
      </w:r>
      <w:r>
        <w:rPr>
          <w:rFonts w:ascii="Times New Roman;sans-serif" w:hAnsi="Times New Roman;sans-serif"/>
          <w:b/>
          <w:color w:val="000000"/>
          <w:sz w:val="22"/>
        </w:rPr>
        <w:t xml:space="preserve">Additional </w:t>
      </w:r>
    </w:p>
    <w:p>
      <w:pPr>
        <w:pStyle w:val="TextBody"/>
        <w:bidi w:val="0"/>
        <w:spacing w:lineRule="auto" w:line="240"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10.1</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color w:val="000000"/>
          <w:sz w:val="22"/>
        </w:rPr>
        <w:t>Initial Award</w:t>
      </w:r>
      <w:r>
        <w:rPr>
          <w:color w:val="000000"/>
        </w:rPr>
        <w:t>”</w:t>
      </w:r>
      <w:r>
        <w:rPr>
          <w:rFonts w:ascii="Times New Roman;sans-serif" w:hAnsi="Times New Roman;sans-serif"/>
          <w:b w:val="false"/>
          <w:color w:val="000000"/>
          <w:sz w:val="22"/>
        </w:rPr>
        <w:t>).  For purposes of this calculation, any partial month of service shall be deemed a fully completed month of service. The Additional Initial Award will vest in full on the earlier of (i) the date of the next Annual Meeting held after the Start Date or (ii) the date on which the other directors’ Annual Awards for such year vest, subject to continued service on the Board through such vesting date.</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Annual Award</w:t>
      </w:r>
      <w:r>
        <w:rPr>
          <w:rFonts w:ascii="Times New Roman;sans-serif" w:hAnsi="Times New Roman;sans-serif"/>
          <w:b w:val="false"/>
          <w:color w:val="000000"/>
          <w:sz w:val="22"/>
        </w:rPr>
        <w:t>.  On the day of the Annual Meeting, each Outside Director will be automatically granted an award of Restricted Stock Units with a Value of $250,000 (the “</w:t>
      </w:r>
      <w:r>
        <w:rPr>
          <w:rFonts w:ascii="Times New Roman;sans-serif" w:hAnsi="Times New Roman;sans-serif"/>
          <w:b/>
          <w:color w:val="000000"/>
          <w:sz w:val="22"/>
        </w:rPr>
        <w:t>Annual Award</w:t>
      </w:r>
      <w:r>
        <w:rPr>
          <w:color w:val="000000"/>
        </w:rPr>
        <w:t>”</w:t>
      </w:r>
      <w:r>
        <w:rPr>
          <w:rFonts w:ascii="Times New Roman;sans-serif" w:hAnsi="Times New Roman;sans-serif"/>
          <w:b w:val="false"/>
          <w:color w:val="000000"/>
          <w:sz w:val="22"/>
        </w:rPr>
        <w:t>).  The Annual Award will vest in full on the earlier of (i) the one-year anniversary of the date of grant or (ii) on the date of the next Annual Meeting held after the date of grant, in each case, subject to continued service on the Board through each vesting date.</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Value</w:t>
      </w:r>
      <w:r>
        <w:rPr>
          <w:rFonts w:ascii="Times New Roman;sans-serif" w:hAnsi="Times New Roman;sans-serif"/>
          <w:b w:val="false"/>
          <w:color w:val="000000"/>
          <w:sz w:val="22"/>
        </w:rPr>
        <w:t>.  For purposes of Sections 2(a) and 2(b), “</w:t>
      </w:r>
      <w:r>
        <w:rPr>
          <w:rFonts w:ascii="Times New Roman;sans-serif" w:hAnsi="Times New Roman;sans-serif"/>
          <w:b/>
          <w:color w:val="000000"/>
          <w:sz w:val="22"/>
        </w:rPr>
        <w:t>Value</w:t>
      </w:r>
      <w:r>
        <w:rPr>
          <w:color w:val="000000"/>
        </w:rPr>
        <w:t xml:space="preserve">” </w:t>
      </w:r>
      <w:r>
        <w:rPr>
          <w:rFonts w:ascii="Times New Roman;sans-serif" w:hAnsi="Times New Roman;sans-serif"/>
          <w:b w:val="false"/>
          <w:color w:val="000000"/>
          <w:sz w:val="22"/>
        </w:rPr>
        <w:t>means the fair value for financial accounting purposes based on the closing price on the date of grant, with the number of Shares of our Common Stock determined based on that Value, rounded down.</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color w:val="000000"/>
          <w:sz w:val="22"/>
        </w:rPr>
        <w:t>3.</w:t>
      </w:r>
      <w:r>
        <w:rPr>
          <w:color w:val="000000"/>
        </w:rPr>
        <w:t>    </w:t>
      </w:r>
      <w:r>
        <w:rPr>
          <w:rFonts w:ascii="Times New Roman;sans-serif" w:hAnsi="Times New Roman;sans-serif"/>
          <w:b/>
          <w:color w:val="000000"/>
          <w:sz w:val="22"/>
          <w:u w:val="single"/>
        </w:rPr>
        <w:t>OTHER COMPENSATION AND BENEFITS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Outside Directors may also be eligible to receive other compensation and benefits, including reasonable personal benefits and perquisites, as determined by the Administrator from time to time.</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color w:val="000000"/>
          <w:sz w:val="22"/>
        </w:rPr>
        <w:t>4.</w:t>
      </w:r>
      <w:r>
        <w:rPr>
          <w:color w:val="000000"/>
        </w:rPr>
        <w:t>    </w:t>
      </w:r>
      <w:r>
        <w:rPr>
          <w:rFonts w:ascii="Times New Roman;sans-serif" w:hAnsi="Times New Roman;sans-serif"/>
          <w:b/>
          <w:color w:val="000000"/>
          <w:sz w:val="22"/>
          <w:u w:val="single"/>
        </w:rPr>
        <w:t>CHANGE IN CONTROL</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the event of a Change in Control, each Outside Director will fully vest in his or her outstanding Company equity awards, including any Initial Award, Additional Initial Award or Annual Award, provided that the Outside Director continues to be an Outside Director through such date.</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color w:val="000000"/>
          <w:sz w:val="22"/>
        </w:rPr>
        <w:t>5.</w:t>
      </w:r>
      <w:r>
        <w:rPr>
          <w:color w:val="000000"/>
        </w:rPr>
        <w:t>    </w:t>
      </w:r>
      <w:r>
        <w:rPr>
          <w:rFonts w:ascii="Times New Roman;sans-serif" w:hAnsi="Times New Roman;sans-serif"/>
          <w:b/>
          <w:color w:val="000000"/>
          <w:sz w:val="22"/>
          <w:u w:val="single"/>
        </w:rPr>
        <w:t>ANNUAL COMPENSATION LIMIT</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Any cash compensation and Awards granted to an Outside Director shall be subject to the limits provided in Section 12 of the Plan.</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color w:val="000000"/>
          <w:sz w:val="22"/>
        </w:rPr>
        <w:t>6.    </w:t>
      </w:r>
      <w:r>
        <w:rPr>
          <w:rFonts w:ascii="Times New Roman;sans-serif" w:hAnsi="Times New Roman;sans-serif"/>
          <w:b/>
          <w:color w:val="000000"/>
          <w:sz w:val="22"/>
          <w:u w:val="single"/>
        </w:rPr>
        <w:t>TRAVEL EXPENSES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Outside Director’s reasonable, customary and documented travel expenses to Board meetings will be reimbursed by the Company.</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color w:val="000000"/>
          <w:sz w:val="22"/>
        </w:rPr>
        <w:t>7.    </w:t>
      </w:r>
      <w:r>
        <w:rPr>
          <w:rFonts w:ascii="Times New Roman;sans-serif" w:hAnsi="Times New Roman;sans-serif"/>
          <w:b/>
          <w:color w:val="000000"/>
          <w:sz w:val="22"/>
          <w:u w:val="single"/>
        </w:rPr>
        <w:t>ADDITIONAL PROVISIONS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All provisions of the Plan not inconsistent with this Policy will apply to Awards granted to Outside Directors.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color w:val="000000"/>
          <w:sz w:val="22"/>
        </w:rPr>
        <w:t>8.    </w:t>
      </w:r>
      <w:r>
        <w:rPr>
          <w:rFonts w:ascii="Times New Roman;sans-serif" w:hAnsi="Times New Roman;sans-serif"/>
          <w:b/>
          <w:color w:val="000000"/>
          <w:sz w:val="22"/>
          <w:u w:val="single"/>
        </w:rPr>
        <w:t>ADJUSTMENTS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this Policy, will adjust the number of Shares issuable pursuant to Awards granted under this Policy.</w:t>
      </w:r>
    </w:p>
    <w:p>
      <w:pPr>
        <w:pStyle w:val="TextBody"/>
        <w:bidi w:val="0"/>
        <w:spacing w:lineRule="auto" w:line="240" w:before="0" w:after="0"/>
        <w:ind w:left="0" w:right="0" w:hanging="360"/>
        <w:jc w:val="both"/>
        <w:rPr>
          <w:color w:val="000000"/>
          <w:shd w:fill="FFFFFF" w:val="clear"/>
        </w:rPr>
      </w:pPr>
      <w:r>
        <w:rPr>
          <w:color w:val="000000"/>
          <w:shd w:fill="FFFFFF" w:val="clear"/>
        </w:rPr>
        <w:t> </w:t>
      </w:r>
    </w:p>
    <w:p>
      <w:pPr>
        <w:pStyle w:val="TextBody"/>
        <w:bidi w:val="0"/>
        <w:spacing w:lineRule="auto" w:line="240" w:before="0" w:after="0"/>
        <w:jc w:val="both"/>
        <w:rPr/>
      </w:pPr>
      <w:r>
        <w:rPr>
          <w:rFonts w:ascii="Times New Roman;sans-serif" w:hAnsi="Times New Roman;sans-serif"/>
          <w:b/>
          <w:color w:val="000000"/>
          <w:sz w:val="22"/>
          <w:shd w:fill="FFFFFF" w:val="clear"/>
        </w:rPr>
        <w:t>9.    </w:t>
      </w:r>
      <w:r>
        <w:rPr>
          <w:rFonts w:ascii="Times New Roman;sans-serif" w:hAnsi="Times New Roman;sans-serif"/>
          <w:b/>
          <w:color w:val="000000"/>
          <w:sz w:val="22"/>
          <w:u w:val="single"/>
          <w:shd w:fill="FFFFFF" w:val="clear"/>
        </w:rPr>
        <w:t>SECTION 409A</w:t>
      </w:r>
    </w:p>
    <w:p>
      <w:pPr>
        <w:pStyle w:val="TextBody"/>
        <w:bidi w:val="0"/>
        <w:spacing w:lineRule="auto" w:line="240" w:before="0" w:after="0"/>
        <w:jc w:val="both"/>
        <w:rPr>
          <w:color w:val="000000"/>
          <w:shd w:fill="FFFFFF" w:val="clear"/>
        </w:rPr>
      </w:pPr>
      <w:r>
        <w:rPr>
          <w:color w:val="000000"/>
          <w:shd w:fill="FFFFFF" w:val="clear"/>
        </w:rPr>
        <w:t> </w:t>
      </w:r>
    </w:p>
    <w:p>
      <w:pPr>
        <w:pStyle w:val="TextBody"/>
        <w:bidi w:val="0"/>
        <w:spacing w:lineRule="auto" w:line="24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 xml:space="preserve">In no event will cash compensation or expense reimbursement payments under this Policy be paid after the later of (i) the 15th day of the 3rd month following the end of the Company’s fiscal year in which the compensation is earned or expenses are incurred, as applicable, or (ii) the 15th day of the 3rd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w:t>
      </w:r>
    </w:p>
    <w:p>
      <w:pPr>
        <w:pStyle w:val="TextBody"/>
        <w:bidi w:val="0"/>
        <w:spacing w:lineRule="auto" w:line="240"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10.1</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val="false"/>
          <w:color w:val="000000"/>
          <w:sz w:val="22"/>
          <w:shd w:fill="FFFFFF" w:val="clear"/>
        </w:rPr>
        <w:t>amended from time to time (together, “</w:t>
      </w:r>
      <w:r>
        <w:rPr>
          <w:rFonts w:ascii="Times New Roman;sans-serif" w:hAnsi="Times New Roman;sans-serif"/>
          <w:b/>
          <w:color w:val="000000"/>
          <w:sz w:val="22"/>
          <w:shd w:fill="FFFFFF" w:val="clear"/>
        </w:rPr>
        <w:t>Section 409A</w:t>
      </w:r>
      <w:r>
        <w:rPr>
          <w:color w:val="000000"/>
          <w:shd w:fill="FFFFFF" w:val="clear"/>
        </w:rPr>
        <w:t>”</w:t>
      </w:r>
      <w:r>
        <w:rPr>
          <w:rFonts w:ascii="Times New Roman;sans-serif" w:hAnsi="Times New Roman;sans-serif"/>
          <w:b w:val="false"/>
          <w:color w:val="000000"/>
          <w:sz w:val="22"/>
          <w:shd w:fill="FFFFFF" w:val="clear"/>
        </w:rPr>
        <w:t>).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reimburse an Outside Director for any taxes imposed or other costs incurred as a result of Section 409A.</w:t>
      </w:r>
    </w:p>
    <w:p>
      <w:pPr>
        <w:pStyle w:val="TextBody"/>
        <w:bidi w:val="0"/>
        <w:spacing w:lineRule="auto" w:line="240" w:before="0" w:after="0"/>
        <w:jc w:val="both"/>
        <w:rPr>
          <w:color w:val="000000"/>
          <w:shd w:fill="FFFFFF" w:val="clear"/>
        </w:rPr>
      </w:pPr>
      <w:r>
        <w:rPr>
          <w:color w:val="000000"/>
          <w:shd w:fill="FFFFFF" w:val="clear"/>
        </w:rPr>
        <w:t> </w:t>
      </w:r>
    </w:p>
    <w:p>
      <w:pPr>
        <w:pStyle w:val="TextBody"/>
        <w:bidi w:val="0"/>
        <w:spacing w:lineRule="auto" w:line="240" w:before="0" w:after="0"/>
        <w:jc w:val="both"/>
        <w:rPr/>
      </w:pPr>
      <w:r>
        <w:rPr>
          <w:rFonts w:ascii="Times New Roman;sans-serif" w:hAnsi="Times New Roman;sans-serif"/>
          <w:b/>
          <w:color w:val="000000"/>
          <w:sz w:val="22"/>
          <w:shd w:fill="FFFFFF" w:val="clear"/>
        </w:rPr>
        <w:t>10.    </w:t>
      </w:r>
      <w:r>
        <w:rPr>
          <w:rFonts w:ascii="Times New Roman;sans-serif" w:hAnsi="Times New Roman;sans-serif"/>
          <w:b/>
          <w:color w:val="000000"/>
          <w:sz w:val="22"/>
          <w:u w:val="single"/>
          <w:shd w:fill="FFFFFF" w:val="clear"/>
        </w:rPr>
        <w:t>REVISIONS</w:t>
      </w:r>
    </w:p>
    <w:p>
      <w:pPr>
        <w:pStyle w:val="TextBody"/>
        <w:bidi w:val="0"/>
        <w:spacing w:lineRule="auto" w:line="240" w:before="0" w:after="0"/>
        <w:jc w:val="both"/>
        <w:rPr>
          <w:color w:val="000000"/>
          <w:shd w:fill="FFFFFF" w:val="clear"/>
        </w:rPr>
      </w:pPr>
      <w:r>
        <w:rPr>
          <w:color w:val="000000"/>
          <w:shd w:fill="FFFFFF" w:val="clear"/>
        </w:rPr>
        <w:t> </w:t>
      </w:r>
    </w:p>
    <w:p>
      <w:pPr>
        <w:pStyle w:val="TextBody"/>
        <w:bidi w:val="0"/>
        <w:spacing w:lineRule="auto" w:line="240"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Subject to the limitations provided in Section 12 of the Plan, the Administrator, in its discretion, may change and otherwise revise the terms of Initial Awards, Additional Initial Awards or Annual Awards granted under this Policy, including, without limitation, the number of Shares subject thereto, for Initial Awards, Additional Initial Awards or Annual Awards of the same or different type granted on or after the date the Administrator determines to make any such change or revision. For the avoidance of doubt, the Administrator may, in its sole discretion, grant additional awards, compensation and benefits to Outside Directors as the Administrator deems appropriate.</w:t>
      </w:r>
    </w:p>
    <w:p>
      <w:pPr>
        <w:pStyle w:val="TextBody"/>
        <w:bidi w:val="0"/>
        <w:spacing w:lineRule="auto" w:line="240" w:before="0" w:after="0"/>
        <w:jc w:val="both"/>
        <w:rPr>
          <w:color w:val="000000"/>
          <w:shd w:fill="FFFFFF" w:val="clear"/>
        </w:rPr>
      </w:pPr>
      <w:r>
        <w:rPr>
          <w:color w:val="000000"/>
          <w:shd w:fill="FFFFFF" w:val="clear"/>
        </w:rPr>
        <w:t> </w:t>
      </w:r>
    </w:p>
    <w:p>
      <w:pPr>
        <w:pStyle w:val="TextBody"/>
        <w:bidi w:val="0"/>
        <w:spacing w:lineRule="auto" w:line="240" w:before="0" w:after="0"/>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The Board may also amend, alter, suspend or terminate this Policy at any time and for any reason.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prior to the date of such termination.</w:t>
      </w:r>
    </w:p>
    <w:p>
      <w:pPr>
        <w:pStyle w:val="TextBody"/>
        <w:bidi w:val="0"/>
        <w:spacing w:lineRule="auto" w:line="240" w:before="0" w:after="0"/>
        <w:jc w:val="both"/>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lineRule="auto" w:line="240"/>
        <w:jc w:val="left"/>
        <w:rPr>
          <w:rFonts w:ascii="Times New Roman;sans-serif" w:hAnsi="Times New Roman;sans-serif"/>
          <w:b w:val="false"/>
          <w:i/>
          <w:color w:val="000000"/>
          <w:sz w:val="24"/>
        </w:rPr>
      </w:pPr>
      <w:r>
        <w:rPr>
          <w:rFonts w:ascii="Times New Roman;sans-serif" w:hAnsi="Times New Roman;sans-serif"/>
          <w:b w:val="false"/>
          <w:i/>
          <w:color w:val="000000"/>
          <w:sz w:val="24"/>
        </w:rPr>
        <w:t>Last reviewed and amended: June 21,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EXCHANGE ACT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George Kurtz,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CrowdStrike Holdings, Inc.;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30, 2023 </w:t>
      </w:r>
    </w:p>
    <w:tbl>
      <w:tblPr>
        <w:tblW w:w="5455" w:type="dxa"/>
        <w:jc w:val="left"/>
        <w:tblInd w:w="0" w:type="dxa"/>
        <w:tblLayout w:type="fixed"/>
        <w:tblCellMar>
          <w:top w:w="28" w:type="dxa"/>
          <w:left w:w="28" w:type="dxa"/>
          <w:bottom w:w="28" w:type="dxa"/>
          <w:right w:w="28" w:type="dxa"/>
        </w:tblCellMar>
      </w:tblPr>
      <w:tblGrid>
        <w:gridCol w:w="526"/>
        <w:gridCol w:w="462"/>
        <w:gridCol w:w="462"/>
        <w:gridCol w:w="1171"/>
        <w:gridCol w:w="1171"/>
        <w:gridCol w:w="1663"/>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r>
      <w:tr>
        <w:trPr/>
        <w:tc>
          <w:tcPr>
            <w:tcW w:w="54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CROWDSTRIKE HOLDINGS, INC.</w:t>
            </w:r>
          </w:p>
        </w:tc>
      </w:tr>
      <w:tr>
        <w:trPr/>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George Kurtz</w:t>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George Kurtz</w:t>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br/>
              <w:t>(Principal Executive Officer)</w:t>
            </w:r>
          </w:p>
        </w:tc>
      </w:tr>
    </w:tbl>
    <w:p>
      <w:pPr>
        <w:pStyle w:val="TextBody"/>
        <w:bidi w:val="0"/>
        <w:spacing w:before="2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EXCHANGE ACT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Burt W. Podbere,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CrowdStrike Holdings, Inc.;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30, 2023 </w:t>
      </w:r>
    </w:p>
    <w:tbl>
      <w:tblPr>
        <w:tblW w:w="5815" w:type="dxa"/>
        <w:jc w:val="left"/>
        <w:tblInd w:w="0" w:type="dxa"/>
        <w:tblLayout w:type="fixed"/>
        <w:tblCellMar>
          <w:top w:w="28" w:type="dxa"/>
          <w:left w:w="28" w:type="dxa"/>
          <w:bottom w:w="28" w:type="dxa"/>
          <w:right w:w="28" w:type="dxa"/>
        </w:tblCellMar>
      </w:tblPr>
      <w:tblGrid>
        <w:gridCol w:w="526"/>
        <w:gridCol w:w="462"/>
        <w:gridCol w:w="462"/>
        <w:gridCol w:w="1276"/>
        <w:gridCol w:w="1276"/>
        <w:gridCol w:w="1813"/>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r>
      <w:tr>
        <w:trPr/>
        <w:tc>
          <w:tcPr>
            <w:tcW w:w="58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CROWDSTRIKE HOLDINGS, INC.</w:t>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Burt W. Podbere</w:t>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Burt W. Podbere</w:t>
            </w:r>
          </w:p>
        </w:tc>
      </w:tr>
      <w:tr>
        <w:trPr/>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6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(Principal Financial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AND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George Kurtz, the President and Chief Executive Officer of CrowdStrike Holdings, Inc., certify, pursuant to 18 U.S.C. Section 1350, as adopted pursuant to Section 906 of the Sarbanes-Oxley Act of 2002, that the Quarterly Report on Form 10-Q of CrowdStrike Holdings, Inc. for the fiscal quarter ended July 31, 2023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tbl>
      <w:tblPr>
        <w:tblW w:w="6583" w:type="dxa"/>
        <w:jc w:val="left"/>
        <w:tblInd w:w="0" w:type="dxa"/>
        <w:tblLayout w:type="fixed"/>
        <w:tblCellMar>
          <w:top w:w="28" w:type="dxa"/>
          <w:left w:w="28" w:type="dxa"/>
          <w:bottom w:w="28" w:type="dxa"/>
          <w:right w:w="28" w:type="dxa"/>
        </w:tblCellMar>
      </w:tblPr>
      <w:tblGrid>
        <w:gridCol w:w="705"/>
        <w:gridCol w:w="621"/>
        <w:gridCol w:w="624"/>
        <w:gridCol w:w="208"/>
        <w:gridCol w:w="208"/>
        <w:gridCol w:w="213"/>
        <w:gridCol w:w="1172"/>
        <w:gridCol w:w="1172"/>
        <w:gridCol w:w="166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30, 2023</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George Kurtz</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George Kurtz</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br/>
              <w:t>(Principal Executive Officer)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Burt W. Podbere, the Chief Financial Officer of CrowdStrike Holdings, Inc., certify, pursuant to 18 U.S.C. Section 1350, as adopted pursuant to Section 906 of the Sarbanes-Oxley Act of 2002, that the Quarterly Report on Form 10-Q of CrowdStrike Holdings, Inc. for the fiscal quarter ended July 31, 2023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tbl>
      <w:tblPr>
        <w:tblW w:w="4993" w:type="dxa"/>
        <w:jc w:val="left"/>
        <w:tblInd w:w="0" w:type="dxa"/>
        <w:tblLayout w:type="fixed"/>
        <w:tblCellMar>
          <w:top w:w="28" w:type="dxa"/>
          <w:left w:w="28" w:type="dxa"/>
          <w:bottom w:w="28" w:type="dxa"/>
          <w:right w:w="28" w:type="dxa"/>
        </w:tblCellMar>
      </w:tblPr>
      <w:tblGrid>
        <w:gridCol w:w="705"/>
        <w:gridCol w:w="621"/>
        <w:gridCol w:w="624"/>
        <w:gridCol w:w="208"/>
        <w:gridCol w:w="208"/>
        <w:gridCol w:w="213"/>
        <w:gridCol w:w="705"/>
        <w:gridCol w:w="705"/>
        <w:gridCol w:w="100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30, 2023</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Burt W. Podbere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Burt W. Podbere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35527/000110465919035685/a19-11597_1ex3d1.htm" TargetMode="External"/><Relationship Id="rId3" Type="http://schemas.openxmlformats.org/officeDocument/2006/relationships/hyperlink" Target="http://www.sec.gov/Archives/edgar/data/1535527/000110465919035685/a19-11597_1ex3d1.htm" TargetMode="External"/><Relationship Id="rId4" Type="http://schemas.openxmlformats.org/officeDocument/2006/relationships/hyperlink" Target="http://www.sec.gov/Archives/edgar/data/1535527/000110465919035685/a19-11597_1ex3d2.htm" TargetMode="External"/><Relationship Id="rId5" Type="http://schemas.openxmlformats.org/officeDocument/2006/relationships/hyperlink" Target="http://www.sec.gov/Archives/edgar/data/1535527/000110465919035685/a19-11597_1ex3d2.htm" TargetMode="External"/><Relationship Id="rId6" Type="http://schemas.openxmlformats.org/officeDocument/2006/relationships/hyperlink" Target="http://www.sec.gov/Archives/edgar/data/1535527/000110465921002705/tm2039203d2_ex22-1.htm" TargetMode="External"/><Relationship Id="rId7" Type="http://schemas.openxmlformats.org/officeDocument/2006/relationships/hyperlink" Target="http://www.sec.gov/Archives/edgar/data/1535527/000110465921002705/tm2039203d2_ex22-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51253</Words>
  <Characters>284489</Characters>
  <CharactersWithSpaces>333742</CharactersWithSpaces>
  <Paragraphs>3716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