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358140</wp:posOffset>
            </wp:positionV>
            <wp:extent cx="6595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342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426720</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73025</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89535</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1" w:lineRule="exact"/>
        <w:rPr>
          <w:sz w:val="24"/>
          <w:szCs w:val="24"/>
          <w:color w:val="auto"/>
        </w:rPr>
      </w:pPr>
    </w:p>
    <w:p>
      <w:pPr>
        <w:ind w:left="740" w:hanging="462"/>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30, 2019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740" w:hanging="462"/>
        <w:spacing w:after="0"/>
        <w:tabs>
          <w:tab w:leader="none" w:pos="7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transition period from to</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85725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CROWDSTRIKE HOLDINGS,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73025</wp:posOffset>
            </wp:positionV>
            <wp:extent cx="1655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71"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2740" w:type="dxa"/>
            <w:vAlign w:val="bottom"/>
            <w:gridSpan w:val="2"/>
          </w:tcPr>
          <w:p>
            <w:pPr>
              <w:jc w:val="center"/>
              <w:ind w:right="599"/>
              <w:spacing w:after="0"/>
              <w:rPr>
                <w:sz w:val="20"/>
                <w:szCs w:val="20"/>
                <w:color w:val="auto"/>
              </w:rPr>
            </w:pPr>
            <w:r>
              <w:rPr>
                <w:rFonts w:ascii="Arial" w:cs="Arial" w:eastAsia="Arial" w:hAnsi="Arial"/>
                <w:sz w:val="16"/>
                <w:szCs w:val="16"/>
                <w:b w:val="1"/>
                <w:bCs w:val="1"/>
                <w:color w:val="auto"/>
                <w:w w:val="93"/>
              </w:rPr>
              <w:t>Delaware</w:t>
            </w: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20" w:type="dxa"/>
            <w:vAlign w:val="bottom"/>
            <w:gridSpan w:val="3"/>
          </w:tcPr>
          <w:p>
            <w:pPr>
              <w:jc w:val="center"/>
              <w:ind w:left="399"/>
              <w:spacing w:after="0"/>
              <w:rPr>
                <w:sz w:val="20"/>
                <w:szCs w:val="20"/>
                <w:color w:val="auto"/>
              </w:rPr>
            </w:pPr>
            <w:r>
              <w:rPr>
                <w:rFonts w:ascii="Arial" w:cs="Arial" w:eastAsia="Arial" w:hAnsi="Arial"/>
                <w:sz w:val="16"/>
                <w:szCs w:val="16"/>
                <w:b w:val="1"/>
                <w:bCs w:val="1"/>
                <w:color w:val="auto"/>
                <w:w w:val="91"/>
              </w:rPr>
              <w:t>45-3788918</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2740" w:type="dxa"/>
            <w:vAlign w:val="bottom"/>
            <w:gridSpan w:val="2"/>
          </w:tcPr>
          <w:p>
            <w:pPr>
              <w:jc w:val="center"/>
              <w:ind w:right="619"/>
              <w:spacing w:after="0"/>
              <w:rPr>
                <w:sz w:val="20"/>
                <w:szCs w:val="20"/>
                <w:color w:val="auto"/>
              </w:rPr>
            </w:pPr>
            <w:r>
              <w:rPr>
                <w:rFonts w:ascii="Arial" w:cs="Arial" w:eastAsia="Arial" w:hAnsi="Arial"/>
                <w:sz w:val="16"/>
                <w:szCs w:val="16"/>
                <w:color w:val="auto"/>
                <w:w w:val="93"/>
              </w:rPr>
              <w:t>(State or other jurisdiction of</w:t>
            </w: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40" w:type="dxa"/>
            <w:vAlign w:val="bottom"/>
            <w:gridSpan w:val="3"/>
          </w:tcPr>
          <w:p>
            <w:pPr>
              <w:jc w:val="center"/>
              <w:ind w:right="320"/>
              <w:spacing w:after="0"/>
              <w:rPr>
                <w:sz w:val="20"/>
                <w:szCs w:val="20"/>
                <w:color w:val="auto"/>
              </w:rPr>
            </w:pPr>
            <w:r>
              <w:rPr>
                <w:rFonts w:ascii="Arial" w:cs="Arial" w:eastAsia="Arial" w:hAnsi="Arial"/>
                <w:sz w:val="16"/>
                <w:szCs w:val="16"/>
                <w:color w:val="auto"/>
                <w:w w:val="93"/>
              </w:rPr>
              <w:t>(I.R.S. Employer</w:t>
            </w: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2740" w:type="dxa"/>
            <w:vAlign w:val="bottom"/>
            <w:gridSpan w:val="2"/>
          </w:tcPr>
          <w:p>
            <w:pPr>
              <w:jc w:val="center"/>
              <w:ind w:right="619"/>
              <w:spacing w:after="0"/>
              <w:rPr>
                <w:sz w:val="20"/>
                <w:szCs w:val="20"/>
                <w:color w:val="auto"/>
              </w:rPr>
            </w:pPr>
            <w:r>
              <w:rPr>
                <w:rFonts w:ascii="Arial" w:cs="Arial" w:eastAsia="Arial" w:hAnsi="Arial"/>
                <w:sz w:val="16"/>
                <w:szCs w:val="16"/>
                <w:color w:val="auto"/>
                <w:w w:val="94"/>
              </w:rPr>
              <w:t>incorporation or organization)</w:t>
            </w:r>
          </w:p>
        </w:tc>
        <w:tc>
          <w:tcPr>
            <w:tcW w:w="3740" w:type="dxa"/>
            <w:vAlign w:val="bottom"/>
            <w:gridSpan w:val="4"/>
            <w:vMerge w:val="restart"/>
          </w:tcPr>
          <w:p>
            <w:pPr>
              <w:jc w:val="center"/>
              <w:ind w:right="20"/>
              <w:spacing w:after="0"/>
              <w:rPr>
                <w:sz w:val="20"/>
                <w:szCs w:val="20"/>
                <w:color w:val="auto"/>
              </w:rPr>
            </w:pPr>
            <w:r>
              <w:rPr>
                <w:rFonts w:ascii="Arial" w:cs="Arial" w:eastAsia="Arial" w:hAnsi="Arial"/>
                <w:sz w:val="16"/>
                <w:szCs w:val="16"/>
                <w:b w:val="1"/>
                <w:bCs w:val="1"/>
                <w:color w:val="auto"/>
                <w:w w:val="92"/>
              </w:rPr>
              <w:t>150 Mathilda Place, Suite 300</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40" w:type="dxa"/>
            <w:vAlign w:val="bottom"/>
            <w:gridSpan w:val="3"/>
          </w:tcPr>
          <w:p>
            <w:pPr>
              <w:jc w:val="center"/>
              <w:ind w:right="320"/>
              <w:spacing w:after="0"/>
              <w:rPr>
                <w:sz w:val="20"/>
                <w:szCs w:val="20"/>
                <w:color w:val="auto"/>
              </w:rPr>
            </w:pPr>
            <w:r>
              <w:rPr>
                <w:rFonts w:ascii="Arial" w:cs="Arial" w:eastAsia="Arial" w:hAnsi="Arial"/>
                <w:sz w:val="16"/>
                <w:szCs w:val="16"/>
                <w:color w:val="auto"/>
                <w:w w:val="95"/>
              </w:rPr>
              <w:t>Identification Number)</w:t>
            </w:r>
          </w:p>
        </w:tc>
        <w:tc>
          <w:tcPr>
            <w:tcW w:w="0" w:type="dxa"/>
            <w:vAlign w:val="bottom"/>
          </w:tcPr>
          <w:p>
            <w:pPr>
              <w:spacing w:after="0"/>
              <w:rPr>
                <w:sz w:val="1"/>
                <w:szCs w:val="1"/>
                <w:color w:val="auto"/>
              </w:rPr>
            </w:pPr>
          </w:p>
        </w:tc>
      </w:tr>
      <w:tr>
        <w:trPr>
          <w:trHeight w:val="195"/>
        </w:trPr>
        <w:tc>
          <w:tcPr>
            <w:tcW w:w="7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74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2"/>
              </w:rPr>
              <w:t>Sunnyvale, California 94086</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740" w:type="dxa"/>
            <w:vAlign w:val="bottom"/>
            <w:gridSpan w:val="4"/>
          </w:tcPr>
          <w:p>
            <w:pPr>
              <w:jc w:val="center"/>
              <w:ind w:right="20"/>
              <w:spacing w:after="0"/>
              <w:rPr>
                <w:sz w:val="20"/>
                <w:szCs w:val="20"/>
                <w:color w:val="auto"/>
              </w:rPr>
            </w:pPr>
            <w:r>
              <w:rPr>
                <w:rFonts w:ascii="Arial" w:cs="Arial" w:eastAsia="Arial" w:hAnsi="Arial"/>
                <w:sz w:val="16"/>
                <w:szCs w:val="16"/>
                <w:color w:val="auto"/>
                <w:w w:val="93"/>
              </w:rPr>
              <w:t>(Address of principal executive offices)</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480" w:type="dxa"/>
            <w:vAlign w:val="bottom"/>
            <w:gridSpan w:val="5"/>
          </w:tcPr>
          <w:p>
            <w:pPr>
              <w:jc w:val="center"/>
              <w:ind w:left="339"/>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74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740" w:type="dxa"/>
            <w:vAlign w:val="bottom"/>
            <w:tcBorders>
              <w:left w:val="single" w:sz="8" w:color="auto"/>
            </w:tcBorders>
          </w:tcPr>
          <w:p>
            <w:pPr>
              <w:spacing w:after="0"/>
              <w:rPr>
                <w:sz w:val="13"/>
                <w:szCs w:val="13"/>
                <w:color w:val="auto"/>
              </w:rPr>
            </w:pPr>
          </w:p>
        </w:tc>
        <w:tc>
          <w:tcPr>
            <w:tcW w:w="2000" w:type="dxa"/>
            <w:vAlign w:val="bottom"/>
          </w:tcPr>
          <w:p>
            <w:pPr>
              <w:jc w:val="center"/>
              <w:spacing w:after="0" w:line="155" w:lineRule="exact"/>
              <w:rPr>
                <w:sz w:val="20"/>
                <w:szCs w:val="20"/>
                <w:color w:val="auto"/>
              </w:rPr>
            </w:pPr>
            <w:r>
              <w:rPr>
                <w:rFonts w:ascii="Arial" w:cs="Arial" w:eastAsia="Arial" w:hAnsi="Arial"/>
                <w:sz w:val="16"/>
                <w:szCs w:val="16"/>
                <w:color w:val="auto"/>
                <w:w w:val="91"/>
              </w:rPr>
              <w:t>Title of each class of securities</w:t>
            </w:r>
          </w:p>
        </w:tc>
        <w:tc>
          <w:tcPr>
            <w:tcW w:w="740" w:type="dxa"/>
            <w:vAlign w:val="bottom"/>
            <w:tcBorders>
              <w:right w:val="single" w:sz="8" w:color="auto"/>
            </w:tcBorders>
          </w:tcPr>
          <w:p>
            <w:pPr>
              <w:spacing w:after="0"/>
              <w:rPr>
                <w:sz w:val="13"/>
                <w:szCs w:val="13"/>
                <w:color w:val="auto"/>
              </w:rPr>
            </w:pPr>
          </w:p>
        </w:tc>
        <w:tc>
          <w:tcPr>
            <w:tcW w:w="1120" w:type="dxa"/>
            <w:vAlign w:val="bottom"/>
          </w:tcPr>
          <w:p>
            <w:pPr>
              <w:spacing w:after="0"/>
              <w:rPr>
                <w:sz w:val="13"/>
                <w:szCs w:val="13"/>
                <w:color w:val="auto"/>
              </w:rPr>
            </w:pPr>
          </w:p>
        </w:tc>
        <w:tc>
          <w:tcPr>
            <w:tcW w:w="1200" w:type="dxa"/>
            <w:vAlign w:val="bottom"/>
          </w:tcPr>
          <w:p>
            <w:pPr>
              <w:jc w:val="center"/>
              <w:spacing w:after="0" w:line="155" w:lineRule="exact"/>
              <w:rPr>
                <w:sz w:val="20"/>
                <w:szCs w:val="20"/>
                <w:color w:val="auto"/>
              </w:rPr>
            </w:pPr>
            <w:r>
              <w:rPr>
                <w:rFonts w:ascii="Arial" w:cs="Arial" w:eastAsia="Arial" w:hAnsi="Arial"/>
                <w:sz w:val="16"/>
                <w:szCs w:val="16"/>
                <w:color w:val="auto"/>
                <w:w w:val="93"/>
              </w:rPr>
              <w:t>Trading symbol(s)</w:t>
            </w:r>
          </w:p>
        </w:tc>
        <w:tc>
          <w:tcPr>
            <w:tcW w:w="11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40" w:type="dxa"/>
            <w:vAlign w:val="bottom"/>
            <w:tcBorders>
              <w:right w:val="single" w:sz="8" w:color="auto"/>
            </w:tcBorders>
            <w:gridSpan w:val="3"/>
          </w:tcPr>
          <w:p>
            <w:pPr>
              <w:jc w:val="center"/>
              <w:ind w:right="560"/>
              <w:spacing w:after="0" w:line="155" w:lineRule="exact"/>
              <w:rPr>
                <w:sz w:val="20"/>
                <w:szCs w:val="20"/>
                <w:color w:val="auto"/>
              </w:rPr>
            </w:pPr>
            <w:r>
              <w:rPr>
                <w:rFonts w:ascii="Arial" w:cs="Arial" w:eastAsia="Arial" w:hAnsi="Arial"/>
                <w:sz w:val="16"/>
                <w:szCs w:val="16"/>
                <w:color w:val="auto"/>
                <w:w w:val="89"/>
              </w:rPr>
              <w:t>Name of each national exchange and</w:t>
            </w:r>
          </w:p>
        </w:tc>
        <w:tc>
          <w:tcPr>
            <w:tcW w:w="0" w:type="dxa"/>
            <w:vAlign w:val="bottom"/>
          </w:tcPr>
          <w:p>
            <w:pPr>
              <w:spacing w:after="0"/>
              <w:rPr>
                <w:sz w:val="1"/>
                <w:szCs w:val="1"/>
                <w:color w:val="auto"/>
              </w:rPr>
            </w:pPr>
          </w:p>
        </w:tc>
      </w:tr>
      <w:tr>
        <w:trPr>
          <w:trHeight w:val="20"/>
        </w:trPr>
        <w:tc>
          <w:tcPr>
            <w:tcW w:w="740" w:type="dxa"/>
            <w:vAlign w:val="bottom"/>
            <w:tcBorders>
              <w:left w:val="single" w:sz="8" w:color="auto"/>
            </w:tcBorders>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0" w:type="dxa"/>
            <w:vAlign w:val="bottom"/>
            <w:tcBorders>
              <w:left w:val="single" w:sz="8" w:color="auto"/>
            </w:tcBorders>
          </w:tcPr>
          <w:p>
            <w:pPr>
              <w:spacing w:after="0"/>
              <w:rPr>
                <w:sz w:val="15"/>
                <w:szCs w:val="15"/>
                <w:color w:val="auto"/>
              </w:rPr>
            </w:pPr>
          </w:p>
        </w:tc>
        <w:tc>
          <w:tcPr>
            <w:tcW w:w="200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180" w:type="dxa"/>
            <w:vAlign w:val="bottom"/>
            <w:tcBorders>
              <w:right w:val="single" w:sz="8" w:color="auto"/>
            </w:tcBorders>
            <w:gridSpan w:val="5"/>
          </w:tcPr>
          <w:p>
            <w:pPr>
              <w:jc w:val="center"/>
              <w:ind w:right="320"/>
              <w:spacing w:after="0" w:line="183" w:lineRule="exact"/>
              <w:rPr>
                <w:sz w:val="20"/>
                <w:szCs w:val="20"/>
                <w:color w:val="auto"/>
              </w:rPr>
            </w:pPr>
            <w:r>
              <w:rPr>
                <w:rFonts w:ascii="Arial" w:cs="Arial" w:eastAsia="Arial" w:hAnsi="Arial"/>
                <w:sz w:val="16"/>
                <w:szCs w:val="16"/>
                <w:color w:val="auto"/>
                <w:w w:val="92"/>
              </w:rPr>
              <w:t>principal U.S. market for the securities</w:t>
            </w:r>
          </w:p>
        </w:tc>
        <w:tc>
          <w:tcPr>
            <w:tcW w:w="0" w:type="dxa"/>
            <w:vAlign w:val="bottom"/>
          </w:tcPr>
          <w:p>
            <w:pPr>
              <w:spacing w:after="0"/>
              <w:rPr>
                <w:sz w:val="1"/>
                <w:szCs w:val="1"/>
                <w:color w:val="auto"/>
              </w:rPr>
            </w:pPr>
          </w:p>
        </w:tc>
      </w:tr>
      <w:tr>
        <w:trPr>
          <w:trHeight w:val="21"/>
        </w:trPr>
        <w:tc>
          <w:tcPr>
            <w:tcW w:w="740" w:type="dxa"/>
            <w:vAlign w:val="bottom"/>
            <w:tcBorders>
              <w:left w:val="single" w:sz="8" w:color="auto"/>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34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w w:val="90"/>
              </w:rPr>
              <w:t>Class A common stock, par value $0.0005 per share</w:t>
            </w:r>
          </w:p>
        </w:tc>
        <w:tc>
          <w:tcPr>
            <w:tcW w:w="1120" w:type="dxa"/>
            <w:vAlign w:val="bottom"/>
          </w:tcPr>
          <w:p>
            <w:pPr>
              <w:spacing w:after="0"/>
              <w:rPr>
                <w:sz w:val="16"/>
                <w:szCs w:val="16"/>
                <w:color w:val="auto"/>
              </w:rPr>
            </w:pPr>
          </w:p>
        </w:tc>
        <w:tc>
          <w:tcPr>
            <w:tcW w:w="2340" w:type="dxa"/>
            <w:vAlign w:val="bottom"/>
            <w:tcBorders>
              <w:right w:val="single" w:sz="8" w:color="auto"/>
            </w:tcBorders>
            <w:gridSpan w:val="2"/>
          </w:tcPr>
          <w:p>
            <w:pPr>
              <w:jc w:val="center"/>
              <w:ind w:right="1140"/>
              <w:spacing w:after="0"/>
              <w:rPr>
                <w:sz w:val="20"/>
                <w:szCs w:val="20"/>
                <w:color w:val="auto"/>
              </w:rPr>
            </w:pPr>
            <w:r>
              <w:rPr>
                <w:rFonts w:ascii="Arial" w:cs="Arial" w:eastAsia="Arial" w:hAnsi="Arial"/>
                <w:sz w:val="16"/>
                <w:szCs w:val="16"/>
                <w:color w:val="auto"/>
                <w:w w:val="96"/>
              </w:rPr>
              <w:t>CRWD</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40" w:type="dxa"/>
            <w:vAlign w:val="bottom"/>
            <w:tcBorders>
              <w:right w:val="single" w:sz="8" w:color="auto"/>
            </w:tcBorders>
            <w:gridSpan w:val="3"/>
          </w:tcPr>
          <w:p>
            <w:pPr>
              <w:jc w:val="center"/>
              <w:ind w:right="560"/>
              <w:spacing w:after="0"/>
              <w:rPr>
                <w:sz w:val="20"/>
                <w:szCs w:val="20"/>
                <w:color w:val="auto"/>
              </w:rPr>
            </w:pPr>
            <w:r>
              <w:rPr>
                <w:rFonts w:ascii="Arial" w:cs="Arial" w:eastAsia="Arial" w:hAnsi="Arial"/>
                <w:sz w:val="16"/>
                <w:szCs w:val="16"/>
                <w:color w:val="auto"/>
                <w:w w:val="94"/>
              </w:rPr>
              <w:t>The Nasdaq Stock Market LLC</w:t>
            </w:r>
          </w:p>
        </w:tc>
        <w:tc>
          <w:tcPr>
            <w:tcW w:w="0" w:type="dxa"/>
            <w:vAlign w:val="bottom"/>
          </w:tcPr>
          <w:p>
            <w:pPr>
              <w:spacing w:after="0"/>
              <w:rPr>
                <w:sz w:val="1"/>
                <w:szCs w:val="1"/>
                <w:color w:val="auto"/>
              </w:rPr>
            </w:pPr>
          </w:p>
        </w:tc>
      </w:tr>
      <w:tr>
        <w:trPr>
          <w:trHeight w:val="209"/>
        </w:trPr>
        <w:tc>
          <w:tcPr>
            <w:tcW w:w="740" w:type="dxa"/>
            <w:vAlign w:val="bottom"/>
            <w:tcBorders>
              <w:left w:val="single" w:sz="8" w:color="auto"/>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940" w:type="dxa"/>
            <w:vAlign w:val="bottom"/>
            <w:tcBorders>
              <w:bottom w:val="single" w:sz="8" w:color="auto"/>
              <w:right w:val="single" w:sz="8" w:color="auto"/>
            </w:tcBorders>
            <w:gridSpan w:val="3"/>
          </w:tcPr>
          <w:p>
            <w:pPr>
              <w:jc w:val="center"/>
              <w:ind w:right="560"/>
              <w:spacing w:after="0"/>
              <w:rPr>
                <w:sz w:val="20"/>
                <w:szCs w:val="20"/>
                <w:color w:val="auto"/>
              </w:rPr>
            </w:pPr>
            <w:r>
              <w:rPr>
                <w:rFonts w:ascii="Arial" w:cs="Arial" w:eastAsia="Arial" w:hAnsi="Arial"/>
                <w:sz w:val="16"/>
                <w:szCs w:val="16"/>
                <w:color w:val="auto"/>
                <w:w w:val="92"/>
              </w:rPr>
              <w:t>(Nasdaq Global Select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120015</wp:posOffset>
            </wp:positionV>
            <wp:extent cx="16554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(888) 512-8906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85725</wp:posOffset>
            </wp:positionV>
            <wp:extent cx="16554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14" w:lineRule="exact"/>
        <w:rPr>
          <w:sz w:val="24"/>
          <w:szCs w:val="24"/>
          <w:color w:val="auto"/>
        </w:rPr>
      </w:pPr>
    </w:p>
    <w:p>
      <w:pPr>
        <w:ind w:right="160" w:firstLine="363"/>
        <w:spacing w:after="0" w:line="21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59" w:lineRule="exact"/>
        <w:rPr>
          <w:sz w:val="24"/>
          <w:szCs w:val="24"/>
          <w:color w:val="auto"/>
        </w:rPr>
      </w:pPr>
    </w:p>
    <w:p>
      <w:pPr>
        <w:ind w:right="340" w:firstLine="363"/>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60" w:lineRule="exact"/>
        <w:rPr>
          <w:sz w:val="24"/>
          <w:szCs w:val="24"/>
          <w:color w:val="auto"/>
        </w:rPr>
      </w:pPr>
    </w:p>
    <w:p>
      <w:pPr>
        <w:ind w:right="60" w:firstLine="363"/>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580" w:type="dxa"/>
        <w:tblCellMar>
          <w:top w:w="0" w:type="dxa"/>
          <w:left w:w="0" w:type="dxa"/>
          <w:bottom w:w="0" w:type="dxa"/>
          <w:right w:w="0" w:type="dxa"/>
        </w:tblCellMar>
      </w:tblPr>
      <w:tr>
        <w:trPr>
          <w:trHeight w:val="214"/>
        </w:trPr>
        <w:tc>
          <w:tcPr>
            <w:tcW w:w="3440" w:type="dxa"/>
            <w:vAlign w:val="bottom"/>
          </w:tcPr>
          <w:p>
            <w:pPr>
              <w:jc w:val="center"/>
              <w:ind w:right="339"/>
              <w:spacing w:after="0"/>
              <w:rPr>
                <w:sz w:val="20"/>
                <w:szCs w:val="20"/>
                <w:color w:val="auto"/>
              </w:rPr>
            </w:pPr>
            <w:r>
              <w:rPr>
                <w:rFonts w:ascii="Arial" w:cs="Arial" w:eastAsia="Arial" w:hAnsi="Arial"/>
                <w:sz w:val="16"/>
                <w:szCs w:val="16"/>
                <w:color w:val="auto"/>
                <w:w w:val="93"/>
              </w:rPr>
              <w:t>Large Accelerated Filer</w:t>
            </w:r>
          </w:p>
        </w:tc>
        <w:tc>
          <w:tcPr>
            <w:tcW w:w="1520" w:type="dxa"/>
            <w:vAlign w:val="bottom"/>
          </w:tcPr>
          <w:p>
            <w:pPr>
              <w:jc w:val="center"/>
              <w:ind w:right="459"/>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3560" w:type="dxa"/>
            <w:vAlign w:val="bottom"/>
          </w:tcPr>
          <w:p>
            <w:pPr>
              <w:jc w:val="center"/>
              <w:spacing w:after="0"/>
              <w:rPr>
                <w:sz w:val="20"/>
                <w:szCs w:val="20"/>
                <w:color w:val="auto"/>
              </w:rPr>
            </w:pPr>
            <w:r>
              <w:rPr>
                <w:rFonts w:ascii="Arial" w:cs="Arial" w:eastAsia="Arial" w:hAnsi="Arial"/>
                <w:sz w:val="16"/>
                <w:szCs w:val="16"/>
                <w:color w:val="auto"/>
                <w:w w:val="93"/>
              </w:rPr>
              <w:t>Accelerated Filer</w:t>
            </w:r>
          </w:p>
        </w:tc>
        <w:tc>
          <w:tcPr>
            <w:tcW w:w="1020" w:type="dxa"/>
            <w:vAlign w:val="bottom"/>
          </w:tcPr>
          <w:p>
            <w:pPr>
              <w:ind w:left="86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216"/>
        </w:trPr>
        <w:tc>
          <w:tcPr>
            <w:tcW w:w="3440" w:type="dxa"/>
            <w:vAlign w:val="bottom"/>
          </w:tcPr>
          <w:p>
            <w:pPr>
              <w:jc w:val="center"/>
              <w:ind w:right="319"/>
              <w:spacing w:after="0"/>
              <w:rPr>
                <w:sz w:val="20"/>
                <w:szCs w:val="20"/>
                <w:color w:val="auto"/>
              </w:rPr>
            </w:pPr>
            <w:r>
              <w:rPr>
                <w:rFonts w:ascii="Arial" w:cs="Arial" w:eastAsia="Arial" w:hAnsi="Arial"/>
                <w:sz w:val="16"/>
                <w:szCs w:val="16"/>
                <w:color w:val="auto"/>
                <w:w w:val="91"/>
              </w:rPr>
              <w:t>Non-accelerated Filer</w:t>
            </w:r>
          </w:p>
        </w:tc>
        <w:tc>
          <w:tcPr>
            <w:tcW w:w="1520" w:type="dxa"/>
            <w:vAlign w:val="bottom"/>
          </w:tcPr>
          <w:p>
            <w:pPr>
              <w:jc w:val="center"/>
              <w:ind w:right="439"/>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3560" w:type="dxa"/>
            <w:vAlign w:val="bottom"/>
          </w:tcPr>
          <w:p>
            <w:pPr>
              <w:jc w:val="center"/>
              <w:spacing w:after="0"/>
              <w:rPr>
                <w:sz w:val="20"/>
                <w:szCs w:val="20"/>
                <w:color w:val="auto"/>
              </w:rPr>
            </w:pPr>
            <w:r>
              <w:rPr>
                <w:rFonts w:ascii="Arial" w:cs="Arial" w:eastAsia="Arial" w:hAnsi="Arial"/>
                <w:sz w:val="16"/>
                <w:szCs w:val="16"/>
                <w:color w:val="auto"/>
                <w:w w:val="92"/>
              </w:rPr>
              <w:t>Smaller reporting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440" w:type="dxa"/>
            <w:vAlign w:val="bottom"/>
          </w:tcPr>
          <w:p>
            <w:pPr>
              <w:jc w:val="center"/>
              <w:ind w:right="339"/>
              <w:spacing w:after="0"/>
              <w:rPr>
                <w:sz w:val="20"/>
                <w:szCs w:val="20"/>
                <w:color w:val="auto"/>
              </w:rPr>
            </w:pPr>
            <w:r>
              <w:rPr>
                <w:rFonts w:ascii="Arial" w:cs="Arial" w:eastAsia="Arial" w:hAnsi="Arial"/>
                <w:sz w:val="16"/>
                <w:szCs w:val="16"/>
                <w:color w:val="auto"/>
                <w:w w:val="93"/>
              </w:rPr>
              <w:t>(Do not check if a smaller reporting company)</w:t>
            </w:r>
          </w:p>
        </w:tc>
        <w:tc>
          <w:tcPr>
            <w:tcW w:w="152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6"/>
                <w:szCs w:val="16"/>
                <w:color w:val="auto"/>
                <w:w w:val="92"/>
              </w:rPr>
              <w:t>Emerging growth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6" w:lineRule="exact"/>
        <w:rPr>
          <w:sz w:val="24"/>
          <w:szCs w:val="24"/>
          <w:color w:val="auto"/>
        </w:rPr>
      </w:pPr>
    </w:p>
    <w:p>
      <w:pPr>
        <w:ind w:right="40" w:firstLine="363"/>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ind w:left="360"/>
        <w:spacing w:after="0" w:line="215" w:lineRule="exact"/>
        <w:tabs>
          <w:tab w:leader="none" w:pos="81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sz w:val="20"/>
          <w:szCs w:val="20"/>
          <w:color w:val="auto"/>
        </w:rPr>
        <w:tab/>
      </w:r>
      <w:r>
        <w:rPr>
          <w:rFonts w:ascii="Arial Unicode MS" w:cs="Arial Unicode MS" w:eastAsia="Arial Unicode MS" w:hAnsi="Arial Unicode MS"/>
          <w:sz w:val="16"/>
          <w:szCs w:val="16"/>
          <w:color w:val="auto"/>
        </w:rPr>
        <w:t xml:space="preserve">☐ </w:t>
      </w:r>
      <w:r>
        <w:rPr>
          <w:rFonts w:ascii="Arial" w:cs="Arial" w:eastAsia="Arial" w:hAnsi="Arial"/>
          <w:sz w:val="16"/>
          <w:szCs w:val="16"/>
          <w:color w:val="auto"/>
        </w:rPr>
        <w:t>No</w:t>
      </w:r>
      <w:r>
        <w:rPr>
          <w:rFonts w:ascii="Arial Unicode MS" w:cs="Arial Unicode MS" w:eastAsia="Arial Unicode MS" w:hAnsi="Arial Unicode MS"/>
          <w:sz w:val="16"/>
          <w:szCs w:val="16"/>
          <w:color w:val="auto"/>
        </w:rPr>
        <w:t xml:space="preserve">  ⌧</w:t>
      </w:r>
    </w:p>
    <w:p>
      <w:pPr>
        <w:spacing w:after="0" w:line="99" w:lineRule="exact"/>
        <w:rPr>
          <w:sz w:val="24"/>
          <w:szCs w:val="24"/>
          <w:color w:val="auto"/>
        </w:rPr>
      </w:pPr>
    </w:p>
    <w:p>
      <w:pPr>
        <w:ind w:right="600" w:firstLine="363"/>
        <w:spacing w:after="0" w:line="293" w:lineRule="auto"/>
        <w:rPr>
          <w:sz w:val="20"/>
          <w:szCs w:val="20"/>
          <w:color w:val="auto"/>
        </w:rPr>
      </w:pPr>
      <w:r>
        <w:rPr>
          <w:rFonts w:ascii="Arial" w:cs="Arial" w:eastAsia="Arial" w:hAnsi="Arial"/>
          <w:sz w:val="16"/>
          <w:szCs w:val="16"/>
          <w:color w:val="auto"/>
        </w:rPr>
        <w:t>As of June 30, 2019, the number of shares of the registrant’s Class A common stock outstanding was 20,700,000, and the number of shares of the registrant’s Class B common stock outstanding was 184,298,485.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424180</wp:posOffset>
            </wp:positionV>
            <wp:extent cx="65951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511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-20955</wp:posOffset>
            </wp:positionV>
            <wp:extent cx="65951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20955</wp:posOffset>
            </wp:positionV>
            <wp:extent cx="659511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5110" cy="34290"/>
                    </a:xfrm>
                    <a:prstGeom prst="rect">
                      <a:avLst/>
                    </a:prstGeom>
                    <a:noFill/>
                  </pic:spPr>
                </pic:pic>
              </a:graphicData>
            </a:graphic>
          </wp:anchor>
        </w:drawing>
      </w:r>
    </w:p>
    <w:p>
      <w:pPr>
        <w:sectPr>
          <w:pgSz w:w="11900" w:h="16838" w:orient="portrait"/>
          <w:cols w:equalWidth="0" w:num="1">
            <w:col w:w="10380"/>
          </w:cols>
          <w:pgMar w:left="760" w:top="665" w:right="7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CROWDSTRIKE HOLDINGS,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00" w:type="dxa"/>
            <w:vAlign w:val="bottom"/>
            <w:gridSpan w:val="8"/>
            <w:vMerge w:val="restart"/>
          </w:tcPr>
          <w:p>
            <w:pPr>
              <w:jc w:val="cente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PART I. FINANCIAL INFORMATION</w:t>
              </w:r>
            </w:hyperlink>
          </w:p>
        </w:tc>
        <w:tc>
          <w:tcPr>
            <w:tcW w:w="2120" w:type="dxa"/>
            <w:vAlign w:val="bottom"/>
            <w:gridSpan w:val="7"/>
            <w:vMerge w:val="restart"/>
          </w:tcPr>
          <w:p>
            <w:pPr>
              <w:spacing w:after="0"/>
              <w:rPr>
                <w:sz w:val="15"/>
                <w:szCs w:val="15"/>
                <w:color w:val="auto"/>
              </w:rPr>
            </w:pPr>
          </w:p>
        </w:tc>
        <w:tc>
          <w:tcPr>
            <w:tcW w:w="740" w:type="dxa"/>
            <w:vAlign w:val="bottom"/>
          </w:tcPr>
          <w:p>
            <w:pPr>
              <w:ind w:left="220"/>
              <w:spacing w:after="0"/>
              <w:rPr>
                <w:sz w:val="20"/>
                <w:szCs w:val="20"/>
                <w:color w:val="auto"/>
              </w:rPr>
            </w:pPr>
            <w:r>
              <w:rPr>
                <w:rFonts w:ascii="Arial" w:cs="Arial" w:eastAsia="Arial" w:hAnsi="Arial"/>
                <w:sz w:val="14"/>
                <w:szCs w:val="14"/>
                <w:color w:val="auto"/>
                <w:w w:val="85"/>
              </w:rPr>
              <w:t>Page No.</w:t>
            </w:r>
          </w:p>
        </w:tc>
        <w:tc>
          <w:tcPr>
            <w:tcW w:w="0" w:type="dxa"/>
            <w:vAlign w:val="bottom"/>
          </w:tcPr>
          <w:p>
            <w:pPr>
              <w:spacing w:after="0"/>
              <w:rPr>
                <w:sz w:val="1"/>
                <w:szCs w:val="1"/>
                <w:color w:val="auto"/>
              </w:rPr>
            </w:pPr>
          </w:p>
        </w:tc>
      </w:tr>
      <w:tr>
        <w:trPr>
          <w:trHeight w:val="179"/>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00" w:type="dxa"/>
            <w:vAlign w:val="bottom"/>
            <w:tcBorders>
              <w:bottom w:val="single" w:sz="8" w:color="0000EE"/>
            </w:tcBorders>
            <w:gridSpan w:val="8"/>
            <w:vMerge w:val="continue"/>
          </w:tcPr>
          <w:p>
            <w:pPr>
              <w:spacing w:after="0"/>
              <w:rPr>
                <w:sz w:val="15"/>
                <w:szCs w:val="15"/>
                <w:color w:val="auto"/>
              </w:rPr>
            </w:pPr>
          </w:p>
        </w:tc>
        <w:tc>
          <w:tcPr>
            <w:tcW w:w="2120" w:type="dxa"/>
            <w:vAlign w:val="bottom"/>
            <w:gridSpan w:val="7"/>
            <w:vMerge w:val="continue"/>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520" w:type="dxa"/>
            <w:vAlign w:val="bottom"/>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3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714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Balance Sheets as of April 30, 2019 and January 31, 2019</w:t>
              </w:r>
            </w:hyperlink>
          </w:p>
        </w:tc>
        <w:tc>
          <w:tcPr>
            <w:tcW w:w="1140" w:type="dxa"/>
            <w:vAlign w:val="bottom"/>
            <w:gridSpan w:val="6"/>
          </w:tcPr>
          <w:p>
            <w:pPr>
              <w:spacing w:after="0"/>
              <w:rPr>
                <w:sz w:val="18"/>
                <w:szCs w:val="18"/>
                <w:color w:val="auto"/>
              </w:rPr>
            </w:pPr>
          </w:p>
        </w:tc>
        <w:tc>
          <w:tcPr>
            <w:tcW w:w="740" w:type="dxa"/>
            <w:vAlign w:val="bottom"/>
          </w:tcPr>
          <w:p>
            <w:pPr>
              <w:jc w:val="center"/>
              <w:ind w:left="151"/>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6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Operations for the Three Months Ended April 30, 2019</w:t>
              </w:r>
            </w:hyperlink>
          </w:p>
        </w:tc>
        <w:tc>
          <w:tcPr>
            <w:tcW w:w="30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and April 30, 2018</w:t>
              </w:r>
            </w:hyperlink>
          </w:p>
        </w:tc>
        <w:tc>
          <w:tcPr>
            <w:tcW w:w="5800" w:type="dxa"/>
            <w:vAlign w:val="bottom"/>
            <w:gridSpan w:val="17"/>
          </w:tcPr>
          <w:p>
            <w:pPr>
              <w:spacing w:after="0"/>
              <w:rPr>
                <w:sz w:val="17"/>
                <w:szCs w:val="17"/>
                <w:color w:val="auto"/>
              </w:rPr>
            </w:pPr>
          </w:p>
        </w:tc>
        <w:tc>
          <w:tcPr>
            <w:tcW w:w="740" w:type="dxa"/>
            <w:vAlign w:val="bottom"/>
          </w:tcPr>
          <w:p>
            <w:pPr>
              <w:jc w:val="center"/>
              <w:ind w:left="151"/>
              <w:spacing w:after="0" w:line="19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8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for the Three Months Ended</w:t>
              </w:r>
            </w:hyperlink>
          </w:p>
        </w:tc>
        <w:tc>
          <w:tcPr>
            <w:tcW w:w="460" w:type="dxa"/>
            <w:vAlign w:val="bottom"/>
            <w:gridSpan w:val="3"/>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40" w:type="dxa"/>
            <w:vAlign w:val="bottom"/>
            <w:gridSpan w:val="2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April 30, 2019 and April 30, 2018</w:t>
              </w:r>
            </w:hyperlink>
          </w:p>
        </w:tc>
        <w:tc>
          <w:tcPr>
            <w:tcW w:w="740" w:type="dxa"/>
            <w:vAlign w:val="bottom"/>
          </w:tcPr>
          <w:p>
            <w:pPr>
              <w:jc w:val="center"/>
              <w:ind w:left="151"/>
              <w:spacing w:after="0" w:line="19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Redeemable Convertible Preferred Stock and</w:t>
              </w:r>
            </w:hyperlink>
          </w:p>
        </w:tc>
        <w:tc>
          <w:tcPr>
            <w:tcW w:w="1000" w:type="dxa"/>
            <w:vAlign w:val="bottom"/>
            <w:gridSpan w:val="5"/>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40" w:type="dxa"/>
            <w:vAlign w:val="bottom"/>
            <w:gridSpan w:val="21"/>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Stockholders’ Deficit for the Three Months Ended April 30, 2019 and April 30, 2018</w:t>
              </w:r>
            </w:hyperlink>
          </w:p>
        </w:tc>
        <w:tc>
          <w:tcPr>
            <w:tcW w:w="740" w:type="dxa"/>
            <w:vAlign w:val="bottom"/>
          </w:tcPr>
          <w:p>
            <w:pPr>
              <w:jc w:val="center"/>
              <w:ind w:left="151"/>
              <w:spacing w:after="0" w:line="19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21"/>
          </w:tcPr>
          <w:p>
            <w:pPr>
              <w:spacing w:after="0"/>
              <w:rPr>
                <w:rFonts w:ascii="Arial" w:cs="Arial" w:eastAsia="Arial" w:hAnsi="Arial"/>
                <w:sz w:val="18"/>
                <w:szCs w:val="18"/>
                <w:color w:val="0000EE"/>
                <w:w w:val="93"/>
              </w:rPr>
            </w:pPr>
            <w:hyperlink w:anchor="page9">
              <w:r>
                <w:rPr>
                  <w:rFonts w:ascii="Arial" w:cs="Arial" w:eastAsia="Arial" w:hAnsi="Arial"/>
                  <w:sz w:val="18"/>
                  <w:szCs w:val="18"/>
                  <w:color w:val="0000EE"/>
                  <w:w w:val="93"/>
                </w:rPr>
                <w:t>Condensed Consolidated Statements of Cash Flows for the Three Months Ended April 30, 2019</w:t>
              </w:r>
            </w:hyperlink>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and April 30, 2018</w:t>
              </w:r>
            </w:hyperlink>
          </w:p>
        </w:tc>
        <w:tc>
          <w:tcPr>
            <w:tcW w:w="240" w:type="dxa"/>
            <w:vAlign w:val="bottom"/>
          </w:tcPr>
          <w:p>
            <w:pPr>
              <w:spacing w:after="0"/>
              <w:rPr>
                <w:sz w:val="17"/>
                <w:szCs w:val="17"/>
                <w:color w:val="auto"/>
              </w:rPr>
            </w:pPr>
          </w:p>
        </w:tc>
        <w:tc>
          <w:tcPr>
            <w:tcW w:w="740" w:type="dxa"/>
            <w:vAlign w:val="bottom"/>
          </w:tcPr>
          <w:p>
            <w:pPr>
              <w:jc w:val="center"/>
              <w:ind w:left="151"/>
              <w:spacing w:after="0" w:line="196"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2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740" w:type="dxa"/>
            <w:vAlign w:val="bottom"/>
          </w:tcPr>
          <w:p>
            <w:pPr>
              <w:jc w:val="center"/>
              <w:ind w:left="151"/>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2.</w:t>
              </w:r>
            </w:hyperlink>
          </w:p>
        </w:tc>
        <w:tc>
          <w:tcPr>
            <w:tcW w:w="3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2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740" w:type="dxa"/>
            <w:vAlign w:val="bottom"/>
          </w:tcPr>
          <w:p>
            <w:pPr>
              <w:jc w:val="center"/>
              <w:ind w:left="151"/>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Item 3.</w:t>
              </w:r>
            </w:hyperlink>
          </w:p>
        </w:tc>
        <w:tc>
          <w:tcPr>
            <w:tcW w:w="3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1"/>
              </w:rPr>
            </w:pPr>
            <w:hyperlink w:anchor="page58">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6"/>
          </w:tcPr>
          <w:p>
            <w:pPr>
              <w:spacing w:after="0"/>
              <w:rPr>
                <w:sz w:val="18"/>
                <w:szCs w:val="18"/>
                <w:color w:val="auto"/>
              </w:rPr>
            </w:pPr>
          </w:p>
        </w:tc>
        <w:tc>
          <w:tcPr>
            <w:tcW w:w="680" w:type="dxa"/>
            <w:vAlign w:val="bottom"/>
            <w:gridSpan w:val="4"/>
          </w:tcPr>
          <w:p>
            <w:pPr>
              <w:spacing w:after="0"/>
              <w:rPr>
                <w:sz w:val="18"/>
                <w:szCs w:val="18"/>
                <w:color w:val="auto"/>
              </w:rPr>
            </w:pPr>
          </w:p>
        </w:tc>
        <w:tc>
          <w:tcPr>
            <w:tcW w:w="740" w:type="dxa"/>
            <w:vAlign w:val="bottom"/>
          </w:tcPr>
          <w:p>
            <w:pPr>
              <w:jc w:val="center"/>
              <w:ind w:left="151"/>
              <w:spacing w:after="0"/>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210"/>
        </w:trPr>
        <w:tc>
          <w:tcPr>
            <w:tcW w:w="900" w:type="dxa"/>
            <w:vAlign w:val="bottom"/>
            <w:gridSpan w:val="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4.</w:t>
              </w:r>
            </w:hyperlink>
          </w:p>
        </w:tc>
        <w:tc>
          <w:tcPr>
            <w:tcW w:w="20" w:type="dxa"/>
            <w:vAlign w:val="bottom"/>
          </w:tcPr>
          <w:p>
            <w:pPr>
              <w:spacing w:after="0"/>
              <w:rPr>
                <w:sz w:val="18"/>
                <w:szCs w:val="18"/>
                <w:color w:val="auto"/>
              </w:rPr>
            </w:pPr>
          </w:p>
        </w:tc>
        <w:tc>
          <w:tcPr>
            <w:tcW w:w="7140" w:type="dxa"/>
            <w:vAlign w:val="bottom"/>
            <w:gridSpan w:val="21"/>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Controls and Procedures</w:t>
              </w:r>
            </w:hyperlink>
          </w:p>
        </w:tc>
        <w:tc>
          <w:tcPr>
            <w:tcW w:w="740" w:type="dxa"/>
            <w:vAlign w:val="bottom"/>
          </w:tcPr>
          <w:p>
            <w:pPr>
              <w:jc w:val="center"/>
              <w:ind w:left="151"/>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439"/>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tcBorders>
              <w:bottom w:val="single" w:sz="8" w:color="0000EE"/>
            </w:tcBorders>
            <w:gridSpan w:val="6"/>
          </w:tcPr>
          <w:p>
            <w:pPr>
              <w:jc w:val="center"/>
              <w:spacing w:after="0"/>
              <w:rPr>
                <w:rFonts w:ascii="Arial" w:cs="Arial" w:eastAsia="Arial" w:hAnsi="Arial"/>
                <w:sz w:val="18"/>
                <w:szCs w:val="18"/>
                <w:color w:val="0000EE"/>
                <w:w w:val="96"/>
              </w:rPr>
            </w:pPr>
            <w:hyperlink w:anchor="page60">
              <w:r>
                <w:rPr>
                  <w:rFonts w:ascii="Arial" w:cs="Arial" w:eastAsia="Arial" w:hAnsi="Arial"/>
                  <w:sz w:val="18"/>
                  <w:szCs w:val="18"/>
                  <w:color w:val="0000EE"/>
                  <w:w w:val="96"/>
                </w:rPr>
                <w:t>PART II. OTHER INFORMATION</w:t>
              </w:r>
            </w:hyperlink>
          </w:p>
        </w:tc>
        <w:tc>
          <w:tcPr>
            <w:tcW w:w="2280" w:type="dxa"/>
            <w:vAlign w:val="bottom"/>
            <w:gridSpan w:val="8"/>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20" w:type="dxa"/>
            <w:vAlign w:val="bottom"/>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Item 1.</w:t>
              </w:r>
            </w:hyperlink>
          </w:p>
        </w:tc>
        <w:tc>
          <w:tcPr>
            <w:tcW w:w="38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7140" w:type="dxa"/>
            <w:vAlign w:val="bottom"/>
            <w:gridSpan w:val="21"/>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Legal Proceedings</w:t>
              </w:r>
            </w:hyperlink>
          </w:p>
        </w:tc>
        <w:tc>
          <w:tcPr>
            <w:tcW w:w="740" w:type="dxa"/>
            <w:vAlign w:val="bottom"/>
          </w:tcPr>
          <w:p>
            <w:pPr>
              <w:jc w:val="center"/>
              <w:ind w:left="151"/>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268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3"/>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Item 1A.</w:t>
              </w:r>
            </w:hyperlink>
          </w:p>
        </w:tc>
        <w:tc>
          <w:tcPr>
            <w:tcW w:w="20" w:type="dxa"/>
            <w:vAlign w:val="bottom"/>
          </w:tcPr>
          <w:p>
            <w:pPr>
              <w:spacing w:after="0"/>
              <w:rPr>
                <w:sz w:val="18"/>
                <w:szCs w:val="18"/>
                <w:color w:val="auto"/>
              </w:rPr>
            </w:pPr>
          </w:p>
        </w:tc>
        <w:tc>
          <w:tcPr>
            <w:tcW w:w="7140" w:type="dxa"/>
            <w:vAlign w:val="bottom"/>
            <w:gridSpan w:val="21"/>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Risk Factors</w:t>
              </w:r>
            </w:hyperlink>
          </w:p>
        </w:tc>
        <w:tc>
          <w:tcPr>
            <w:tcW w:w="740" w:type="dxa"/>
            <w:vAlign w:val="bottom"/>
          </w:tcPr>
          <w:p>
            <w:pPr>
              <w:jc w:val="center"/>
              <w:ind w:left="151"/>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268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93">
              <w:r>
                <w:rPr>
                  <w:rFonts w:ascii="Arial" w:cs="Arial" w:eastAsia="Arial" w:hAnsi="Arial"/>
                  <w:sz w:val="18"/>
                  <w:szCs w:val="18"/>
                  <w:color w:val="0000EE"/>
                  <w:w w:val="90"/>
                </w:rPr>
                <w:t>Item 2.</w:t>
              </w:r>
            </w:hyperlink>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93">
              <w:r>
                <w:rPr>
                  <w:rFonts w:ascii="Arial" w:cs="Arial" w:eastAsia="Arial" w:hAnsi="Arial"/>
                  <w:sz w:val="18"/>
                  <w:szCs w:val="18"/>
                  <w:color w:val="0000EE"/>
                  <w:w w:val="89"/>
                </w:rPr>
                <w:t>Unregistered Shares of Equity Securities and Use of Proceeds</w:t>
              </w:r>
            </w:hyperlink>
          </w:p>
        </w:tc>
        <w:tc>
          <w:tcPr>
            <w:tcW w:w="2680" w:type="dxa"/>
            <w:vAlign w:val="bottom"/>
            <w:gridSpan w:val="9"/>
          </w:tcPr>
          <w:p>
            <w:pPr>
              <w:spacing w:after="0"/>
              <w:rPr>
                <w:sz w:val="18"/>
                <w:szCs w:val="18"/>
                <w:color w:val="auto"/>
              </w:rPr>
            </w:pPr>
          </w:p>
        </w:tc>
        <w:tc>
          <w:tcPr>
            <w:tcW w:w="740" w:type="dxa"/>
            <w:vAlign w:val="bottom"/>
          </w:tcPr>
          <w:p>
            <w:pPr>
              <w:jc w:val="center"/>
              <w:ind w:left="151"/>
              <w:spacing w:after="0"/>
              <w:rPr>
                <w:sz w:val="20"/>
                <w:szCs w:val="20"/>
                <w:color w:val="auto"/>
              </w:rPr>
            </w:pPr>
            <w:r>
              <w:rPr>
                <w:rFonts w:ascii="Arial" w:cs="Arial" w:eastAsia="Arial" w:hAnsi="Arial"/>
                <w:sz w:val="18"/>
                <w:szCs w:val="18"/>
                <w:color w:val="auto"/>
                <w:w w:val="89"/>
              </w:rPr>
              <w:t>93</w:t>
            </w: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94">
              <w:r>
                <w:rPr>
                  <w:rFonts w:ascii="Arial" w:cs="Arial" w:eastAsia="Arial" w:hAnsi="Arial"/>
                  <w:sz w:val="18"/>
                  <w:szCs w:val="18"/>
                  <w:color w:val="0000EE"/>
                  <w:w w:val="90"/>
                </w:rPr>
                <w:t>Item 3.</w:t>
              </w:r>
            </w:hyperlink>
          </w:p>
        </w:tc>
        <w:tc>
          <w:tcPr>
            <w:tcW w:w="3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94">
              <w:r>
                <w:rPr>
                  <w:rFonts w:ascii="Arial" w:cs="Arial" w:eastAsia="Arial" w:hAnsi="Arial"/>
                  <w:sz w:val="18"/>
                  <w:szCs w:val="18"/>
                  <w:color w:val="0000EE"/>
                  <w:w w:val="91"/>
                </w:rPr>
                <w:t>Defaults Upon Senior Securities</w:t>
              </w:r>
            </w:hyperlink>
          </w:p>
        </w:tc>
        <w:tc>
          <w:tcPr>
            <w:tcW w:w="4760" w:type="dxa"/>
            <w:vAlign w:val="bottom"/>
            <w:gridSpan w:val="13"/>
          </w:tcPr>
          <w:p>
            <w:pPr>
              <w:spacing w:after="0"/>
              <w:rPr>
                <w:sz w:val="18"/>
                <w:szCs w:val="18"/>
                <w:color w:val="auto"/>
              </w:rPr>
            </w:pPr>
          </w:p>
        </w:tc>
        <w:tc>
          <w:tcPr>
            <w:tcW w:w="740" w:type="dxa"/>
            <w:vAlign w:val="bottom"/>
          </w:tcPr>
          <w:p>
            <w:pPr>
              <w:jc w:val="center"/>
              <w:ind w:left="151"/>
              <w:spacing w:after="0"/>
              <w:rPr>
                <w:sz w:val="20"/>
                <w:szCs w:val="20"/>
                <w:color w:val="auto"/>
              </w:rPr>
            </w:pPr>
            <w:r>
              <w:rPr>
                <w:rFonts w:ascii="Arial" w:cs="Arial" w:eastAsia="Arial" w:hAnsi="Arial"/>
                <w:sz w:val="18"/>
                <w:szCs w:val="18"/>
                <w:color w:val="auto"/>
                <w:w w:val="89"/>
              </w:rPr>
              <w:t>94</w:t>
            </w: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94">
              <w:r>
                <w:rPr>
                  <w:rFonts w:ascii="Arial" w:cs="Arial" w:eastAsia="Arial" w:hAnsi="Arial"/>
                  <w:sz w:val="18"/>
                  <w:szCs w:val="18"/>
                  <w:color w:val="0000EE"/>
                  <w:w w:val="90"/>
                </w:rPr>
                <w:t>Item 4.</w:t>
              </w:r>
            </w:hyperlink>
          </w:p>
        </w:tc>
        <w:tc>
          <w:tcPr>
            <w:tcW w:w="3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94">
              <w:r>
                <w:rPr>
                  <w:rFonts w:ascii="Arial" w:cs="Arial" w:eastAsia="Arial" w:hAnsi="Arial"/>
                  <w:sz w:val="18"/>
                  <w:szCs w:val="18"/>
                  <w:color w:val="0000EE"/>
                  <w:w w:val="91"/>
                </w:rPr>
                <w:t>Mine Safety Disclosures</w:t>
              </w:r>
            </w:hyperlink>
          </w:p>
        </w:tc>
        <w:tc>
          <w:tcPr>
            <w:tcW w:w="5360" w:type="dxa"/>
            <w:vAlign w:val="bottom"/>
            <w:gridSpan w:val="16"/>
          </w:tcPr>
          <w:p>
            <w:pPr>
              <w:spacing w:after="0"/>
              <w:rPr>
                <w:sz w:val="18"/>
                <w:szCs w:val="18"/>
                <w:color w:val="auto"/>
              </w:rPr>
            </w:pPr>
          </w:p>
        </w:tc>
        <w:tc>
          <w:tcPr>
            <w:tcW w:w="740" w:type="dxa"/>
            <w:vAlign w:val="bottom"/>
          </w:tcPr>
          <w:p>
            <w:pPr>
              <w:jc w:val="center"/>
              <w:ind w:left="151"/>
              <w:spacing w:after="0"/>
              <w:rPr>
                <w:sz w:val="20"/>
                <w:szCs w:val="20"/>
                <w:color w:val="auto"/>
              </w:rPr>
            </w:pPr>
            <w:r>
              <w:rPr>
                <w:rFonts w:ascii="Arial" w:cs="Arial" w:eastAsia="Arial" w:hAnsi="Arial"/>
                <w:sz w:val="18"/>
                <w:szCs w:val="18"/>
                <w:color w:val="auto"/>
                <w:w w:val="89"/>
              </w:rPr>
              <w:t>94</w:t>
            </w: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94">
              <w:r>
                <w:rPr>
                  <w:rFonts w:ascii="Arial" w:cs="Arial" w:eastAsia="Arial" w:hAnsi="Arial"/>
                  <w:sz w:val="18"/>
                  <w:szCs w:val="18"/>
                  <w:color w:val="0000EE"/>
                  <w:w w:val="90"/>
                </w:rPr>
                <w:t>Item 5.</w:t>
              </w:r>
            </w:hyperlink>
          </w:p>
        </w:tc>
        <w:tc>
          <w:tcPr>
            <w:tcW w:w="3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21"/>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Other Information</w:t>
              </w:r>
            </w:hyperlink>
          </w:p>
        </w:tc>
        <w:tc>
          <w:tcPr>
            <w:tcW w:w="740" w:type="dxa"/>
            <w:vAlign w:val="bottom"/>
          </w:tcPr>
          <w:p>
            <w:pPr>
              <w:jc w:val="center"/>
              <w:ind w:left="151"/>
              <w:spacing w:after="0"/>
              <w:rPr>
                <w:sz w:val="20"/>
                <w:szCs w:val="20"/>
                <w:color w:val="auto"/>
              </w:rPr>
            </w:pPr>
            <w:r>
              <w:rPr>
                <w:rFonts w:ascii="Arial" w:cs="Arial" w:eastAsia="Arial" w:hAnsi="Arial"/>
                <w:sz w:val="18"/>
                <w:szCs w:val="18"/>
                <w:color w:val="auto"/>
                <w:w w:val="89"/>
              </w:rPr>
              <w:t>94</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95">
              <w:r>
                <w:rPr>
                  <w:rFonts w:ascii="Arial" w:cs="Arial" w:eastAsia="Arial" w:hAnsi="Arial"/>
                  <w:sz w:val="18"/>
                  <w:szCs w:val="18"/>
                  <w:color w:val="0000EE"/>
                  <w:w w:val="90"/>
                </w:rPr>
                <w:t>Item 6.</w:t>
              </w:r>
            </w:hyperlink>
          </w:p>
        </w:tc>
        <w:tc>
          <w:tcPr>
            <w:tcW w:w="3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Borders>
              <w:top w:val="single" w:sz="8" w:color="0000EE"/>
            </w:tcBorders>
            <w:gridSpan w:val="4"/>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Exhibits</w:t>
              </w:r>
            </w:hyperlink>
          </w:p>
        </w:tc>
        <w:tc>
          <w:tcPr>
            <w:tcW w:w="5800" w:type="dxa"/>
            <w:vAlign w:val="bottom"/>
            <w:gridSpan w:val="17"/>
          </w:tcPr>
          <w:p>
            <w:pPr>
              <w:spacing w:after="0"/>
              <w:rPr>
                <w:sz w:val="18"/>
                <w:szCs w:val="18"/>
                <w:color w:val="auto"/>
              </w:rPr>
            </w:pPr>
          </w:p>
        </w:tc>
        <w:tc>
          <w:tcPr>
            <w:tcW w:w="740" w:type="dxa"/>
            <w:vAlign w:val="bottom"/>
          </w:tcPr>
          <w:p>
            <w:pPr>
              <w:jc w:val="center"/>
              <w:ind w:left="151"/>
              <w:spacing w:after="0"/>
              <w:rPr>
                <w:sz w:val="20"/>
                <w:szCs w:val="20"/>
                <w:color w:val="auto"/>
              </w:rPr>
            </w:pPr>
            <w:r>
              <w:rPr>
                <w:rFonts w:ascii="Arial" w:cs="Arial" w:eastAsia="Arial" w:hAnsi="Arial"/>
                <w:sz w:val="18"/>
                <w:szCs w:val="18"/>
                <w:color w:val="auto"/>
                <w:w w:val="89"/>
              </w:rPr>
              <w:t>95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380" w:type="dxa"/>
            <w:vAlign w:val="bottom"/>
            <w:gridSpan w:val="1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21"/>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Signatures</w:t>
              </w:r>
            </w:hyperlink>
          </w:p>
        </w:tc>
        <w:tc>
          <w:tcPr>
            <w:tcW w:w="740" w:type="dxa"/>
            <w:vAlign w:val="bottom"/>
          </w:tcPr>
          <w:p>
            <w:pPr>
              <w:jc w:val="center"/>
              <w:ind w:left="151"/>
              <w:spacing w:after="0"/>
              <w:rPr>
                <w:sz w:val="20"/>
                <w:szCs w:val="20"/>
                <w:color w:val="auto"/>
              </w:rPr>
            </w:pPr>
            <w:r>
              <w:rPr>
                <w:rFonts w:ascii="Arial" w:cs="Arial" w:eastAsia="Arial" w:hAnsi="Arial"/>
                <w:sz w:val="18"/>
                <w:szCs w:val="18"/>
                <w:color w:val="auto"/>
                <w:w w:val="89"/>
              </w:rPr>
              <w:t>96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19" w:firstLine="648"/>
        <w:spacing w:after="0" w:line="293"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forward-looking statements include, but are not limited to, statements concerning the following:</w:t>
      </w:r>
    </w:p>
    <w:p>
      <w:pPr>
        <w:spacing w:after="0" w:line="225" w:lineRule="exact"/>
        <w:rPr>
          <w:sz w:val="20"/>
          <w:szCs w:val="20"/>
          <w:color w:val="auto"/>
        </w:rPr>
      </w:pPr>
    </w:p>
    <w:p>
      <w:pPr>
        <w:ind w:left="1340" w:right="79" w:hanging="331"/>
        <w:spacing w:after="0" w:line="253" w:lineRule="auto"/>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190" w:lineRule="exact"/>
        <w:rPr>
          <w:rFonts w:ascii="Courier New" w:cs="Courier New" w:eastAsia="Courier New" w:hAnsi="Courier New"/>
          <w:sz w:val="18"/>
          <w:szCs w:val="18"/>
          <w:color w:val="auto"/>
        </w:rPr>
      </w:pPr>
    </w:p>
    <w:p>
      <w:pPr>
        <w:ind w:left="1340" w:hanging="331"/>
        <w:spacing w:after="0"/>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market acceptance of our cloud platform;</w:t>
      </w:r>
    </w:p>
    <w:p>
      <w:pPr>
        <w:spacing w:after="0" w:line="209" w:lineRule="exact"/>
        <w:rPr>
          <w:rFonts w:ascii="Courier New" w:cs="Courier New" w:eastAsia="Courier New" w:hAnsi="Courier New"/>
          <w:sz w:val="18"/>
          <w:szCs w:val="18"/>
          <w:color w:val="auto"/>
        </w:rPr>
      </w:pPr>
    </w:p>
    <w:p>
      <w:pPr>
        <w:ind w:left="1340" w:hanging="331"/>
        <w:spacing w:after="0"/>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209" w:lineRule="exact"/>
        <w:rPr>
          <w:rFonts w:ascii="Courier New" w:cs="Courier New" w:eastAsia="Courier New" w:hAnsi="Courier New"/>
          <w:sz w:val="18"/>
          <w:szCs w:val="18"/>
          <w:color w:val="auto"/>
        </w:rPr>
      </w:pPr>
    </w:p>
    <w:p>
      <w:pPr>
        <w:ind w:left="1340" w:hanging="331"/>
        <w:spacing w:after="0"/>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our ability to maintain the security and availability of our cloud platform;</w:t>
      </w:r>
    </w:p>
    <w:p>
      <w:pPr>
        <w:spacing w:after="0" w:line="209" w:lineRule="exact"/>
        <w:rPr>
          <w:rFonts w:ascii="Courier New" w:cs="Courier New" w:eastAsia="Courier New" w:hAnsi="Courier New"/>
          <w:sz w:val="18"/>
          <w:szCs w:val="18"/>
          <w:color w:val="auto"/>
        </w:rPr>
      </w:pPr>
    </w:p>
    <w:p>
      <w:pPr>
        <w:ind w:left="1340" w:hanging="331"/>
        <w:spacing w:after="0"/>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our ability to maintain and expand our customer base, including by attracting new customers;</w:t>
      </w:r>
    </w:p>
    <w:p>
      <w:pPr>
        <w:spacing w:after="0" w:line="209" w:lineRule="exact"/>
        <w:rPr>
          <w:rFonts w:ascii="Courier New" w:cs="Courier New" w:eastAsia="Courier New" w:hAnsi="Courier New"/>
          <w:sz w:val="18"/>
          <w:szCs w:val="18"/>
          <w:color w:val="auto"/>
        </w:rPr>
      </w:pPr>
    </w:p>
    <w:p>
      <w:pPr>
        <w:ind w:left="1340" w:right="119" w:hanging="331"/>
        <w:spacing w:after="0" w:line="259" w:lineRule="auto"/>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our ability to develop new solutions, or enhancements to our existing solutions, and bring them to market in a timely manner;</w:t>
      </w:r>
    </w:p>
    <w:p>
      <w:pPr>
        <w:spacing w:after="0" w:line="184" w:lineRule="exact"/>
        <w:rPr>
          <w:rFonts w:ascii="Courier New" w:cs="Courier New" w:eastAsia="Courier New" w:hAnsi="Courier New"/>
          <w:sz w:val="18"/>
          <w:szCs w:val="18"/>
          <w:color w:val="auto"/>
        </w:rPr>
      </w:pPr>
    </w:p>
    <w:p>
      <w:pPr>
        <w:ind w:left="1340" w:hanging="331"/>
        <w:spacing w:after="0"/>
        <w:tabs>
          <w:tab w:leader="none" w:pos="1340" w:val="left"/>
        </w:tabs>
        <w:numPr>
          <w:ilvl w:val="0"/>
          <w:numId w:val="3"/>
        </w:numPr>
        <w:rPr>
          <w:rFonts w:ascii="Courier New" w:cs="Courier New" w:eastAsia="Courier New" w:hAnsi="Courier New"/>
          <w:sz w:val="16"/>
          <w:szCs w:val="16"/>
          <w:color w:val="auto"/>
        </w:rPr>
      </w:pPr>
      <w:r>
        <w:rPr>
          <w:rFonts w:ascii="Arial" w:cs="Arial" w:eastAsia="Arial" w:hAnsi="Arial"/>
          <w:sz w:val="16"/>
          <w:szCs w:val="16"/>
          <w:color w:val="auto"/>
        </w:rPr>
        <w:t>anticipated trends, growth rates and challenges in our business and in the markets in which we operate;</w:t>
      </w:r>
    </w:p>
    <w:p>
      <w:pPr>
        <w:spacing w:after="0" w:line="234" w:lineRule="exact"/>
        <w:rPr>
          <w:rFonts w:ascii="Courier New" w:cs="Courier New" w:eastAsia="Courier New" w:hAnsi="Courier New"/>
          <w:sz w:val="16"/>
          <w:szCs w:val="16"/>
          <w:color w:val="auto"/>
        </w:rPr>
      </w:pPr>
    </w:p>
    <w:p>
      <w:pPr>
        <w:ind w:left="1340" w:hanging="331"/>
        <w:spacing w:after="0"/>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our business plan and our ability to effectively manage our growth and associated investments;</w:t>
      </w:r>
    </w:p>
    <w:p>
      <w:pPr>
        <w:spacing w:after="0" w:line="209" w:lineRule="exact"/>
        <w:rPr>
          <w:rFonts w:ascii="Courier New" w:cs="Courier New" w:eastAsia="Courier New" w:hAnsi="Courier New"/>
          <w:sz w:val="18"/>
          <w:szCs w:val="18"/>
          <w:color w:val="auto"/>
        </w:rPr>
      </w:pPr>
    </w:p>
    <w:p>
      <w:pPr>
        <w:ind w:left="1340" w:hanging="331"/>
        <w:spacing w:after="0"/>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beliefs and objectives for future operations;</w:t>
      </w:r>
    </w:p>
    <w:p>
      <w:pPr>
        <w:spacing w:after="0" w:line="209" w:lineRule="exact"/>
        <w:rPr>
          <w:rFonts w:ascii="Courier New" w:cs="Courier New" w:eastAsia="Courier New" w:hAnsi="Courier New"/>
          <w:sz w:val="18"/>
          <w:szCs w:val="18"/>
          <w:color w:val="auto"/>
        </w:rPr>
      </w:pPr>
    </w:p>
    <w:p>
      <w:pPr>
        <w:ind w:left="1340" w:hanging="331"/>
        <w:spacing w:after="0"/>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our relationships with third parties, including channel partners and technology alliance partners;</w:t>
      </w:r>
    </w:p>
    <w:p>
      <w:pPr>
        <w:spacing w:after="0" w:line="209" w:lineRule="exact"/>
        <w:rPr>
          <w:rFonts w:ascii="Courier New" w:cs="Courier New" w:eastAsia="Courier New" w:hAnsi="Courier New"/>
          <w:sz w:val="18"/>
          <w:szCs w:val="18"/>
          <w:color w:val="auto"/>
        </w:rPr>
      </w:pPr>
    </w:p>
    <w:p>
      <w:pPr>
        <w:ind w:left="1340" w:hanging="331"/>
        <w:spacing w:after="0"/>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our ability to maintain, protect and enhance our intellectual property rights;</w:t>
      </w:r>
    </w:p>
    <w:p>
      <w:pPr>
        <w:spacing w:after="0" w:line="209" w:lineRule="exact"/>
        <w:rPr>
          <w:rFonts w:ascii="Courier New" w:cs="Courier New" w:eastAsia="Courier New" w:hAnsi="Courier New"/>
          <w:sz w:val="18"/>
          <w:szCs w:val="18"/>
          <w:color w:val="auto"/>
        </w:rPr>
      </w:pPr>
    </w:p>
    <w:p>
      <w:pPr>
        <w:ind w:left="1340" w:hanging="331"/>
        <w:spacing w:after="0"/>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our ability to successfully defend litigation brought against us;</w:t>
      </w:r>
    </w:p>
    <w:p>
      <w:pPr>
        <w:spacing w:after="0" w:line="209" w:lineRule="exact"/>
        <w:rPr>
          <w:rFonts w:ascii="Courier New" w:cs="Courier New" w:eastAsia="Courier New" w:hAnsi="Courier New"/>
          <w:sz w:val="18"/>
          <w:szCs w:val="18"/>
          <w:color w:val="auto"/>
        </w:rPr>
      </w:pPr>
    </w:p>
    <w:p>
      <w:pPr>
        <w:ind w:left="1340" w:hanging="331"/>
        <w:spacing w:after="0"/>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our ability to successfully expand in our existing markets and into new markets;</w:t>
      </w:r>
    </w:p>
    <w:p>
      <w:pPr>
        <w:spacing w:after="0" w:line="209" w:lineRule="exact"/>
        <w:rPr>
          <w:rFonts w:ascii="Courier New" w:cs="Courier New" w:eastAsia="Courier New" w:hAnsi="Courier New"/>
          <w:sz w:val="18"/>
          <w:szCs w:val="18"/>
          <w:color w:val="auto"/>
        </w:rPr>
      </w:pPr>
    </w:p>
    <w:p>
      <w:pPr>
        <w:ind w:left="1340" w:hanging="331"/>
        <w:spacing w:after="0"/>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sufficiency of cash to meet cash needs for at least the next 12 months;</w:t>
      </w:r>
    </w:p>
    <w:p>
      <w:pPr>
        <w:spacing w:after="0" w:line="209" w:lineRule="exact"/>
        <w:rPr>
          <w:rFonts w:ascii="Courier New" w:cs="Courier New" w:eastAsia="Courier New" w:hAnsi="Courier New"/>
          <w:sz w:val="18"/>
          <w:szCs w:val="18"/>
          <w:color w:val="auto"/>
        </w:rPr>
      </w:pPr>
    </w:p>
    <w:p>
      <w:pPr>
        <w:ind w:left="1340" w:hanging="331"/>
        <w:spacing w:after="0"/>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our ability to expand internationally;</w:t>
      </w:r>
    </w:p>
    <w:p>
      <w:pPr>
        <w:spacing w:after="0" w:line="209" w:lineRule="exact"/>
        <w:rPr>
          <w:rFonts w:ascii="Courier New" w:cs="Courier New" w:eastAsia="Courier New" w:hAnsi="Courier New"/>
          <w:sz w:val="18"/>
          <w:szCs w:val="18"/>
          <w:color w:val="auto"/>
        </w:rPr>
      </w:pPr>
    </w:p>
    <w:p>
      <w:pPr>
        <w:ind w:left="1340" w:right="139" w:hanging="331"/>
        <w:spacing w:after="0" w:line="259" w:lineRule="auto"/>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our ability to comply with laws and regulations that currently apply or become applicable to our business both in the United States and internationally;</w:t>
      </w:r>
    </w:p>
    <w:p>
      <w:pPr>
        <w:spacing w:after="0" w:line="184" w:lineRule="exact"/>
        <w:rPr>
          <w:rFonts w:ascii="Courier New" w:cs="Courier New" w:eastAsia="Courier New" w:hAnsi="Courier New"/>
          <w:sz w:val="18"/>
          <w:szCs w:val="18"/>
          <w:color w:val="auto"/>
        </w:rPr>
      </w:pPr>
    </w:p>
    <w:p>
      <w:pPr>
        <w:ind w:left="1340" w:hanging="331"/>
        <w:spacing w:after="0"/>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our ability to implement, maintain, and improve our internal control over financial reporting;</w:t>
      </w:r>
    </w:p>
    <w:p>
      <w:pPr>
        <w:spacing w:after="0" w:line="209" w:lineRule="exact"/>
        <w:rPr>
          <w:rFonts w:ascii="Courier New" w:cs="Courier New" w:eastAsia="Courier New" w:hAnsi="Courier New"/>
          <w:sz w:val="18"/>
          <w:szCs w:val="18"/>
          <w:color w:val="auto"/>
        </w:rPr>
      </w:pPr>
    </w:p>
    <w:p>
      <w:pPr>
        <w:ind w:left="1340" w:hanging="331"/>
        <w:spacing w:after="0"/>
        <w:tabs>
          <w:tab w:leader="none" w:pos="1340" w:val="left"/>
        </w:tabs>
        <w:numPr>
          <w:ilvl w:val="0"/>
          <w:numId w:val="3"/>
        </w:numPr>
        <w:rPr>
          <w:rFonts w:ascii="Courier New" w:cs="Courier New" w:eastAsia="Courier New" w:hAnsi="Courier New"/>
          <w:sz w:val="18"/>
          <w:szCs w:val="18"/>
          <w:color w:val="auto"/>
        </w:rPr>
      </w:pPr>
      <w:r>
        <w:rPr>
          <w:rFonts w:ascii="Arial" w:cs="Arial" w:eastAsia="Arial" w:hAnsi="Arial"/>
          <w:sz w:val="18"/>
          <w:szCs w:val="18"/>
          <w:color w:val="auto"/>
        </w:rPr>
        <w:t>the attraction and retention of qualified employees and key personnel; and</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260" w:hanging="331"/>
        <w:spacing w:after="0" w:line="259" w:lineRule="auto"/>
        <w:tabs>
          <w:tab w:leader="none" w:pos="1340" w:val="left"/>
        </w:tabs>
        <w:numPr>
          <w:ilvl w:val="0"/>
          <w:numId w:val="4"/>
        </w:numPr>
        <w:rPr>
          <w:rFonts w:ascii="Courier New" w:cs="Courier New" w:eastAsia="Courier New" w:hAnsi="Courier New"/>
          <w:sz w:val="18"/>
          <w:szCs w:val="18"/>
          <w:color w:val="auto"/>
        </w:rPr>
      </w:pPr>
      <w:r>
        <w:rPr>
          <w:rFonts w:ascii="Arial" w:cs="Arial" w:eastAsia="Arial" w:hAnsi="Arial"/>
          <w:sz w:val="18"/>
          <w:szCs w:val="18"/>
          <w:color w:val="auto"/>
        </w:rPr>
        <w:t>the expected date of the expiration of the lock-up agreements entered into in connection with our initial public offering.</w:t>
      </w:r>
    </w:p>
    <w:p>
      <w:pPr>
        <w:spacing w:after="0" w:line="18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These statements are based on our current plans, estimates and projections in light of information currently available to us. These forward-looking statements may be affected by risks, uncertainties and other factors discussed elsewhere in this Quarterly Report on Form 10-Q, including under “Risk Factors.” Furthermore, new risks and uncertainties emerge from time to time, and it is impossible for us to predict all risks and uncertainties or how they may affect us. If any of these risks or uncertainties occurs, our business, revenue and financial results could be harmed, and the trading price of our Class A common stock could decline. Forward-looking statements made in this Quarterly Report on Form 10-Q speak only as of the date on which such statements are made, and we undertake no obligation to update them in light of new information or future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April 30,</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0"/>
              </w:rPr>
              <w:t>January 31,</w:t>
            </w:r>
          </w:p>
        </w:tc>
      </w:tr>
      <w:tr>
        <w:trPr>
          <w:trHeight w:val="142"/>
        </w:trPr>
        <w:tc>
          <w:tcPr>
            <w:tcW w:w="20" w:type="dxa"/>
            <w:vAlign w:val="bottom"/>
          </w:tcPr>
          <w:p>
            <w:pPr>
              <w:spacing w:after="0"/>
              <w:rPr>
                <w:sz w:val="12"/>
                <w:szCs w:val="12"/>
                <w:color w:val="auto"/>
              </w:rPr>
            </w:pPr>
          </w:p>
        </w:tc>
        <w:tc>
          <w:tcPr>
            <w:tcW w:w="68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88,408</w:t>
            </w:r>
          </w:p>
        </w:tc>
      </w:tr>
      <w:tr>
        <w:trPr>
          <w:trHeight w:val="216"/>
        </w:trPr>
        <w:tc>
          <w:tcPr>
            <w:tcW w:w="20" w:type="dxa"/>
            <w:vAlign w:val="bottom"/>
          </w:tcPr>
          <w:p>
            <w:pPr>
              <w:spacing w:after="0"/>
              <w:rPr>
                <w:sz w:val="18"/>
                <w:szCs w:val="18"/>
                <w:color w:val="auto"/>
              </w:rPr>
            </w:pPr>
          </w:p>
        </w:tc>
        <w:tc>
          <w:tcPr>
            <w:tcW w:w="6820" w:type="dxa"/>
            <w:vAlign w:val="bottom"/>
          </w:tcPr>
          <w:p>
            <w:pPr>
              <w:ind w:left="10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82,066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103,247</w:t>
            </w:r>
          </w:p>
        </w:tc>
      </w:tr>
      <w:tr>
        <w:trPr>
          <w:trHeight w:val="202"/>
        </w:trPr>
        <w:tc>
          <w:tcPr>
            <w:tcW w:w="20" w:type="dxa"/>
            <w:vAlign w:val="bottom"/>
          </w:tcPr>
          <w:p>
            <w:pPr>
              <w:spacing w:after="0"/>
              <w:rPr>
                <w:sz w:val="17"/>
                <w:szCs w:val="17"/>
                <w:color w:val="auto"/>
              </w:rPr>
            </w:pPr>
          </w:p>
        </w:tc>
        <w:tc>
          <w:tcPr>
            <w:tcW w:w="68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Accounts receivable, net of allowance for doubtful accounts of $0.7 million and $1.0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million as of April 30, 2019 and January 31, 2019, respectively</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87,355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92,476</w:t>
            </w:r>
          </w:p>
        </w:tc>
      </w:tr>
      <w:tr>
        <w:trPr>
          <w:trHeight w:val="216"/>
        </w:trPr>
        <w:tc>
          <w:tcPr>
            <w:tcW w:w="20" w:type="dxa"/>
            <w:vAlign w:val="bottom"/>
          </w:tcPr>
          <w:p>
            <w:pPr>
              <w:spacing w:after="0"/>
              <w:rPr>
                <w:sz w:val="18"/>
                <w:szCs w:val="18"/>
                <w:color w:val="auto"/>
              </w:rPr>
            </w:pPr>
          </w:p>
        </w:tc>
        <w:tc>
          <w:tcPr>
            <w:tcW w:w="6820" w:type="dxa"/>
            <w:vAlign w:val="bottom"/>
          </w:tcPr>
          <w:p>
            <w:pPr>
              <w:ind w:left="100"/>
              <w:spacing w:after="0"/>
              <w:rPr>
                <w:sz w:val="20"/>
                <w:szCs w:val="20"/>
                <w:color w:val="auto"/>
              </w:rPr>
            </w:pPr>
            <w:r>
              <w:rPr>
                <w:rFonts w:ascii="Arial" w:cs="Arial" w:eastAsia="Arial" w:hAnsi="Arial"/>
                <w:sz w:val="18"/>
                <w:szCs w:val="18"/>
                <w:color w:val="auto"/>
              </w:rPr>
              <w:t>Deferred contract acquisition costs, current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28,847</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18,410</w:t>
            </w:r>
          </w:p>
        </w:tc>
      </w:tr>
      <w:tr>
        <w:trPr>
          <w:trHeight w:val="210"/>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311,251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331,388</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73,735</w:t>
            </w: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Deferred contract acquisition costs, noncurrent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38,004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9,918</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7,947</w:t>
            </w: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1,048</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9,183</w:t>
            </w:r>
          </w:p>
        </w:tc>
      </w:tr>
      <w:tr>
        <w:trPr>
          <w:trHeight w:val="250"/>
        </w:trPr>
        <w:tc>
          <w:tcPr>
            <w:tcW w:w="20" w:type="dxa"/>
            <w:vAlign w:val="bottom"/>
          </w:tcPr>
          <w:p>
            <w:pPr>
              <w:spacing w:after="0"/>
              <w:rPr>
                <w:sz w:val="21"/>
                <w:szCs w:val="21"/>
                <w:color w:val="auto"/>
              </w:rPr>
            </w:pPr>
          </w:p>
        </w:tc>
        <w:tc>
          <w:tcPr>
            <w:tcW w:w="68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457,361</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433,219</w:t>
            </w:r>
          </w:p>
        </w:tc>
      </w:tr>
      <w:tr>
        <w:trPr>
          <w:trHeight w:val="197"/>
        </w:trPr>
        <w:tc>
          <w:tcPr>
            <w:tcW w:w="20" w:type="dxa"/>
            <w:vAlign w:val="bottom"/>
          </w:tcPr>
          <w:p>
            <w:pPr>
              <w:spacing w:after="0"/>
              <w:rPr>
                <w:sz w:val="17"/>
                <w:szCs w:val="17"/>
                <w:color w:val="auto"/>
              </w:rPr>
            </w:pPr>
          </w:p>
        </w:tc>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w:t>
            </w:r>
          </w:p>
        </w:tc>
      </w:tr>
      <w:tr>
        <w:trPr>
          <w:trHeight w:val="216"/>
        </w:trPr>
        <w:tc>
          <w:tcPr>
            <w:tcW w:w="20" w:type="dxa"/>
            <w:vAlign w:val="bottom"/>
          </w:tcPr>
          <w:p>
            <w:pPr>
              <w:spacing w:after="0"/>
              <w:rPr>
                <w:sz w:val="18"/>
                <w:szCs w:val="18"/>
                <w:color w:val="auto"/>
              </w:rPr>
            </w:pPr>
          </w:p>
        </w:tc>
        <w:tc>
          <w:tcPr>
            <w:tcW w:w="6820" w:type="dxa"/>
            <w:vAlign w:val="bottom"/>
          </w:tcPr>
          <w:p>
            <w:pPr>
              <w:ind w:left="10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32,541</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payroll and benefits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19,284</w:t>
            </w:r>
          </w:p>
        </w:tc>
      </w:tr>
      <w:tr>
        <w:trPr>
          <w:trHeight w:val="216"/>
        </w:trPr>
        <w:tc>
          <w:tcPr>
            <w:tcW w:w="20" w:type="dxa"/>
            <w:vAlign w:val="bottom"/>
          </w:tcPr>
          <w:p>
            <w:pPr>
              <w:spacing w:after="0"/>
              <w:rPr>
                <w:sz w:val="18"/>
                <w:szCs w:val="18"/>
                <w:color w:val="auto"/>
              </w:rPr>
            </w:pPr>
          </w:p>
        </w:tc>
        <w:tc>
          <w:tcPr>
            <w:tcW w:w="6820" w:type="dxa"/>
            <w:vAlign w:val="bottom"/>
          </w:tcPr>
          <w:p>
            <w:pPr>
              <w:ind w:left="10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244,271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218,700</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w:t>
            </w:r>
          </w:p>
        </w:tc>
      </w:tr>
      <w:tr>
        <w:trPr>
          <w:trHeight w:val="210"/>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302,721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281,420</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noncurrent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71,367</w:t>
            </w:r>
          </w:p>
        </w:tc>
      </w:tr>
      <w:tr>
        <w:trPr>
          <w:trHeight w:val="216"/>
        </w:trPr>
        <w:tc>
          <w:tcPr>
            <w:tcW w:w="20" w:type="dxa"/>
            <w:vAlign w:val="bottom"/>
          </w:tcPr>
          <w:p>
            <w:pPr>
              <w:spacing w:after="0"/>
              <w:rPr>
                <w:sz w:val="18"/>
                <w:szCs w:val="18"/>
                <w:color w:val="auto"/>
              </w:rPr>
            </w:pPr>
          </w:p>
        </w:tc>
        <w:tc>
          <w:tcPr>
            <w:tcW w:w="6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 noncurrent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10,313</w:t>
            </w: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384,626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363,100</w:t>
            </w: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 xml:space="preserve">Commitments and contingencies </w:t>
            </w:r>
            <w:r>
              <w:rPr>
                <w:rFonts w:ascii="Arial" w:cs="Arial" w:eastAsia="Arial" w:hAnsi="Arial"/>
                <w:sz w:val="18"/>
                <w:szCs w:val="18"/>
                <w:i w:val="1"/>
                <w:iCs w:val="1"/>
                <w:color w:val="auto"/>
              </w:rPr>
              <w:t>(Note 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Redeemable Convertible Preferred Stock</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820" w:type="dxa"/>
            <w:vAlign w:val="bottom"/>
          </w:tcPr>
          <w:p>
            <w:pPr>
              <w:ind w:left="100"/>
              <w:spacing w:after="0" w:line="201" w:lineRule="exact"/>
              <w:rPr>
                <w:sz w:val="20"/>
                <w:szCs w:val="20"/>
                <w:color w:val="auto"/>
              </w:rPr>
            </w:pPr>
            <w:r>
              <w:rPr>
                <w:rFonts w:ascii="Arial" w:cs="Arial" w:eastAsia="Arial" w:hAnsi="Arial"/>
                <w:sz w:val="18"/>
                <w:szCs w:val="18"/>
                <w:color w:val="auto"/>
                <w:w w:val="90"/>
              </w:rPr>
              <w:t>Redeemable convertible preferred stock, $0.0005 par value; 137,419 shares authorized as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00"/>
              <w:spacing w:after="0"/>
              <w:rPr>
                <w:sz w:val="20"/>
                <w:szCs w:val="20"/>
                <w:color w:val="auto"/>
              </w:rPr>
            </w:pPr>
            <w:r>
              <w:rPr>
                <w:rFonts w:ascii="Arial" w:cs="Arial" w:eastAsia="Arial" w:hAnsi="Arial"/>
                <w:sz w:val="18"/>
                <w:szCs w:val="18"/>
                <w:color w:val="auto"/>
                <w:w w:val="90"/>
              </w:rPr>
              <w:t>both April 30, 2019 and January 31, 2019; 131,268 shares issued and outstanding as of both</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00"/>
              <w:spacing w:after="0"/>
              <w:rPr>
                <w:sz w:val="20"/>
                <w:szCs w:val="20"/>
                <w:color w:val="auto"/>
              </w:rPr>
            </w:pPr>
            <w:r>
              <w:rPr>
                <w:rFonts w:ascii="Arial" w:cs="Arial" w:eastAsia="Arial" w:hAnsi="Arial"/>
                <w:sz w:val="18"/>
                <w:szCs w:val="18"/>
                <w:color w:val="auto"/>
              </w:rPr>
              <w:t>April 30, 2019 and January 31, 2019; liquidation preference $545,000 as of both</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20" w:type="dxa"/>
            <w:vAlign w:val="bottom"/>
          </w:tcPr>
          <w:p>
            <w:pPr>
              <w:ind w:left="100"/>
              <w:spacing w:after="0"/>
              <w:rPr>
                <w:sz w:val="20"/>
                <w:szCs w:val="20"/>
                <w:color w:val="auto"/>
              </w:rPr>
            </w:pPr>
            <w:r>
              <w:rPr>
                <w:rFonts w:ascii="Arial" w:cs="Arial" w:eastAsia="Arial" w:hAnsi="Arial"/>
                <w:sz w:val="18"/>
                <w:szCs w:val="18"/>
                <w:color w:val="auto"/>
              </w:rPr>
              <w:t>April 30, 2019 and January 31, 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557,912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557,912</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Deficit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820" w:type="dxa"/>
            <w:vAlign w:val="bottom"/>
          </w:tcPr>
          <w:p>
            <w:pPr>
              <w:ind w:left="100"/>
              <w:spacing w:after="0" w:line="201" w:lineRule="exact"/>
              <w:rPr>
                <w:sz w:val="20"/>
                <w:szCs w:val="20"/>
                <w:color w:val="auto"/>
              </w:rPr>
            </w:pPr>
            <w:r>
              <w:rPr>
                <w:rFonts w:ascii="Arial" w:cs="Arial" w:eastAsia="Arial" w:hAnsi="Arial"/>
                <w:sz w:val="18"/>
                <w:szCs w:val="18"/>
                <w:color w:val="auto"/>
                <w:w w:val="91"/>
              </w:rPr>
              <w:t>Common stock, $0.0005 par value; 220,000 shares authorized as of both April 30, 2019 and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00"/>
              <w:spacing w:after="0"/>
              <w:rPr>
                <w:sz w:val="20"/>
                <w:szCs w:val="20"/>
                <w:color w:val="auto"/>
              </w:rPr>
            </w:pPr>
            <w:r>
              <w:rPr>
                <w:rFonts w:ascii="Arial" w:cs="Arial" w:eastAsia="Arial" w:hAnsi="Arial"/>
                <w:sz w:val="18"/>
                <w:szCs w:val="18"/>
                <w:color w:val="auto"/>
                <w:w w:val="93"/>
              </w:rPr>
              <w:t>January 31, 2019; 48,127, and 47,421 shares issued and outstanding as of April 30, 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20" w:type="dxa"/>
            <w:vAlign w:val="bottom"/>
          </w:tcPr>
          <w:p>
            <w:pPr>
              <w:ind w:left="100"/>
              <w:spacing w:after="0"/>
              <w:rPr>
                <w:sz w:val="20"/>
                <w:szCs w:val="20"/>
                <w:color w:val="auto"/>
              </w:rPr>
            </w:pPr>
            <w:r>
              <w:rPr>
                <w:rFonts w:ascii="Arial" w:cs="Arial" w:eastAsia="Arial" w:hAnsi="Arial"/>
                <w:sz w:val="18"/>
                <w:szCs w:val="18"/>
                <w:color w:val="auto"/>
              </w:rPr>
              <w:t>and January 31, 2019, respectively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31,211</w:t>
            </w:r>
          </w:p>
        </w:tc>
      </w:tr>
      <w:tr>
        <w:trPr>
          <w:trHeight w:val="216"/>
        </w:trPr>
        <w:tc>
          <w:tcPr>
            <w:tcW w:w="20" w:type="dxa"/>
            <w:vAlign w:val="bottom"/>
          </w:tcPr>
          <w:p>
            <w:pPr>
              <w:spacing w:after="0"/>
              <w:rPr>
                <w:sz w:val="18"/>
                <w:szCs w:val="18"/>
                <w:color w:val="auto"/>
              </w:rPr>
            </w:pPr>
          </w:p>
        </w:tc>
        <w:tc>
          <w:tcPr>
            <w:tcW w:w="6820" w:type="dxa"/>
            <w:vAlign w:val="bottom"/>
          </w:tcPr>
          <w:p>
            <w:pPr>
              <w:ind w:left="10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(521,685)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(519,126)</w:t>
            </w: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10"/>
        </w:trPr>
        <w:tc>
          <w:tcPr>
            <w:tcW w:w="20" w:type="dxa"/>
            <w:vAlign w:val="bottom"/>
          </w:tcPr>
          <w:p>
            <w:pPr>
              <w:spacing w:after="0"/>
              <w:rPr>
                <w:sz w:val="18"/>
                <w:szCs w:val="18"/>
                <w:color w:val="auto"/>
              </w:rPr>
            </w:pPr>
          </w:p>
        </w:tc>
        <w:tc>
          <w:tcPr>
            <w:tcW w:w="68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stockholders’ deficit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(485,177)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(487,793)</w:t>
            </w:r>
          </w:p>
        </w:tc>
      </w:tr>
      <w:tr>
        <w:trPr>
          <w:trHeight w:val="210"/>
        </w:trPr>
        <w:tc>
          <w:tcPr>
            <w:tcW w:w="20" w:type="dxa"/>
            <w:vAlign w:val="bottom"/>
          </w:tcPr>
          <w:p>
            <w:pPr>
              <w:spacing w:after="0"/>
              <w:rPr>
                <w:sz w:val="18"/>
                <w:szCs w:val="18"/>
                <w:color w:val="auto"/>
              </w:rPr>
            </w:pPr>
          </w:p>
        </w:tc>
        <w:tc>
          <w:tcPr>
            <w:tcW w:w="6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457,361</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433,219</w:t>
            </w: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4"/>
                <w:szCs w:val="14"/>
                <w:b w:val="1"/>
                <w:bCs w:val="1"/>
                <w:color w:val="auto"/>
                <w:w w:val="95"/>
              </w:rPr>
              <w:t>Three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Subscription</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85,990</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Professional services</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96,077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Cost of revenue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Subscription</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Professional services</w:t>
            </w:r>
          </w:p>
        </w:tc>
        <w:tc>
          <w:tcPr>
            <w:tcW w:w="3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cost of revenue</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66,804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56,843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92,579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income (expense), net</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Provision for income taxes</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(25,977)</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Weighted-average shares used in computing net loss per share attributable to common</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47,205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43,614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basic and diluted</w:t>
            </w:r>
          </w:p>
        </w:tc>
        <w:tc>
          <w:tcPr>
            <w:tcW w:w="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33"/>
              <w:spacing w:after="0"/>
              <w:rPr>
                <w:sz w:val="20"/>
                <w:szCs w:val="20"/>
                <w:color w:val="auto"/>
              </w:rPr>
            </w:pPr>
            <w:r>
              <w:rPr>
                <w:rFonts w:ascii="Arial" w:cs="Arial" w:eastAsia="Arial" w:hAnsi="Arial"/>
                <w:sz w:val="14"/>
                <w:szCs w:val="14"/>
                <w:b w:val="1"/>
                <w:bCs w:val="1"/>
                <w:color w:val="auto"/>
                <w:w w:val="95"/>
              </w:rPr>
              <w:t>Three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(25,977)</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currency translation adjustments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Unrealized loss on available-for-sale securities, net of tax</w:t>
            </w:r>
          </w:p>
        </w:tc>
        <w:tc>
          <w:tcPr>
            <w:tcW w:w="13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comprehensive loss</w:t>
            </w:r>
          </w:p>
        </w:tc>
        <w:tc>
          <w:tcPr>
            <w:tcW w:w="1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0"/>
        </w:trPr>
        <w:tc>
          <w:tcPr>
            <w:tcW w:w="560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13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CrowdStrike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Redeemable Convertible Preferred Stock and Stockholders’ Deficit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Three Months Ended April 30, 2019</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820" w:type="dxa"/>
            <w:vAlign w:val="bottom"/>
          </w:tcPr>
          <w:p>
            <w:pPr>
              <w:spacing w:after="0"/>
              <w:rPr>
                <w:sz w:val="3"/>
                <w:szCs w:val="3"/>
                <w:color w:val="auto"/>
              </w:rPr>
            </w:pPr>
          </w:p>
        </w:tc>
        <w:tc>
          <w:tcPr>
            <w:tcW w:w="146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89"/>
              </w:rPr>
              <w:t>Redeemable</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line="20" w:lineRule="exact"/>
              <w:rPr>
                <w:sz w:val="1"/>
                <w:szCs w:val="1"/>
                <w:color w:val="auto"/>
              </w:rPr>
            </w:pPr>
          </w:p>
        </w:tc>
      </w:tr>
      <w:tr>
        <w:trPr>
          <w:trHeight w:val="126"/>
        </w:trPr>
        <w:tc>
          <w:tcPr>
            <w:tcW w:w="2820" w:type="dxa"/>
            <w:vAlign w:val="bottom"/>
          </w:tcPr>
          <w:p>
            <w:pPr>
              <w:spacing w:after="0"/>
              <w:rPr>
                <w:sz w:val="10"/>
                <w:szCs w:val="10"/>
                <w:color w:val="auto"/>
              </w:rPr>
            </w:pPr>
          </w:p>
        </w:tc>
        <w:tc>
          <w:tcPr>
            <w:tcW w:w="146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46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12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4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Preferred Stock</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4"/>
            <w:vMerge w:val="continue"/>
          </w:tcPr>
          <w:p>
            <w:pPr>
              <w:spacing w:after="0"/>
              <w:rPr>
                <w:sz w:val="14"/>
                <w:szCs w:val="14"/>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Comprehensive</w:t>
            </w: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72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Deficit</w:t>
            </w:r>
          </w:p>
        </w:tc>
        <w:tc>
          <w:tcPr>
            <w:tcW w:w="102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2"/>
              </w:rPr>
              <w:t>Income (Loss)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at January 31, 2019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8"/>
              </w:rPr>
              <w:t>131,268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557,912</w:t>
            </w: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47,421</w:t>
            </w:r>
          </w:p>
        </w:tc>
        <w:tc>
          <w:tcPr>
            <w:tcW w:w="600" w:type="dxa"/>
            <w:vAlign w:val="bottom"/>
            <w:gridSpan w:val="2"/>
            <w:shd w:val="clear" w:color="auto" w:fill="CCEEFF"/>
          </w:tcPr>
          <w:p>
            <w:pPr>
              <w:jc w:val="right"/>
              <w:ind w:right="318"/>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24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31,211</w:t>
            </w:r>
          </w:p>
        </w:tc>
        <w:tc>
          <w:tcPr>
            <w:tcW w:w="2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(519,126)</w:t>
            </w:r>
          </w:p>
        </w:tc>
        <w:tc>
          <w:tcPr>
            <w:tcW w:w="180" w:type="dxa"/>
            <w:vAlign w:val="bottom"/>
            <w:shd w:val="clear" w:color="auto" w:fill="CCEEFF"/>
          </w:tcPr>
          <w:p>
            <w:pPr>
              <w:jc w:val="right"/>
              <w:ind w:right="56"/>
              <w:spacing w:after="0"/>
              <w:rPr>
                <w:sz w:val="20"/>
                <w:szCs w:val="20"/>
                <w:color w:val="auto"/>
              </w:rPr>
            </w:pPr>
            <w:r>
              <w:rPr>
                <w:rFonts w:ascii="Arial" w:cs="Arial" w:eastAsia="Arial" w:hAnsi="Arial"/>
                <w:sz w:val="10"/>
                <w:szCs w:val="10"/>
                <w:b w:val="1"/>
                <w:bCs w:val="1"/>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98</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(487,793)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Cumulative effect of accounting change</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23,418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23,418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exercise of</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options</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Vesting of early exercised options</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Capitalized stock-based compensation</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(25,977)</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Other comprehensive loss</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at April 30, 2019</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8"/>
              </w:rPr>
              <w:t>131,268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557,912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48,127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ind w:right="318"/>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24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36,670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(521,685)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(485,177)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CrowdStrike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Redeemable Convertible Preferred Stock and Stockholders’ Deficit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Three Months Ended April 30, 2018</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820" w:type="dxa"/>
            <w:vAlign w:val="bottom"/>
          </w:tcPr>
          <w:p>
            <w:pPr>
              <w:spacing w:after="0"/>
              <w:rPr>
                <w:sz w:val="3"/>
                <w:szCs w:val="3"/>
                <w:color w:val="auto"/>
              </w:rPr>
            </w:pPr>
          </w:p>
        </w:tc>
        <w:tc>
          <w:tcPr>
            <w:tcW w:w="146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89"/>
              </w:rPr>
              <w:t>Redeemable</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line="20" w:lineRule="exact"/>
              <w:rPr>
                <w:sz w:val="1"/>
                <w:szCs w:val="1"/>
                <w:color w:val="auto"/>
              </w:rPr>
            </w:pPr>
          </w:p>
        </w:tc>
      </w:tr>
      <w:tr>
        <w:trPr>
          <w:trHeight w:val="126"/>
        </w:trPr>
        <w:tc>
          <w:tcPr>
            <w:tcW w:w="2820" w:type="dxa"/>
            <w:vAlign w:val="bottom"/>
          </w:tcPr>
          <w:p>
            <w:pPr>
              <w:spacing w:after="0"/>
              <w:rPr>
                <w:sz w:val="10"/>
                <w:szCs w:val="10"/>
                <w:color w:val="auto"/>
              </w:rPr>
            </w:pPr>
          </w:p>
        </w:tc>
        <w:tc>
          <w:tcPr>
            <w:tcW w:w="146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46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12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4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Preferred Stock</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4"/>
            <w:vMerge w:val="continue"/>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Comprehensive</w:t>
            </w: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72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Deficit</w:t>
            </w:r>
          </w:p>
        </w:tc>
        <w:tc>
          <w:tcPr>
            <w:tcW w:w="108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2"/>
              </w:rPr>
              <w:t>Income (Loss)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January 31, 2018</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8"/>
              </w:rPr>
              <w:t>118,693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351,016</w:t>
            </w: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44,231</w:t>
            </w:r>
          </w:p>
        </w:tc>
        <w:tc>
          <w:tcPr>
            <w:tcW w:w="600" w:type="dxa"/>
            <w:vAlign w:val="bottom"/>
            <w:gridSpan w:val="2"/>
            <w:shd w:val="clear" w:color="auto" w:fill="CCEEFF"/>
          </w:tcPr>
          <w:p>
            <w:pPr>
              <w:jc w:val="right"/>
              <w:ind w:right="318"/>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22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8,482</w:t>
            </w:r>
          </w:p>
        </w:tc>
        <w:tc>
          <w:tcPr>
            <w:tcW w:w="2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(378,948)</w:t>
            </w:r>
          </w:p>
        </w:tc>
        <w:tc>
          <w:tcPr>
            <w:tcW w:w="180" w:type="dxa"/>
            <w:vAlign w:val="bottom"/>
            <w:shd w:val="clear" w:color="auto" w:fill="CCEEFF"/>
          </w:tcPr>
          <w:p>
            <w:pPr>
              <w:jc w:val="right"/>
              <w:ind w:right="56"/>
              <w:spacing w:after="0"/>
              <w:rPr>
                <w:sz w:val="20"/>
                <w:szCs w:val="20"/>
                <w:color w:val="auto"/>
              </w:rPr>
            </w:pPr>
            <w:r>
              <w:rPr>
                <w:rFonts w:ascii="Arial" w:cs="Arial" w:eastAsia="Arial" w:hAnsi="Arial"/>
                <w:sz w:val="10"/>
                <w:szCs w:val="10"/>
                <w:b w:val="1"/>
                <w:bCs w:val="1"/>
                <w:color w:val="auto"/>
                <w:w w:val="71"/>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970</w:t>
            </w:r>
          </w:p>
        </w:tc>
        <w:tc>
          <w:tcPr>
            <w:tcW w:w="1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(369,474)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Cumulative effect of accounting change</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(101)</w:t>
            </w:r>
          </w:p>
        </w:tc>
        <w:tc>
          <w:tcPr>
            <w:tcW w:w="1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exercise of</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options</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20" w:type="dxa"/>
            <w:vAlign w:val="bottom"/>
          </w:tcPr>
          <w:p>
            <w:pPr>
              <w:spacing w:after="0" w:line="130" w:lineRule="exact"/>
              <w:rPr>
                <w:sz w:val="20"/>
                <w:szCs w:val="20"/>
                <w:color w:val="auto"/>
              </w:rPr>
            </w:pPr>
            <w:r>
              <w:rPr>
                <w:rFonts w:ascii="Arial" w:cs="Arial" w:eastAsia="Arial" w:hAnsi="Arial"/>
                <w:sz w:val="14"/>
                <w:szCs w:val="14"/>
                <w:color w:val="auto"/>
              </w:rPr>
              <w:t>Issuance of common stock related to early</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tcPr>
          <w:p>
            <w:pPr>
              <w:spacing w:after="0"/>
              <w:rPr>
                <w:sz w:val="20"/>
                <w:szCs w:val="20"/>
                <w:color w:val="auto"/>
              </w:rPr>
            </w:pPr>
            <w:r>
              <w:rPr>
                <w:rFonts w:ascii="Arial" w:cs="Arial" w:eastAsia="Arial" w:hAnsi="Arial"/>
                <w:sz w:val="14"/>
                <w:szCs w:val="14"/>
                <w:color w:val="auto"/>
              </w:rPr>
              <w:t>exercise options</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38</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 awards</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Vesting of early exercised options</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(33,617)</w:t>
            </w:r>
          </w:p>
        </w:tc>
        <w:tc>
          <w:tcPr>
            <w:tcW w:w="1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(33,617)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line="142" w:lineRule="exact"/>
              <w:rPr>
                <w:sz w:val="20"/>
                <w:szCs w:val="20"/>
                <w:color w:val="auto"/>
              </w:rPr>
            </w:pPr>
            <w:r>
              <w:rPr>
                <w:rFonts w:ascii="Arial" w:cs="Arial" w:eastAsia="Arial" w:hAnsi="Arial"/>
                <w:sz w:val="14"/>
                <w:szCs w:val="14"/>
                <w:b w:val="1"/>
                <w:bCs w:val="1"/>
                <w:color w:val="auto"/>
              </w:rPr>
              <w:t>Balance at April 30, 2018</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118,693</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351,016</w:t>
            </w:r>
          </w:p>
        </w:tc>
        <w:tc>
          <w:tcPr>
            <w:tcW w:w="80" w:type="dxa"/>
            <w:vAlign w:val="bottom"/>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44,774</w:t>
            </w:r>
          </w:p>
        </w:tc>
        <w:tc>
          <w:tcPr>
            <w:tcW w:w="16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22</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11,067</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(412,666)</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638</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(400,939)</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358140</wp:posOffset>
            </wp:positionV>
            <wp:extent cx="608012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80125" cy="26035"/>
                    </a:xfrm>
                    <a:prstGeom prst="rect">
                      <a:avLst/>
                    </a:prstGeom>
                    <a:noFill/>
                  </pic:spPr>
                </pic:pic>
              </a:graphicData>
            </a:graphic>
          </wp:anchor>
        </w:drawing>
      </w:r>
    </w:p>
    <w:p>
      <w:pPr>
        <w:sectPr>
          <w:pgSz w:w="11900" w:h="16838" w:orient="portrait"/>
          <w:cols w:equalWidth="0" w:num="1">
            <w:col w:w="9580"/>
          </w:cols>
          <w:pgMar w:left="1160" w:top="517" w:right="11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w w:val="95"/>
              </w:rPr>
              <w:t>Three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(25,977)</w:t>
            </w:r>
          </w:p>
        </w:tc>
        <w:tc>
          <w:tcPr>
            <w:tcW w:w="4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(33,617)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4,873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2,983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Amortization of intangible assets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ind w:left="100"/>
              <w:spacing w:after="0" w:line="149" w:lineRule="exact"/>
              <w:rPr>
                <w:sz w:val="20"/>
                <w:szCs w:val="20"/>
                <w:color w:val="auto"/>
              </w:rPr>
            </w:pPr>
            <w:r>
              <w:rPr>
                <w:rFonts w:ascii="Arial" w:cs="Arial" w:eastAsia="Arial" w:hAnsi="Arial"/>
                <w:sz w:val="14"/>
                <w:szCs w:val="14"/>
                <w:color w:val="auto"/>
              </w:rPr>
              <w:t>Amortization of deferred contract acquisition costs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7,345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5,596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Change in fair value of redeemable convertible preferred stock warrant liability</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ind w:left="100"/>
              <w:spacing w:after="0" w:line="149" w:lineRule="exact"/>
              <w:rPr>
                <w:sz w:val="20"/>
                <w:szCs w:val="20"/>
                <w:color w:val="auto"/>
              </w:rPr>
            </w:pPr>
            <w:r>
              <w:rPr>
                <w:rFonts w:ascii="Arial" w:cs="Arial" w:eastAsia="Arial" w:hAnsi="Arial"/>
                <w:sz w:val="14"/>
                <w:szCs w:val="14"/>
                <w:color w:val="auto"/>
              </w:rPr>
              <w:t>Allowance for doubtful accounts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(254)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Stock-based compensation expense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ind w:left="100"/>
              <w:spacing w:after="0" w:line="149" w:lineRule="exact"/>
              <w:rPr>
                <w:sz w:val="20"/>
                <w:szCs w:val="20"/>
                <w:color w:val="auto"/>
              </w:rPr>
            </w:pPr>
            <w:r>
              <w:rPr>
                <w:rFonts w:ascii="Arial" w:cs="Arial" w:eastAsia="Arial" w:hAnsi="Arial"/>
                <w:sz w:val="14"/>
                <w:szCs w:val="14"/>
                <w:color w:val="auto"/>
              </w:rPr>
              <w:t>Accretion of marketable securities purchased at a discount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(513)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Other</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ind w:left="10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receivable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ind w:left="200"/>
              <w:spacing w:after="0" w:line="149" w:lineRule="exact"/>
              <w:rPr>
                <w:sz w:val="20"/>
                <w:szCs w:val="20"/>
                <w:color w:val="auto"/>
              </w:rPr>
            </w:pPr>
            <w:r>
              <w:rPr>
                <w:rFonts w:ascii="Arial" w:cs="Arial" w:eastAsia="Arial" w:hAnsi="Arial"/>
                <w:sz w:val="14"/>
                <w:szCs w:val="14"/>
                <w:color w:val="auto"/>
              </w:rPr>
              <w:t>Deferred contract acquisition costs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(8,471)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(5,026)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 and other assets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2,818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ind w:left="200"/>
              <w:spacing w:after="0" w:line="149" w:lineRule="exact"/>
              <w:rPr>
                <w:sz w:val="20"/>
                <w:szCs w:val="20"/>
                <w:color w:val="auto"/>
              </w:rPr>
            </w:pPr>
            <w:r>
              <w:rPr>
                <w:rFonts w:ascii="Arial" w:cs="Arial" w:eastAsia="Arial" w:hAnsi="Arial"/>
                <w:sz w:val="14"/>
                <w:szCs w:val="14"/>
                <w:color w:val="auto"/>
              </w:rPr>
              <w:t>Accrued payroll and benefits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(6,601)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(4,297)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revenue</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24,812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Other liabilities, noncurrent</w:t>
            </w:r>
          </w:p>
        </w:tc>
        <w:tc>
          <w:tcPr>
            <w:tcW w:w="7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(177)</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shd w:val="clear" w:color="auto" w:fill="CCEEFF"/>
          </w:tcPr>
          <w:p>
            <w:pPr>
              <w:ind w:left="320"/>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7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1,415</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line="142" w:lineRule="exact"/>
              <w:rPr>
                <w:sz w:val="20"/>
                <w:szCs w:val="20"/>
                <w:color w:val="auto"/>
              </w:rPr>
            </w:pPr>
            <w:r>
              <w:rPr>
                <w:rFonts w:ascii="Arial" w:cs="Arial" w:eastAsia="Arial" w:hAnsi="Arial"/>
                <w:sz w:val="14"/>
                <w:szCs w:val="14"/>
                <w:b w:val="1"/>
                <w:bCs w:val="1"/>
                <w:color w:val="auto"/>
              </w:rPr>
              <w:t>Investing activities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(15,541)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line="149" w:lineRule="exact"/>
              <w:rPr>
                <w:sz w:val="20"/>
                <w:szCs w:val="20"/>
                <w:color w:val="auto"/>
              </w:rPr>
            </w:pPr>
            <w:r>
              <w:rPr>
                <w:rFonts w:ascii="Arial" w:cs="Arial" w:eastAsia="Arial" w:hAnsi="Arial"/>
                <w:sz w:val="14"/>
                <w:szCs w:val="14"/>
                <w:color w:val="auto"/>
              </w:rPr>
              <w:t>Capitalized internal-use software</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(1,984)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marketable securities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(51,805)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line="149" w:lineRule="exact"/>
              <w:rPr>
                <w:sz w:val="20"/>
                <w:szCs w:val="20"/>
                <w:color w:val="auto"/>
              </w:rPr>
            </w:pPr>
            <w:r>
              <w:rPr>
                <w:rFonts w:ascii="Arial" w:cs="Arial" w:eastAsia="Arial" w:hAnsi="Arial"/>
                <w:sz w:val="14"/>
                <w:szCs w:val="14"/>
                <w:color w:val="auto"/>
              </w:rPr>
              <w:t>Proceeds from sales of marketable securities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4,473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Maturities of marketable securities</w:t>
            </w:r>
          </w:p>
        </w:tc>
        <w:tc>
          <w:tcPr>
            <w:tcW w:w="7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68,995</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tcPr>
          <w:p>
            <w:pPr>
              <w:ind w:left="32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7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4,138</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Financing activities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line="149" w:lineRule="exact"/>
              <w:rPr>
                <w:sz w:val="20"/>
                <w:szCs w:val="20"/>
                <w:color w:val="auto"/>
              </w:rPr>
            </w:pPr>
            <w:r>
              <w:rPr>
                <w:rFonts w:ascii="Arial" w:cs="Arial" w:eastAsia="Arial" w:hAnsi="Arial"/>
                <w:sz w:val="14"/>
                <w:szCs w:val="14"/>
                <w:color w:val="auto"/>
              </w:rPr>
              <w:t>Repayment of notes receivable from related parties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of indemnity holdback</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line="149" w:lineRule="exact"/>
              <w:rPr>
                <w:sz w:val="20"/>
                <w:szCs w:val="20"/>
                <w:color w:val="auto"/>
              </w:rPr>
            </w:pPr>
            <w:r>
              <w:rPr>
                <w:rFonts w:ascii="Arial" w:cs="Arial" w:eastAsia="Arial" w:hAnsi="Arial"/>
                <w:sz w:val="14"/>
                <w:szCs w:val="14"/>
                <w:color w:val="auto"/>
              </w:rPr>
              <w:t>Payments of deferred offering costs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(2,392)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common stock upon exercise of stock options</w:t>
            </w:r>
          </w:p>
        </w:tc>
        <w:tc>
          <w:tcPr>
            <w:tcW w:w="7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1,510</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tcPr>
          <w:p>
            <w:pPr>
              <w:ind w:left="32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7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(882)</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20" w:type="dxa"/>
            <w:vAlign w:val="bottom"/>
          </w:tcPr>
          <w:p>
            <w:pPr>
              <w:spacing w:after="0" w:line="149" w:lineRule="exact"/>
              <w:rPr>
                <w:sz w:val="20"/>
                <w:szCs w:val="20"/>
                <w:color w:val="auto"/>
              </w:rPr>
            </w:pPr>
            <w:r>
              <w:rPr>
                <w:rFonts w:ascii="Arial" w:cs="Arial" w:eastAsia="Arial" w:hAnsi="Arial"/>
                <w:sz w:val="14"/>
                <w:szCs w:val="14"/>
                <w:color w:val="auto"/>
              </w:rPr>
              <w:t>Effect of foreign exchange rates on cash and cash equivalents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ind w:left="320"/>
              <w:spacing w:after="0" w:line="142" w:lineRule="exact"/>
              <w:rPr>
                <w:sz w:val="20"/>
                <w:szCs w:val="20"/>
                <w:color w:val="auto"/>
              </w:rPr>
            </w:pPr>
            <w:r>
              <w:rPr>
                <w:rFonts w:ascii="Arial" w:cs="Arial" w:eastAsia="Arial" w:hAnsi="Arial"/>
                <w:sz w:val="14"/>
                <w:szCs w:val="14"/>
                <w:color w:val="auto"/>
              </w:rPr>
              <w:t>Net increase (decrease) in cash and cash equivalents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4,585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(13,774)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7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88,408</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63,179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and cash equivalents, end of period</w:t>
            </w:r>
          </w:p>
        </w:tc>
        <w:tc>
          <w:tcPr>
            <w:tcW w:w="7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92,993</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49,405</w:t>
            </w:r>
          </w:p>
        </w:tc>
        <w:tc>
          <w:tcPr>
            <w:tcW w:w="0" w:type="dxa"/>
            <w:vAlign w:val="bottom"/>
          </w:tcPr>
          <w:p>
            <w:pPr>
              <w:spacing w:after="0"/>
              <w:rPr>
                <w:sz w:val="1"/>
                <w:szCs w:val="1"/>
                <w:color w:val="auto"/>
              </w:rPr>
            </w:pPr>
          </w:p>
        </w:tc>
      </w:tr>
      <w:tr>
        <w:trPr>
          <w:trHeight w:val="20"/>
        </w:trPr>
        <w:tc>
          <w:tcPr>
            <w:tcW w:w="6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2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ind w:left="320"/>
              <w:spacing w:after="0" w:line="149" w:lineRule="exact"/>
              <w:rPr>
                <w:sz w:val="20"/>
                <w:szCs w:val="20"/>
                <w:color w:val="auto"/>
              </w:rPr>
            </w:pPr>
            <w:r>
              <w:rPr>
                <w:rFonts w:ascii="Arial" w:cs="Arial" w:eastAsia="Arial" w:hAnsi="Arial"/>
                <w:sz w:val="14"/>
                <w:szCs w:val="14"/>
                <w:color w:val="auto"/>
              </w:rPr>
              <w:t>Interest paid</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4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taxes paid</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Indemnity holdback consideration associated with business combinations</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ind w:left="320"/>
              <w:spacing w:after="0" w:line="149" w:lineRule="exact"/>
              <w:rPr>
                <w:sz w:val="20"/>
                <w:szCs w:val="20"/>
                <w:color w:val="auto"/>
              </w:rPr>
            </w:pPr>
            <w:r>
              <w:rPr>
                <w:rFonts w:ascii="Arial" w:cs="Arial" w:eastAsia="Arial" w:hAnsi="Arial"/>
                <w:sz w:val="14"/>
                <w:szCs w:val="14"/>
                <w:color w:val="auto"/>
              </w:rPr>
              <w:t>Contingent consideration associated with business combinations</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Net change in deferred offering costs, accrued but not paid</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20" w:type="dxa"/>
            <w:vAlign w:val="bottom"/>
          </w:tcPr>
          <w:p>
            <w:pPr>
              <w:ind w:left="320"/>
              <w:spacing w:after="0"/>
              <w:rPr>
                <w:sz w:val="20"/>
                <w:szCs w:val="20"/>
                <w:color w:val="auto"/>
              </w:rPr>
            </w:pPr>
            <w:r>
              <w:rPr>
                <w:rFonts w:ascii="Arial" w:cs="Arial" w:eastAsia="Arial" w:hAnsi="Arial"/>
                <w:sz w:val="14"/>
                <w:szCs w:val="14"/>
                <w:color w:val="auto"/>
              </w:rPr>
              <w:t>Net change in property and equipment included in accounts payable and accrued expenses</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CrowdStrike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Description of Business and Basis of Presentation</w:t>
      </w:r>
    </w:p>
    <w:p>
      <w:pPr>
        <w:spacing w:after="0" w:line="225" w:lineRule="exact"/>
        <w:rPr>
          <w:sz w:val="20"/>
          <w:szCs w:val="20"/>
          <w:color w:val="auto"/>
        </w:rPr>
      </w:pPr>
    </w:p>
    <w:p>
      <w:pPr>
        <w:ind w:right="119" w:firstLine="648"/>
        <w:spacing w:after="0" w:line="255" w:lineRule="auto"/>
        <w:rPr>
          <w:sz w:val="20"/>
          <w:szCs w:val="20"/>
          <w:color w:val="auto"/>
        </w:rPr>
      </w:pPr>
      <w:r>
        <w:rPr>
          <w:rFonts w:ascii="Arial" w:cs="Arial" w:eastAsia="Arial" w:hAnsi="Arial"/>
          <w:sz w:val="18"/>
          <w:szCs w:val="18"/>
          <w:color w:val="auto"/>
        </w:rPr>
        <w:t>CrowdStrike Holdings, Inc. (the “Company”) was formed on November 7, 2011. The Company provides a leading cloud-delivered solution for next-generation endpoint protection that offers 10 cloud modules on its Falcon platform via a SaaS subscription-based model that spans multiple large security markets, including endpoint security, security and IT operations (including vulnerability management), and threat intelligence. The Company is headquartered in Sunnyvale, California. The Company conducts its business in the United States, as well as locations internationally, including in Australia, Germany, India, Romania, and the United Kingdom.</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funded its operations through several rounds of financings with net proceeds totaling</w:t>
      </w:r>
    </w:p>
    <w:p>
      <w:pPr>
        <w:spacing w:after="0" w:line="23" w:lineRule="exact"/>
        <w:rPr>
          <w:sz w:val="20"/>
          <w:szCs w:val="20"/>
          <w:color w:val="auto"/>
        </w:rPr>
      </w:pPr>
    </w:p>
    <w:p>
      <w:pPr>
        <w:ind w:right="19"/>
        <w:spacing w:after="0" w:line="252" w:lineRule="auto"/>
        <w:rPr>
          <w:sz w:val="20"/>
          <w:szCs w:val="20"/>
          <w:color w:val="auto"/>
        </w:rPr>
      </w:pPr>
      <w:r>
        <w:rPr>
          <w:rFonts w:ascii="Arial" w:cs="Arial" w:eastAsia="Arial" w:hAnsi="Arial"/>
          <w:sz w:val="18"/>
          <w:szCs w:val="18"/>
          <w:color w:val="auto"/>
        </w:rPr>
        <w:t>$493.0 million through April 30, 2019. However, the Company has incurred losses and negative cash flows from operations since inception. As of April 30, 2019, the Company had an accumulated deficit of $521.7 million. Management of the Company expects that operating losses and negative cash flows from operations will continue for the foreseeable future. While management believes that the Company’s cash and cash equivalents and marketable securities as of April 30, 2019 are adequate to meet its needs for at least the next twelve months, the Company may need to borrow funds or raise additional equity to achieve its longer term business objectives.</w:t>
      </w:r>
    </w:p>
    <w:p>
      <w:pPr>
        <w:spacing w:after="0" w:line="194" w:lineRule="exact"/>
        <w:rPr>
          <w:sz w:val="20"/>
          <w:szCs w:val="20"/>
          <w:color w:val="auto"/>
        </w:rPr>
      </w:pPr>
    </w:p>
    <w:p>
      <w:pPr>
        <w:ind w:right="59" w:firstLine="648"/>
        <w:spacing w:after="0" w:line="254" w:lineRule="auto"/>
        <w:rPr>
          <w:sz w:val="20"/>
          <w:szCs w:val="20"/>
          <w:color w:val="auto"/>
        </w:rPr>
      </w:pPr>
      <w:r>
        <w:rPr>
          <w:rFonts w:ascii="Arial" w:cs="Arial" w:eastAsia="Arial" w:hAnsi="Arial"/>
          <w:sz w:val="18"/>
          <w:szCs w:val="18"/>
          <w:color w:val="auto"/>
        </w:rPr>
        <w:t>On June 14, 2019, the Company closed its initial public offering ("IPO"), in which it sold 20,700,000 shares of Class A common stock. The shares were sold at a public offering price of $34.00 per share for net proceeds of $659.1 million, after deducting underwriters’ discounts and commissions and estimated offering expenses of $44.7 million. Immediately prior to the closing of the IPO, all outstanding shares of redeemable convertible preferred stock automatically converted into 131,267,586 shares of Class B common stock on a one-to-one basis. Additionally, in connection with the IPO all of the Company’s outstanding common stock was reclassified into shares of Class B common stock on a one-for-one basis. Redeemable convertible preferred stock warrants also converted into 336,386 warrants to purchase Class B common stock on a one-to-one basis.</w:t>
      </w:r>
    </w:p>
    <w:p>
      <w:pPr>
        <w:spacing w:after="0" w:line="192" w:lineRule="exact"/>
        <w:rPr>
          <w:sz w:val="20"/>
          <w:szCs w:val="20"/>
          <w:color w:val="auto"/>
        </w:rPr>
      </w:pPr>
    </w:p>
    <w:p>
      <w:pPr>
        <w:ind w:left="660" w:right="5499" w:hanging="651"/>
        <w:spacing w:after="0" w:line="501" w:lineRule="auto"/>
        <w:tabs>
          <w:tab w:leader="none" w:pos="237"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Basis of Presentation</w:t>
      </w:r>
    </w:p>
    <w:p>
      <w:pPr>
        <w:ind w:right="139" w:firstLine="648"/>
        <w:spacing w:after="0" w:line="287" w:lineRule="auto"/>
        <w:rPr>
          <w:sz w:val="20"/>
          <w:szCs w:val="20"/>
          <w:color w:val="auto"/>
        </w:rPr>
      </w:pPr>
      <w:r>
        <w:rPr>
          <w:rFonts w:ascii="Arial" w:cs="Arial" w:eastAsia="Arial" w:hAnsi="Arial"/>
          <w:sz w:val="16"/>
          <w:szCs w:val="16"/>
          <w:color w:val="auto"/>
        </w:rPr>
        <w:t>The accompanying financial statements have been prepared in accordance with generally accepted accounting principles in the United States of America,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January 31, 2019, and related disclosures, have been derived from the audited consolidated financial statements at that date but do not include all of the information required by U.S. GAAP for complete consolidated financial statements. These unaudited condensed consolidated financial statements have been prepared on the same basis as the Company’s annual consolidated financial statements and, in the opinion of management, reflect all adjustments (consisting only of normal recurring adjustments) that are necessary for the fair statement of the Company’s condensed consolidated financial information. The results of operations for the three months ended April 30, 2019 are not necessarily indicative of the results to be expected for the year ending January 31, 2020 or for any other interim period or for any other future year.</w:t>
      </w:r>
    </w:p>
    <w:p>
      <w:pPr>
        <w:spacing w:after="0" w:line="173" w:lineRule="exact"/>
        <w:rPr>
          <w:sz w:val="20"/>
          <w:szCs w:val="20"/>
          <w:color w:val="auto"/>
        </w:rPr>
      </w:pPr>
    </w:p>
    <w:p>
      <w:pPr>
        <w:ind w:right="39" w:firstLine="648"/>
        <w:spacing w:after="0" w:line="259" w:lineRule="auto"/>
        <w:rPr>
          <w:sz w:val="20"/>
          <w:szCs w:val="20"/>
          <w:color w:val="auto"/>
        </w:rPr>
      </w:pPr>
      <w:r>
        <w:rPr>
          <w:rFonts w:ascii="Arial" w:cs="Arial" w:eastAsia="Arial" w:hAnsi="Arial"/>
          <w:sz w:val="18"/>
          <w:szCs w:val="18"/>
          <w:color w:val="auto"/>
        </w:rPr>
        <w:t>The accompanying interim unaudited condensed consolidated financial statements and related financial information should be read in conjunction with the audited consolidated financial statements and the related notes thereto for the year ended January 31, 2019 included in the Company’s prospectus dated June 11, 2019 filed with the SEC pursuant to Rule 424(b) under the Securities Act of 1933, as amended.</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559" w:firstLine="648"/>
        <w:spacing w:after="0" w:line="308" w:lineRule="auto"/>
        <w:rPr>
          <w:sz w:val="20"/>
          <w:szCs w:val="20"/>
          <w:color w:val="auto"/>
        </w:rPr>
      </w:pPr>
      <w:r>
        <w:rPr>
          <w:rFonts w:ascii="Arial" w:cs="Arial" w:eastAsia="Arial" w:hAnsi="Arial"/>
          <w:sz w:val="17"/>
          <w:szCs w:val="17"/>
          <w:color w:val="auto"/>
        </w:rPr>
        <w:t>The condensed consolidated financial statements include the accounts of the Company and its wholly owned subsidiaries. All intercompany balances and transactions have been eliminated in consolidation.</w:t>
      </w:r>
    </w:p>
    <w:p>
      <w:pPr>
        <w:spacing w:after="0" w:line="147" w:lineRule="exact"/>
        <w:rPr>
          <w:sz w:val="20"/>
          <w:szCs w:val="20"/>
          <w:color w:val="auto"/>
        </w:rPr>
      </w:pPr>
    </w:p>
    <w:p>
      <w:pPr>
        <w:ind w:right="19" w:firstLine="648"/>
        <w:spacing w:after="0" w:line="257" w:lineRule="auto"/>
        <w:rPr>
          <w:sz w:val="20"/>
          <w:szCs w:val="20"/>
          <w:color w:val="auto"/>
        </w:rPr>
      </w:pPr>
      <w:r>
        <w:rPr>
          <w:rFonts w:ascii="Arial" w:cs="Arial" w:eastAsia="Arial" w:hAnsi="Arial"/>
          <w:sz w:val="18"/>
          <w:szCs w:val="18"/>
          <w:color w:val="auto"/>
        </w:rPr>
        <w:t>Certain information and footnote disclosures normally included in the financial statements prepared in accordance with U.S. GAAP have been condensed or omitted pursuant to the applicable required disclosures and regulations of the SEC. Therefore, these unaudited condensed consolidated financial statements should be read in conjunction with the audited consolidated financial statements and the related notes thereto as of and for the year ended January 31, 2019, included in the Company’s prospectus dated June 11, 2019.</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225" w:lineRule="exact"/>
        <w:rPr>
          <w:sz w:val="20"/>
          <w:szCs w:val="20"/>
          <w:color w:val="auto"/>
        </w:rPr>
      </w:pPr>
    </w:p>
    <w:p>
      <w:pPr>
        <w:ind w:right="59" w:firstLine="648"/>
        <w:spacing w:after="0" w:line="271" w:lineRule="auto"/>
        <w:rPr>
          <w:sz w:val="20"/>
          <w:szCs w:val="20"/>
          <w:color w:val="auto"/>
        </w:rPr>
      </w:pPr>
      <w:r>
        <w:rPr>
          <w:rFonts w:ascii="Arial" w:cs="Arial" w:eastAsia="Arial" w:hAnsi="Arial"/>
          <w:sz w:val="17"/>
          <w:szCs w:val="17"/>
          <w:color w:val="auto"/>
        </w:rPr>
        <w:t>The Company is an "emerging growth company" ("EGC") as defined in the Jumpstart Our Business Startups Act of 2012 ("JOBS Act"). An EGC may take advantage of specified reduced reporting requirements that are otherwise applicable generally to public companies, including, but not limited to, delayed adoption of new or revised accounting pronouncements applicable to public companies until such pronouncements are made applicable to private companies, not being required to comply with the auditor attestation requirements of Section 404 of the Sarbanes-Oxley Act of 2002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79" w:lineRule="exact"/>
        <w:rPr>
          <w:sz w:val="20"/>
          <w:szCs w:val="20"/>
          <w:color w:val="auto"/>
        </w:rPr>
      </w:pPr>
    </w:p>
    <w:p>
      <w:pPr>
        <w:ind w:right="139" w:firstLine="648"/>
        <w:spacing w:after="0" w:line="291" w:lineRule="auto"/>
        <w:rPr>
          <w:sz w:val="20"/>
          <w:szCs w:val="20"/>
          <w:color w:val="auto"/>
        </w:rPr>
      </w:pPr>
      <w:r>
        <w:rPr>
          <w:rFonts w:ascii="Arial" w:cs="Arial" w:eastAsia="Arial" w:hAnsi="Arial"/>
          <w:sz w:val="16"/>
          <w:szCs w:val="16"/>
          <w:color w:val="auto"/>
        </w:rPr>
        <w:t>The Company may take advantage of these exemptions until it is no longer an EGC. The Company would cease to be an EGC upon the earliest to occur of: (i) the first fiscal year following the fifth anniversary of its initial public offering;</w:t>
      </w:r>
    </w:p>
    <w:p>
      <w:pPr>
        <w:ind w:right="19" w:firstLine="9"/>
        <w:spacing w:after="0" w:line="252" w:lineRule="auto"/>
        <w:tabs>
          <w:tab w:leader="none" w:pos="26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first fiscal year after annual gross revenue is $1.0 billion or more; (iii) the date on which the Company has, during the previous three-year period, issued more than $1.07 billion in non-convertible debt securities; or (iv) the date on which the Company qualifies as a "large accelerated filer," as defined in Rule 12b-2 under the Exchange Act, which would occur at the end of any fiscal year in which the market value of the Company’s common stock held by non-affiliates exceeded $700.0 million as of the end of the second quarter of that fiscal year, and as of the end of such fiscal year the Company has been a reporting company for at least 12 months.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39" w:firstLine="648"/>
        <w:spacing w:after="0" w:line="297"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On a regular basis, management evaluates these estimates and assumptions. Actual results may differ from these estimates and such difference could be material to the Company’s condensed consolidated financial statements.</w:t>
      </w:r>
    </w:p>
    <w:p>
      <w:pPr>
        <w:spacing w:after="0" w:line="158" w:lineRule="exact"/>
        <w:rPr>
          <w:sz w:val="20"/>
          <w:szCs w:val="20"/>
          <w:color w:val="auto"/>
        </w:rPr>
      </w:pPr>
    </w:p>
    <w:p>
      <w:pPr>
        <w:ind w:right="99" w:firstLine="648"/>
        <w:spacing w:after="0" w:line="276" w:lineRule="auto"/>
        <w:rPr>
          <w:sz w:val="20"/>
          <w:szCs w:val="20"/>
          <w:color w:val="auto"/>
        </w:rPr>
      </w:pPr>
      <w:r>
        <w:rPr>
          <w:rFonts w:ascii="Arial" w:cs="Arial" w:eastAsia="Arial" w:hAnsi="Arial"/>
          <w:sz w:val="17"/>
          <w:szCs w:val="17"/>
          <w:color w:val="auto"/>
        </w:rPr>
        <w:t>Significant estimates and assumptions used by management affect revenue recognition, the allowance for doubtful accounts, the carrying value of long-lived assets, the useful lives of long-lived assets, the fair value of financial instruments, the period of benefit for deferred contract acquisition costs, the recognition and disclosure of contingent liabilities, the provision for income taxes and related deferred taxes, stock-based compensation, and the fair value of the Company’s common stock and redeemable convertible preferred stock warrants.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Credit Risk and Geographic Information</w:t>
      </w:r>
    </w:p>
    <w:p>
      <w:pPr>
        <w:spacing w:after="0" w:line="225" w:lineRule="exact"/>
        <w:rPr>
          <w:sz w:val="20"/>
          <w:szCs w:val="20"/>
          <w:color w:val="auto"/>
        </w:rPr>
      </w:pPr>
    </w:p>
    <w:p>
      <w:pPr>
        <w:ind w:right="119" w:firstLine="648"/>
        <w:spacing w:after="0" w:line="276" w:lineRule="auto"/>
        <w:rPr>
          <w:sz w:val="20"/>
          <w:szCs w:val="20"/>
          <w:color w:val="auto"/>
        </w:rPr>
      </w:pPr>
      <w:r>
        <w:rPr>
          <w:rFonts w:ascii="Arial" w:cs="Arial" w:eastAsia="Arial" w:hAnsi="Arial"/>
          <w:sz w:val="17"/>
          <w:szCs w:val="17"/>
          <w:color w:val="auto"/>
        </w:rPr>
        <w:t>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 Due to the nature of the Company’s services and the terms and conditions of the Company’s contracts with its channel partners, the Company’s business could be affected unfavorably if it is not able to continue its relationships with them.</w:t>
      </w:r>
    </w:p>
    <w:p>
      <w:pPr>
        <w:sectPr>
          <w:pgSz w:w="11900" w:h="16838" w:orient="portrait"/>
          <w:cols w:equalWidth="0" w:num="1">
            <w:col w:w="9039"/>
          </w:cols>
          <w:pgMar w:left="1420" w:top="517" w:right="1440" w:bottom="1440" w:gutter="0" w:footer="0" w:header="0"/>
        </w:sect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cash, cash equivalents and accounts receivable. The Company’s cash is placed with high-credit-quality financial institutions and issuers, and at times exceed federally insured limits. The Company limits its concentration of risk in cash equivalents and marketable securities by diversifying its investments among a variety of industries and issuers. The Company has not experienced any credit loss relating to its cash equivalents and marketable securities. The Company performs periodic credit evaluations of its customers and generally does not require collateral.</w:t>
      </w:r>
    </w:p>
    <w:p>
      <w:pPr>
        <w:spacing w:after="0" w:line="17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Outstanding accounts receivable from one of the Company’s channel partners accounted for 11% of its consolidated accounts receivable as of April 30, 2019. No channel partner accounted for 10% or more of the Company’s consolidated accounts receivable as of January 31, 2019. Outstanding accounts receivable from one of the Company’s direct customers accounted for 11% of its consolidated accounts receivable as of April 30, 2019. Outstanding accounts receivable from two of the Company’s direct customers accounted for 10% and 19% of its consolidated accounts receivable as of January 31, 2019.</w:t>
      </w:r>
    </w:p>
    <w:p>
      <w:pPr>
        <w:spacing w:after="0" w:line="15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Revenue from sales to one of the Company’s channel partners accounted for 12% and 17% of its consolidated revenue for the three months ended April 30, 2019 and April 30, 2018, respectively.</w:t>
      </w:r>
    </w:p>
    <w:p>
      <w:pPr>
        <w:spacing w:after="0" w:line="170"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There were no direct customers who represented 10% or more of the Company’s total revenue during the three months ended April 30, 2019 or April 30,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Equivalents and Marketable Securities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Company considers all highly liquid investments with original maturities of three months or less at date of purchase to be cash equivalents. Cash equivalents as of April 30, 2019 and January 31, 2019 consisted of corporate debt securities and money market funds stated at fair value. The Company classifies investments in marketable securities as available-for-sale securities at the time of purchase, since it is the Company’s intent that these investments are available to support current operations. Marketable securities are classified as current or long-term based on the nature of the investments and their availability for use in current operations. Available-for-sale securities are carried at fair value with unrealized gains and losses, if any, included in accumulated other comprehensive income (loss). Unrealized losses are recorded in other income (expense), net, for declines in fair value below the cost of an individual investment that is deemed to be other-than-temporary. The Company did not identify any marketable securities as other-than-temporarily impaired as of April 30, 2019 and January 31, 2019. The Company determines realized gains or losses on the sale of marketable securities on a specific identification method and records such gains or losses in other income (expense), net. Marketable securities as of April 30, 2019 and January 31, 2019 consisted of corporate debt securities and U.S. treasury securities.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Company’s financial instruments consist of cash equivalents, marketable securities, accounts receivable, accounts payable, accrued expenses, redeemable convertible preferred stock warrant liability, and loans payable. The carrying values of cash equivalents, accounts receivable, accounts payable, and accrued expenses approximate fair value due to their short-term nature.</w:t>
      </w:r>
    </w:p>
    <w:p>
      <w:pPr>
        <w:spacing w:after="0" w:line="187"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The Company reports the redeemable convertible preferred stock warrant liability at fair value (see Note 3, </w:t>
      </w:r>
      <w:r>
        <w:rPr>
          <w:rFonts w:ascii="Arial" w:cs="Arial" w:eastAsia="Arial" w:hAnsi="Arial"/>
          <w:sz w:val="17"/>
          <w:szCs w:val="17"/>
          <w:i w:val="1"/>
          <w:iCs w:val="1"/>
          <w:color w:val="auto"/>
        </w:rPr>
        <w:t>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Measurements</w:t>
      </w:r>
      <w:r>
        <w:rPr>
          <w:rFonts w:ascii="Arial" w:cs="Arial" w:eastAsia="Arial" w:hAnsi="Arial"/>
          <w:sz w:val="17"/>
          <w:szCs w:val="17"/>
          <w:color w:val="auto"/>
        </w:rPr>
        <w:t>). The warrants issued by the Company for redeemable convertible preferred stock in January 2015,</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December 2016, and March 2017 (see Note 7, </w:t>
      </w:r>
      <w:r>
        <w:rPr>
          <w:rFonts w:ascii="Arial" w:cs="Arial" w:eastAsia="Arial" w:hAnsi="Arial"/>
          <w:sz w:val="17"/>
          <w:szCs w:val="17"/>
          <w:i w:val="1"/>
          <w:iCs w:val="1"/>
          <w:color w:val="auto"/>
        </w:rPr>
        <w:t>Redeemable Convertible Preferred Stock</w:t>
      </w:r>
      <w:r>
        <w:rPr>
          <w:rFonts w:ascii="Arial" w:cs="Arial" w:eastAsia="Arial" w:hAnsi="Arial"/>
          <w:sz w:val="17"/>
          <w:szCs w:val="17"/>
          <w:color w:val="auto"/>
        </w:rPr>
        <w:t>) have been recorded as a liability based on “Level 3” inputs, which consist of unobservable inputs and reflect management’s estimates of assumptions that market participants would use in pricing the liability. The fair value of the warrants was determined using the Black-Scholes option-pricing model, which is affected by changes in inputs to that model including the Company’s stock price, expected stock price volatility, risk-free rate, and contractual term.</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Accounts receivable are recorded at the invoiced amount and are non-interest bearing. Accounts receivable are stated at their net realizable value, net of an allowance for doubtful accounts. The Company has a well-established collections history from its customers. Credit is extended to customers based on an evaluation of their financial condition and other factors. The Company generally does not require collateral from its customers; however, the Company may require payment prior to commencing service in certain instances to limit credit risk. The Company records an allowance for doubtful accounts based on management’s assessment of the collectability of accounts. Management regularly reviews the adequacy of the allowance for doubtful accounts by considering the age of each outstanding invoice, each customer’s expected ability to pay, and the collection history with each customer, when applicable, to determine whether the allowance is appropriate. Amounts deemed uncollectible are written off against the allowance for doubtful accounts. As of April 30, 2019 and January 31, 2019, the allowance for doubtful accounts was $0.7 million and $1.0 million, respectively.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Deferred offering costs of $4.0 million and $2.9 million have been recorded as other assets on the condensed consolidated balance sheet as of April 30, 2019 and January 31, 2019, respectively, and consist of expenses incurred in connection with the Company’s IPO, including legal, accounting, printing, and other IPO-related costs. Upon closing of the IPO on June 14, 2019 these deferred offering costs were reclassified to stockholders’ equity and recorded against the proceeds from the offering.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Property and equipment, net, is stated at historical cost less accumulated depreciation and amortization. Depreciation and amortization are calculated using the straight-line method over the estimated useful lives of the assets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Data center and other computer equipment</w:t>
            </w:r>
          </w:p>
        </w:tc>
        <w:tc>
          <w:tcPr>
            <w:tcW w:w="5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5 years</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526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Purchased software</w:t>
            </w:r>
          </w:p>
        </w:tc>
        <w:tc>
          <w:tcPr>
            <w:tcW w:w="5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5 years</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Capitalized internal-use software</w:t>
            </w:r>
          </w:p>
        </w:tc>
        <w:tc>
          <w:tcPr>
            <w:tcW w:w="5260" w:type="dxa"/>
            <w:vAlign w:val="bottom"/>
          </w:tcPr>
          <w:p>
            <w:pPr>
              <w:jc w:val="right"/>
              <w:spacing w:after="0"/>
              <w:rPr>
                <w:sz w:val="20"/>
                <w:szCs w:val="20"/>
                <w:color w:val="auto"/>
              </w:rPr>
            </w:pPr>
            <w:r>
              <w:rPr>
                <w:rFonts w:ascii="Arial" w:cs="Arial" w:eastAsia="Arial" w:hAnsi="Arial"/>
                <w:sz w:val="18"/>
                <w:szCs w:val="18"/>
                <w:color w:val="auto"/>
              </w:rPr>
              <w:t>3 years</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Estimated useful life or term of the lease, whichever is shorter</w:t>
            </w:r>
          </w:p>
        </w:tc>
      </w:tr>
    </w:tbl>
    <w:p>
      <w:pPr>
        <w:spacing w:after="0" w:line="202"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Expenditures for routine maintenance and repairs are charged to operating expense as incurred. Major renewals and improvements are capitalized and depreciated over their estimated useful lives. Upon retirement or other disposition of property and equipment, the cost and accumulated depreciation are removed from the accounts, and any gain or loss is recorded in operating expenses in the condensed consolidated statements of operations.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Capitalized Internal-Use Software</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Company capitalizes certain development costs incurred in connection with its internal-use software. These capitalized costs are primarily related to the Company’s cloud-delivered solution for next-generation endpoint protection. Costs incurred in the preliminary stages of development are expensed as incurred. Once an application has reached the development stage, internal and external costs, if direct, are capitalized until the software is substantially complete and ready for its intended use. Capitalization ceases upon completion of all substantial testing. The Company also capitalizes costs related to specific upgrades and enhancements when it is probable the expenditures will result in additional functionality. Capitalized costs are recorded as property and equipment, net. Maintenance and training costs are expensed as incurred. Internal-use software is amortized to cost of revenue on a straight-line basis over its estimated useful life of three years. Management evaluates the useful lives of these assets on an annual basis and tests for impairment whenever events or changes in circumstances occur that could impact the recoverability of these assets. There were no impairments of internal-use software during the three months ended April 30, 2019 and April 30, 2018. The Company capitalized $2.0 million and $1.7 million in internal-use software during the three months ended April 30, 2019 and April 30, 2018, respectively. Amortization expense associated with internal-use software totaled $1.5 million</w:t>
      </w:r>
    </w:p>
    <w:p>
      <w:pPr>
        <w:sectPr>
          <w:pgSz w:w="11900" w:h="16838" w:orient="portrait"/>
          <w:cols w:equalWidth="0" w:num="1">
            <w:col w:w="9060"/>
          </w:cols>
          <w:pgMar w:left="1420" w:top="517" w:right="141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and $1.1 million during the three months ended April 30, 2019 and April 30, 2018, respectively. The net book value of capitalized internal-use software was $12.0 million and $11.5 million as of April 30, 2019 and January 31, 2019,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Intangible assets, net, consisting of developed technology, customer relationships, and non-compete agreements, are stated at cost less accumulated amortization. All intangible assets have been determined to have definite lives and are amortized on a straight-line basis over their estimated economic lives of three to five years. Amortization expense related to developed technology is included in cost of revenue, amortization expense related to customer relationships is included in sales and marketing expenses, and amortization expense related to non-compete agreements is included in research and development expenses.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Contract Acquisition Costs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Company capitalizes contract acquisition costs that are incremental to the acquisition of customer contracts. Contract acquisition costs are accrued and capitalized upon execution of the sales contract by the customer. 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channel partners, paid upon the initial acquisition of a contract or subsequent upsell are amortized over an estimated period of benefit of four years while commissions paid for renewal contracts are amortized over the contractual term of the renewals. Sales commissions associated with professional service contract are amortized ratably over an estimated period of benefit of six months. Amortization of deferred contract acquisition costs is recognized on a straight-line basis commensurate with the pattern of revenue recognition and included in sales and marketing expense in the condensed consolidated statements of operations. The Company capitalized contract acquisition costs of $8.5 million and $5.0 million, which is under ASC 605, during the three months ended April 30, 2019 and April 30, 2018, respectively. Contract acquisition cost amortization expense was $7.3 million and $5.6 million, which is under ASC 605, during the three months ended April 30, 2019 and April 30, 2018, respectively.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Company reviews for impairment of long-lived assets whenever events or changes in circumstances indicate that the carrying amount of the asset (or asset group) may not be recoverable. Events and changes in circumstances considered by the Company in determining whether the carrying value of long-lived assets may not be recoverable, include, but are not limited to: significant changes in performance relative to expected operating results, significant changes in the use of the assets, significant negative industry or economic trends, and changes in the Company’s business strategy. Impairment testing is performed at an asset level that represents the lowest level for which identifiable cash flows are largely independent of the cash flows of other assets and liabilities (an “asset group”). An impairment loss would be recognized when estimated future cash flows expected to result from the use of the asset (or asset group) and its eventual disposition is less than its carrying amount. No impairment indicators were identified by the Company and no impairment losses were recorded by the Company during the three months ended April 30, 2019 and April 30, 2018.</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deferred revenue balance consists of subscription and professional services which have been invoiced upfront and are recognized as revenue only when the revenue recognition criteria are met. The Company typically invoices its customers at the beginning of the term, or in some instances, such as in multi-year arrangements, in installments. Professional services are either invoiced upfront, invoiced in installments, or invoiced as the services are performed. Accordingly, the Company’s deferred revenue balance does not include revenues for future years of multi-year non-cancellable contracts that have not yet been billed.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firstLine="648"/>
        <w:spacing w:after="0" w:line="320" w:lineRule="auto"/>
        <w:rPr>
          <w:sz w:val="20"/>
          <w:szCs w:val="20"/>
          <w:color w:val="auto"/>
        </w:rPr>
      </w:pPr>
      <w:r>
        <w:rPr>
          <w:rFonts w:ascii="Arial" w:cs="Arial" w:eastAsia="Arial" w:hAnsi="Arial"/>
          <w:sz w:val="15"/>
          <w:szCs w:val="15"/>
          <w:color w:val="auto"/>
        </w:rPr>
        <w:t>The Company recognizes subscription revenue ratably over the contract term beginning on the commencement date of each contract, the date that services are made available to customers. Once services are available to customers, the Company records amounts due in accounts receivable and in deferred revenue. To the extent the Company bills customers in advance of the contract commencement date, the accounts receivable and corresponding deferred revenue amounts are netted to zero on the condensed consolidated balance sheets, unless such amounts have been paid as of the balance sheet date.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Redeemable Convertible Preferred Stock Warrants</w:t>
      </w:r>
    </w:p>
    <w:p>
      <w:pPr>
        <w:spacing w:after="0" w:line="22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 xml:space="preserve">Warrants related to the Company’s redeemable convertible preferred stock are classified as liabilities on the Company’s consolidated balance sheet. The warrants are subject to reassessment at each balance sheet date, and any change in fair value is recognized as a component of other income (expense), net, in the condensed consolidated statements of operations. The Company will continue to adjust the liability for changes in fair value until the earlier of the expiration or exercise of the warrants, or upon their automatic conversion into warrants to purchase common stock in connection with a qualified initial public offering (as defined in Note 7, </w:t>
      </w:r>
      <w:r>
        <w:rPr>
          <w:rFonts w:ascii="Arial" w:cs="Arial" w:eastAsia="Arial" w:hAnsi="Arial"/>
          <w:sz w:val="17"/>
          <w:szCs w:val="17"/>
          <w:i w:val="1"/>
          <w:iCs w:val="1"/>
          <w:color w:val="auto"/>
        </w:rPr>
        <w:t>Redeemable Convertible Preferred Stock</w:t>
      </w:r>
      <w:r>
        <w:rPr>
          <w:rFonts w:ascii="Arial" w:cs="Arial" w:eastAsia="Arial" w:hAnsi="Arial"/>
          <w:sz w:val="17"/>
          <w:szCs w:val="17"/>
          <w:color w:val="auto"/>
        </w:rPr>
        <w:t>) such that they qualify for equity classification and no further remeasurement is required.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 – ASC 606</w:t>
      </w:r>
    </w:p>
    <w:p>
      <w:pPr>
        <w:spacing w:after="0" w:line="225" w:lineRule="exact"/>
        <w:rPr>
          <w:sz w:val="20"/>
          <w:szCs w:val="20"/>
          <w:color w:val="auto"/>
        </w:rPr>
      </w:pPr>
    </w:p>
    <w:p>
      <w:pPr>
        <w:jc w:val="both"/>
        <w:ind w:right="240" w:firstLine="648"/>
        <w:spacing w:after="0" w:line="302" w:lineRule="auto"/>
        <w:rPr>
          <w:sz w:val="20"/>
          <w:szCs w:val="20"/>
          <w:color w:val="auto"/>
        </w:rPr>
      </w:pPr>
      <w:r>
        <w:rPr>
          <w:rFonts w:ascii="Arial" w:cs="Arial" w:eastAsia="Arial" w:hAnsi="Arial"/>
          <w:sz w:val="16"/>
          <w:szCs w:val="16"/>
          <w:color w:val="auto"/>
        </w:rPr>
        <w:t>The Company adopted ASC 606 on February 1, 2019, using the modified retrospective transition method. Under this method, results for reporting periods beginning on February 1, 2019 are presented under Topic 606, while prior period amounts are not adjusted and continue to be reported in accordance with prior accounting under Topic 605. The Company has shown the effect of applying ASC 606 for the three months ended April 30, 2019 in the disclosures below.</w:t>
      </w:r>
    </w:p>
    <w:p>
      <w:pPr>
        <w:spacing w:after="0" w:line="15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recorded a cumulative effect adjustment to opening accumulated deficit of $23.4 million, net of tax, as of the date of adoption. The change resulted from a $23.7 million reduction in the amortization of deferred contract acquisition costs offset by a $0.3 million reduction in revenue.</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following tables summarize the effect of the adoption of Topic 606 on the Company’s select line items included in the condensed consolidated financial statements as of and for the three months ended April 30, 2019, as if the previous accounting was in effect: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April 30, 2019</w:t>
            </w: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January 31,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jc w:val="right"/>
              <w:ind w:right="51"/>
              <w:spacing w:after="0" w:line="119" w:lineRule="exact"/>
              <w:rPr>
                <w:sz w:val="20"/>
                <w:szCs w:val="20"/>
                <w:color w:val="auto"/>
              </w:rPr>
            </w:pPr>
            <w:r>
              <w:rPr>
                <w:rFonts w:ascii="Arial" w:cs="Arial" w:eastAsia="Arial" w:hAnsi="Arial"/>
                <w:sz w:val="13"/>
                <w:szCs w:val="13"/>
                <w:b w:val="1"/>
                <w:bCs w:val="1"/>
                <w:color w:val="auto"/>
              </w:rPr>
              <w:t>As Reported</w:t>
            </w:r>
          </w:p>
        </w:tc>
        <w:tc>
          <w:tcPr>
            <w:tcW w:w="920" w:type="dxa"/>
            <w:vAlign w:val="bottom"/>
          </w:tcPr>
          <w:p>
            <w:pPr>
              <w:ind w:left="160"/>
              <w:spacing w:after="0" w:line="119" w:lineRule="exact"/>
              <w:rPr>
                <w:sz w:val="20"/>
                <w:szCs w:val="20"/>
                <w:color w:val="auto"/>
              </w:rPr>
            </w:pPr>
            <w:r>
              <w:rPr>
                <w:rFonts w:ascii="Arial" w:cs="Arial" w:eastAsia="Arial" w:hAnsi="Arial"/>
                <w:sz w:val="13"/>
                <w:szCs w:val="13"/>
                <w:b w:val="1"/>
                <w:bCs w:val="1"/>
                <w:color w:val="auto"/>
              </w:rPr>
              <w:t>Impact of</w:t>
            </w:r>
          </w:p>
        </w:tc>
        <w:tc>
          <w:tcPr>
            <w:tcW w:w="122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Without Adoption</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center"/>
              <w:ind w:right="55"/>
              <w:spacing w:after="0" w:line="119" w:lineRule="exact"/>
              <w:rPr>
                <w:sz w:val="20"/>
                <w:szCs w:val="20"/>
                <w:color w:val="auto"/>
              </w:rPr>
            </w:pPr>
            <w:r>
              <w:rPr>
                <w:rFonts w:ascii="Arial" w:cs="Arial" w:eastAsia="Arial" w:hAnsi="Arial"/>
                <w:sz w:val="13"/>
                <w:szCs w:val="13"/>
                <w:b w:val="1"/>
                <w:bCs w:val="1"/>
                <w:color w:val="auto"/>
              </w:rPr>
              <w:t>As Reported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(ASC 606)</w:t>
            </w: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Adoption</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(ASC 605)</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3"/>
              </w:rPr>
              <w:t>(ASC 605)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140" w:type="dxa"/>
            <w:vAlign w:val="bottom"/>
            <w:gridSpan w:val="3"/>
          </w:tcPr>
          <w:p>
            <w:pPr>
              <w:jc w:val="right"/>
              <w:ind w:right="393"/>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Balance Sheet</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Deferred contract acquisition costs, current</w:t>
            </w:r>
          </w:p>
        </w:tc>
        <w:tc>
          <w:tcPr>
            <w:tcW w:w="1760" w:type="dxa"/>
            <w:vAlign w:val="bottom"/>
            <w:gridSpan w:val="2"/>
          </w:tcPr>
          <w:p>
            <w:pPr>
              <w:jc w:val="right"/>
              <w:ind w:right="71"/>
              <w:spacing w:after="0"/>
              <w:rPr>
                <w:sz w:val="20"/>
                <w:szCs w:val="20"/>
                <w:color w:val="auto"/>
              </w:rPr>
            </w:pPr>
            <w:r>
              <w:rPr>
                <w:rFonts w:ascii="Arial" w:cs="Arial" w:eastAsia="Arial" w:hAnsi="Arial"/>
                <w:sz w:val="18"/>
                <w:szCs w:val="18"/>
                <w:color w:val="auto"/>
              </w:rPr>
              <w:t>$   26,193</w:t>
            </w:r>
          </w:p>
        </w:tc>
        <w:tc>
          <w:tcPr>
            <w:tcW w:w="920" w:type="dxa"/>
            <w:vAlign w:val="bottom"/>
          </w:tcPr>
          <w:p>
            <w:pPr>
              <w:jc w:val="right"/>
              <w:ind w:right="58"/>
              <w:spacing w:after="0"/>
              <w:rPr>
                <w:sz w:val="20"/>
                <w:szCs w:val="20"/>
                <w:color w:val="auto"/>
              </w:rPr>
            </w:pPr>
            <w:r>
              <w:rPr>
                <w:rFonts w:ascii="Arial" w:cs="Arial" w:eastAsia="Arial" w:hAnsi="Arial"/>
                <w:sz w:val="18"/>
                <w:szCs w:val="18"/>
                <w:color w:val="auto"/>
              </w:rPr>
              <w:t>$   1,815</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28,008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acquisition costs, noncurrent</w:t>
            </w:r>
          </w:p>
        </w:tc>
        <w:tc>
          <w:tcPr>
            <w:tcW w:w="176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38,004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(30,337)</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Accrued expenses</w:t>
            </w:r>
          </w:p>
        </w:tc>
        <w:tc>
          <w:tcPr>
            <w:tcW w:w="1760" w:type="dxa"/>
            <w:vAlign w:val="bottom"/>
            <w:gridSpan w:val="2"/>
          </w:tcPr>
          <w:p>
            <w:pPr>
              <w:jc w:val="right"/>
              <w:ind w:right="71"/>
              <w:spacing w:after="0"/>
              <w:rPr>
                <w:sz w:val="20"/>
                <w:szCs w:val="20"/>
                <w:color w:val="auto"/>
              </w:rPr>
            </w:pPr>
            <w:r>
              <w:rPr>
                <w:rFonts w:ascii="Arial" w:cs="Arial" w:eastAsia="Arial" w:hAnsi="Arial"/>
                <w:sz w:val="18"/>
                <w:szCs w:val="18"/>
                <w:color w:val="auto"/>
              </w:rPr>
              <w:t>31,185</w:t>
            </w:r>
          </w:p>
        </w:tc>
        <w:tc>
          <w:tcPr>
            <w:tcW w:w="920" w:type="dxa"/>
            <w:vAlign w:val="bottom"/>
          </w:tcPr>
          <w:p>
            <w:pPr>
              <w:jc w:val="right"/>
              <w:spacing w:after="0"/>
              <w:rPr>
                <w:sz w:val="20"/>
                <w:szCs w:val="20"/>
                <w:color w:val="auto"/>
              </w:rPr>
            </w:pPr>
            <w:r>
              <w:rPr>
                <w:rFonts w:ascii="Arial" w:cs="Arial" w:eastAsia="Arial" w:hAnsi="Arial"/>
                <w:sz w:val="18"/>
                <w:szCs w:val="18"/>
                <w:color w:val="auto"/>
              </w:rPr>
              <w:t>(555)</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176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244,271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1760" w:type="dxa"/>
            <w:vAlign w:val="bottom"/>
            <w:gridSpan w:val="2"/>
          </w:tcPr>
          <w:p>
            <w:pPr>
              <w:jc w:val="right"/>
              <w:ind w:right="71"/>
              <w:spacing w:after="0"/>
              <w:rPr>
                <w:sz w:val="20"/>
                <w:szCs w:val="20"/>
                <w:color w:val="auto"/>
              </w:rPr>
            </w:pPr>
            <w:r>
              <w:rPr>
                <w:rFonts w:ascii="Arial" w:cs="Arial" w:eastAsia="Arial" w:hAnsi="Arial"/>
                <w:sz w:val="18"/>
                <w:szCs w:val="18"/>
                <w:color w:val="auto"/>
              </w:rPr>
              <w:t>70,941</w:t>
            </w:r>
          </w:p>
        </w:tc>
        <w:tc>
          <w:tcPr>
            <w:tcW w:w="92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70,941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71,367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Stockholders' Equity:</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76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(521,685)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(27,717)</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(519,126)</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7"/>
          </w:tcPr>
          <w:p>
            <w:pPr>
              <w:jc w:val="right"/>
              <w:ind w:right="276"/>
              <w:spacing w:after="0"/>
              <w:rPr>
                <w:sz w:val="20"/>
                <w:szCs w:val="20"/>
                <w:color w:val="auto"/>
              </w:rPr>
            </w:pPr>
            <w:r>
              <w:rPr>
                <w:rFonts w:ascii="Arial" w:cs="Arial" w:eastAsia="Arial" w:hAnsi="Arial"/>
                <w:sz w:val="14"/>
                <w:szCs w:val="14"/>
                <w:b w:val="1"/>
                <w:bCs w:val="1"/>
                <w:color w:val="auto"/>
              </w:rPr>
              <w:t>Three Months Ended April 30, 2019</w:t>
            </w:r>
          </w:p>
        </w:tc>
        <w:tc>
          <w:tcPr>
            <w:tcW w:w="140" w:type="dxa"/>
            <w:vAlign w:val="bottom"/>
          </w:tcPr>
          <w:p>
            <w:pPr>
              <w:spacing w:after="0"/>
              <w:rPr>
                <w:sz w:val="14"/>
                <w:szCs w:val="14"/>
                <w:color w:val="auto"/>
              </w:rPr>
            </w:pPr>
          </w:p>
        </w:tc>
        <w:tc>
          <w:tcPr>
            <w:tcW w:w="2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Three Months Ended April 30, 2018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As Reported</w:t>
            </w:r>
          </w:p>
        </w:tc>
        <w:tc>
          <w:tcPr>
            <w:tcW w:w="140" w:type="dxa"/>
            <w:vAlign w:val="bottom"/>
          </w:tcPr>
          <w:p>
            <w:pPr>
              <w:spacing w:after="0"/>
              <w:rPr>
                <w:sz w:val="10"/>
                <w:szCs w:val="10"/>
                <w:color w:val="auto"/>
              </w:rPr>
            </w:pP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Impacts of</w:t>
            </w:r>
          </w:p>
        </w:tc>
        <w:tc>
          <w:tcPr>
            <w:tcW w:w="140" w:type="dxa"/>
            <w:vAlign w:val="bottom"/>
          </w:tcPr>
          <w:p>
            <w:pPr>
              <w:spacing w:after="0"/>
              <w:rPr>
                <w:sz w:val="10"/>
                <w:szCs w:val="10"/>
                <w:color w:val="auto"/>
              </w:rPr>
            </w:pPr>
          </w:p>
        </w:tc>
        <w:tc>
          <w:tcPr>
            <w:tcW w:w="11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Without Adoption</w:t>
            </w: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00" w:type="dxa"/>
            <w:vAlign w:val="bottom"/>
          </w:tcPr>
          <w:p>
            <w:pPr>
              <w:jc w:val="center"/>
              <w:ind w:right="337"/>
              <w:spacing w:after="0" w:line="119" w:lineRule="exact"/>
              <w:rPr>
                <w:sz w:val="20"/>
                <w:szCs w:val="20"/>
                <w:color w:val="auto"/>
              </w:rPr>
            </w:pPr>
            <w:r>
              <w:rPr>
                <w:rFonts w:ascii="Arial" w:cs="Arial" w:eastAsia="Arial" w:hAnsi="Arial"/>
                <w:sz w:val="13"/>
                <w:szCs w:val="13"/>
                <w:b w:val="1"/>
                <w:bCs w:val="1"/>
                <w:color w:val="auto"/>
                <w:w w:val="98"/>
              </w:rPr>
              <w:t>As Reported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(ASC 606)</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Adoption</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(ASC 605)</w:t>
            </w: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96"/>
              </w:rPr>
              <w:t>(ASC 605)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3"/>
          </w:tcPr>
          <w:p>
            <w:pPr>
              <w:jc w:val="right"/>
              <w:ind w:right="288"/>
              <w:spacing w:after="0" w:line="142" w:lineRule="exact"/>
              <w:rPr>
                <w:sz w:val="20"/>
                <w:szCs w:val="20"/>
                <w:color w:val="auto"/>
              </w:rPr>
            </w:pPr>
            <w:r>
              <w:rPr>
                <w:rFonts w:ascii="Arial" w:cs="Arial" w:eastAsia="Arial" w:hAnsi="Arial"/>
                <w:sz w:val="14"/>
                <w:szCs w:val="14"/>
                <w:b w:val="1"/>
                <w:bCs w:val="1"/>
                <w:color w:val="auto"/>
              </w:rPr>
              <w:t>(in thousands)</w:t>
            </w: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Condensed Consolidated Statement of</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96,077</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95,994</w:t>
            </w:r>
          </w:p>
        </w:tc>
        <w:tc>
          <w:tcPr>
            <w:tcW w:w="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(25,977)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(4,299)</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(30,276)</w:t>
            </w:r>
          </w:p>
        </w:tc>
        <w:tc>
          <w:tcPr>
            <w:tcW w:w="1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5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60" w:firstLine="648"/>
        <w:spacing w:after="0" w:line="342" w:lineRule="auto"/>
        <w:rPr>
          <w:sz w:val="20"/>
          <w:szCs w:val="20"/>
          <w:color w:val="auto"/>
        </w:rPr>
      </w:pPr>
      <w:r>
        <w:rPr>
          <w:rFonts w:ascii="Arial" w:cs="Arial" w:eastAsia="Arial" w:hAnsi="Arial"/>
          <w:sz w:val="16"/>
          <w:szCs w:val="16"/>
          <w:color w:val="auto"/>
        </w:rPr>
        <w:t>The adoption of Topic 606 had no impact on net cash provided by or used in operating, investing, or financing activities in the Company’s condensed consolidated statement of cash flows for the three months ended April 30, 2019.</w:t>
      </w:r>
    </w:p>
    <w:p>
      <w:pPr>
        <w:spacing w:after="0" w:line="124"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In accordance with ASC 606, revenue is recognized when a customer obtains control of promised services. The amount of revenue recognized reflects the consideration that the Company expects to be entitled to receive in exchange for these services. To achieve the core principle of this standard, the Company applies the following five steps:</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 Identify the contract with a customer</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Company considers the terms and conditions of contracts with customers and its customary business practices in identifying contracts under ASC 606. The Company determines it has a contract with a customer when the contract is approved, each party’s rights regarding the services to be transferred can be identified, payment terms for the services can be identified, it has been determined that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178" w:lineRule="exact"/>
        <w:rPr>
          <w:sz w:val="20"/>
          <w:szCs w:val="20"/>
          <w:color w:val="auto"/>
        </w:rPr>
      </w:pPr>
    </w:p>
    <w:p>
      <w:pPr>
        <w:ind w:left="680"/>
        <w:spacing w:after="0"/>
        <w:tabs>
          <w:tab w:leader="none" w:pos="9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Identify the performance obligations in the contract</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the Company or from third parties, and are distinct in the context of the contract, whereby the transfer of the services is separately identifiable from other promises in the contract. The Company’s performance obligations consist of (i) subscriptions and (ii) professional services.</w:t>
      </w:r>
    </w:p>
    <w:p>
      <w:pPr>
        <w:spacing w:after="0" w:line="173" w:lineRule="exact"/>
        <w:rPr>
          <w:sz w:val="20"/>
          <w:szCs w:val="20"/>
          <w:color w:val="auto"/>
        </w:rPr>
      </w:pPr>
    </w:p>
    <w:p>
      <w:pPr>
        <w:ind w:left="680"/>
        <w:spacing w:after="0"/>
        <w:tabs>
          <w:tab w:leader="none" w:pos="9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Determine the transaction price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transaction price is determined based on the consideration which the Company is expected to be entitled to in exchange for transferring services to the customer. Variable consideration is included in the transaction price if it is probable that a significant future reversal of cumulative revenue under the contract will not occur. None of the Company’s contracts contain a significant financing component.</w:t>
      </w:r>
    </w:p>
    <w:p>
      <w:pPr>
        <w:spacing w:after="0" w:line="187" w:lineRule="exact"/>
        <w:rPr>
          <w:sz w:val="20"/>
          <w:szCs w:val="20"/>
          <w:color w:val="auto"/>
        </w:rPr>
      </w:pPr>
    </w:p>
    <w:p>
      <w:pPr>
        <w:ind w:left="680"/>
        <w:spacing w:after="0"/>
        <w:tabs>
          <w:tab w:leader="none" w:pos="9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Allocate the transaction price to performance obligations in the contract</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w:t>
      </w:r>
    </w:p>
    <w:p>
      <w:pPr>
        <w:sectPr>
          <w:pgSz w:w="11900" w:h="16838" w:orient="portrait"/>
          <w:cols w:equalWidth="0" w:num="1">
            <w:col w:w="9060"/>
          </w:cols>
          <w:pgMar w:left="1420" w:top="517" w:right="141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80"/>
        <w:spacing w:after="0"/>
        <w:tabs>
          <w:tab w:leader="none" w:pos="98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Recognize revenue when or as performance obligations are satisfied</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Revenue is recognized at the time the related performance obligation is satisfied by transferring the promised service to the customer. Revenue is recognized when control of the services is transferred to the customer, in an amount that reflects the consideration expected to be received in exchange for those services. The Company generates all its revenue from contracts with customers.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Subscription Revenue</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Company’s Falcon Platform technology solutions are subscription, software as a service (“SaaS”) offerings designed to continuously monitor, share, and mitigate risks from determined attackers. Customers do not have the right to take possession of the cloud-based software platform. Fees are based on several factors, including the solutions subscribed for by the customer and the number of endpoints purchased by the customer. The subscription fees are typically payable within 30 to 60 days after the execution of the arrangement, and thereafter upon renewal or subsequent installment. The Company initially records the subscription fees as deferred revenue and recognizes revenue on a straight-line basis over the term of the agreement.</w:t>
      </w:r>
    </w:p>
    <w:p>
      <w:pPr>
        <w:spacing w:after="0" w:line="18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typical subscription term is one to three years. Most of the Company’s contracts are non-cancelable over the contractual term. Customers typically have the right to terminate their contracts for cause if the Company fails to perform in accordance with the contractual terms. Some customers have the option to purchase additional subscription at a stated price. These options generally do not provide a material right as they are priced at our SSP.</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Professional Services Revenue</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offers several types of professional services including incident response and forensic services, surge forensic and malware analysis, and attribution analysis, which are focused on responding to imminent and direct threats, assessing vulnerabilities, and recommending solutions. These services are distinct from subscription services. Professional services do not result in significant customization of the subscription service. The professional services are available through hourly rate and fixed fee contracts, one-time and ongoing engagements, and retainer-based agreements. Revenue for time and materials arrangements is recognized as services are performed and revenue for fixed fees is recognized on a proportional performance basis as the services are performed.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Contracts with Multiple Performance Obligations</w:t>
      </w:r>
    </w:p>
    <w:p>
      <w:pPr>
        <w:spacing w:after="0" w:line="225" w:lineRule="exact"/>
        <w:rPr>
          <w:sz w:val="20"/>
          <w:szCs w:val="20"/>
          <w:color w:val="auto"/>
        </w:rPr>
      </w:pPr>
    </w:p>
    <w:p>
      <w:pPr>
        <w:ind w:right="420" w:firstLine="648"/>
        <w:spacing w:after="0" w:line="273" w:lineRule="auto"/>
        <w:rPr>
          <w:sz w:val="20"/>
          <w:szCs w:val="20"/>
          <w:color w:val="auto"/>
        </w:rPr>
      </w:pPr>
      <w:r>
        <w:rPr>
          <w:rFonts w:ascii="Arial" w:cs="Arial" w:eastAsia="Arial" w:hAnsi="Arial"/>
          <w:sz w:val="17"/>
          <w:szCs w:val="17"/>
          <w:color w:val="auto"/>
        </w:rPr>
        <w:t>Some contracts with customers contain multiple promised services consisting of subscription and professional services that are distinct and accounted for separately. The transaction price is allocated to the separate performance obligations on a relative SSP basis. The SSP is the price at which the Company would sell promised subscription or professional services separately to a customer. Judgment is required to determine the SSP for each distinct performance obligation. The Company determines SSP based on its overall pricing objectives, taking into consideration the type of subscription or professional service and the number of endpoints.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Variable Consideration</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Revenue from sales is recorded at the net sales price, which is the transaction price, and includes estimates of variable consideration. The amount of variable consideration that is included in the transaction price is constrained and is included in the net sales price only to the extent that it is probable that a significant reversal in the amount of the cumulative revenue will not occur when the uncertainty is resolved.</w:t>
      </w:r>
    </w:p>
    <w:p>
      <w:pPr>
        <w:spacing w:after="0" w:line="18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If subscriptions do not meet certain service level commitments, the Company’s customers are entitled to receive service credits, and in certain cases, refunds, each representing a form of variable consideration. The Company has historically not experienced any significant incidents affecting the defined levels of reliability and performance as required by its subscription contracts. Accordingly, any estimated refunds related to these agreements in the condensed consolidated financial statements is not material during the periods presented.</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9" w:firstLine="648"/>
        <w:spacing w:after="0" w:line="279" w:lineRule="auto"/>
        <w:rPr>
          <w:sz w:val="20"/>
          <w:szCs w:val="20"/>
          <w:color w:val="auto"/>
        </w:rPr>
      </w:pPr>
      <w:r>
        <w:rPr>
          <w:rFonts w:ascii="Arial" w:cs="Arial" w:eastAsia="Arial" w:hAnsi="Arial"/>
          <w:sz w:val="17"/>
          <w:szCs w:val="17"/>
          <w:color w:val="auto"/>
        </w:rPr>
        <w:t>The Company provides rebates and other credits within its contracts with certain resellers, which are estimated based on the most likely amounts expected to be earned or claimed on the related sales transaction. Overall, the transaction price is reduced to reflect the Company’s estimate of the amount of consideration to which it is entitled based on the terms of the contract. Estimated rebates and other credits were not material during the periods presented.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 – ASC 605</w:t>
      </w:r>
    </w:p>
    <w:p>
      <w:pPr>
        <w:spacing w:after="0" w:line="225" w:lineRule="exact"/>
        <w:rPr>
          <w:sz w:val="20"/>
          <w:szCs w:val="20"/>
          <w:color w:val="auto"/>
        </w:rPr>
      </w:pPr>
    </w:p>
    <w:p>
      <w:pPr>
        <w:ind w:right="239" w:firstLine="648"/>
        <w:spacing w:after="0" w:line="302" w:lineRule="auto"/>
        <w:rPr>
          <w:sz w:val="20"/>
          <w:szCs w:val="20"/>
          <w:color w:val="auto"/>
        </w:rPr>
      </w:pPr>
      <w:r>
        <w:rPr>
          <w:rFonts w:ascii="Arial" w:cs="Arial" w:eastAsia="Arial" w:hAnsi="Arial"/>
          <w:sz w:val="16"/>
          <w:szCs w:val="16"/>
          <w:color w:val="auto"/>
        </w:rPr>
        <w:t>Prior to adopting ASC 606 on February 1, 2019, the Company recognized subscription and professional services when: (1) persuasive evidence of the contract exists in the form of a written contract, amendments to that contract, or purchase orders from a third party; (2) delivery has occurred, or services have been rendered; (3) the price is fixed or determinable; and (4) collectability is reasonably assured based on customer creditworthiness and history of collection.</w:t>
      </w:r>
    </w:p>
    <w:p>
      <w:pPr>
        <w:spacing w:after="0" w:line="154" w:lineRule="exact"/>
        <w:rPr>
          <w:sz w:val="20"/>
          <w:szCs w:val="20"/>
          <w:color w:val="auto"/>
        </w:rPr>
      </w:pPr>
    </w:p>
    <w:p>
      <w:pPr>
        <w:ind w:right="59" w:firstLine="648"/>
        <w:spacing w:after="0" w:line="293" w:lineRule="auto"/>
        <w:rPr>
          <w:sz w:val="20"/>
          <w:szCs w:val="20"/>
          <w:color w:val="auto"/>
        </w:rPr>
      </w:pPr>
      <w:r>
        <w:rPr>
          <w:rFonts w:ascii="Arial" w:cs="Arial" w:eastAsia="Arial" w:hAnsi="Arial"/>
          <w:sz w:val="16"/>
          <w:szCs w:val="16"/>
          <w:color w:val="auto"/>
        </w:rPr>
        <w:t>The timing and the amount the Company recognized as revenue was determined based on the facts and circumstances of each customer’s arrangements. Evidence of an arrangement consisted of a signed customer agreement. The Company considered that the delivery of its solution had commenced once it provided the customer with log-in information and the term of the contract had started. Fees were fixed based on stated rates specified in the customer agreement. The Company assessed collectability based on several factors, including the credit worthiness of the customer and transaction history. If collectability was not reasonably assured, revenue was deferred until the fees were collected.</w:t>
      </w:r>
    </w:p>
    <w:p>
      <w:pPr>
        <w:spacing w:after="0" w:line="165" w:lineRule="exact"/>
        <w:rPr>
          <w:sz w:val="20"/>
          <w:szCs w:val="20"/>
          <w:color w:val="auto"/>
        </w:rPr>
      </w:pPr>
    </w:p>
    <w:p>
      <w:pPr>
        <w:ind w:right="19" w:firstLine="648"/>
        <w:spacing w:after="0" w:line="254" w:lineRule="auto"/>
        <w:rPr>
          <w:sz w:val="20"/>
          <w:szCs w:val="20"/>
          <w:color w:val="auto"/>
        </w:rPr>
      </w:pPr>
      <w:r>
        <w:rPr>
          <w:rFonts w:ascii="Arial" w:cs="Arial" w:eastAsia="Arial" w:hAnsi="Arial"/>
          <w:sz w:val="18"/>
          <w:szCs w:val="18"/>
          <w:color w:val="auto"/>
        </w:rPr>
        <w:t>For arrangements that involve the contemporaneous sale of subscription and professional services, the Company applied the multiple-element arrangement guidance to allocate the arrangement consideration to all deliverables based on their relative selling price. The Company determined that the cloud-based platform subscription has standalone value, because once access is given to the customer, the solutions are fully functional and do not require any additional development, modification, or customization. Professional services have standalone value because they are regularly sold by the Company in separate transactions. Additionally, the performance of these professional services generally does not require highly specialized or technologically skilled individuals and the professional services are not essential to the functionality of the solutions.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used a hierarchy to determine the selling price to be used for allocating revenue to deliverables:</w:t>
      </w:r>
    </w:p>
    <w:p>
      <w:pPr>
        <w:spacing w:after="0" w:line="35" w:lineRule="exact"/>
        <w:rPr>
          <w:sz w:val="20"/>
          <w:szCs w:val="20"/>
          <w:color w:val="auto"/>
        </w:rPr>
      </w:pPr>
    </w:p>
    <w:p>
      <w:pPr>
        <w:ind w:left="220" w:hanging="211"/>
        <w:spacing w:after="0"/>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vendor-specific objective evidence of fair value (‘‘VSOE’’); (ii) third-party evidence of selling price (‘‘TPE’’); and</w:t>
      </w:r>
    </w:p>
    <w:p>
      <w:pPr>
        <w:spacing w:after="0" w:line="9" w:lineRule="exact"/>
        <w:rPr>
          <w:rFonts w:ascii="Arial" w:cs="Arial" w:eastAsia="Arial" w:hAnsi="Arial"/>
          <w:sz w:val="18"/>
          <w:szCs w:val="18"/>
          <w:color w:val="auto"/>
        </w:rPr>
      </w:pPr>
    </w:p>
    <w:p>
      <w:pPr>
        <w:ind w:right="159" w:firstLine="9"/>
        <w:spacing w:after="0" w:line="253"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color w:val="auto"/>
        </w:rPr>
        <w:t>best estimate of selling price (‘‘BESP’’). BESP reflected the Company’s best estimates of what the selling prices of elements would be if they were sold regularly on a stand-alone basis. The Company’s process for determining BESP involved management’s judgment and considered numerous factors including the nature of the deliverables themselves and historical discounting practices. The Company updated its estimates of BESP on an ongoing basis as events and circumstances required.</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right="99" w:firstLine="648"/>
        <w:spacing w:after="0" w:line="259" w:lineRule="auto"/>
        <w:rPr>
          <w:sz w:val="20"/>
          <w:szCs w:val="20"/>
          <w:color w:val="auto"/>
        </w:rPr>
      </w:pPr>
      <w:r>
        <w:rPr>
          <w:rFonts w:ascii="Arial" w:cs="Arial" w:eastAsia="Arial" w:hAnsi="Arial"/>
          <w:sz w:val="18"/>
          <w:szCs w:val="18"/>
          <w:color w:val="auto"/>
        </w:rPr>
        <w:t>Research and development costs are expensed when incurred, except for certain internal-use software development costs, which may be capitalized as noted above. Research and development expenses consist primarily of personnel and related headcount costs, costs of professional services associated with the ongoing development of the Company’s technology, and allocated overhead.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ind w:right="179" w:firstLine="648"/>
        <w:spacing w:after="0" w:line="264" w:lineRule="auto"/>
        <w:rPr>
          <w:sz w:val="20"/>
          <w:szCs w:val="20"/>
          <w:color w:val="auto"/>
        </w:rPr>
      </w:pPr>
      <w:r>
        <w:rPr>
          <w:rFonts w:ascii="Arial" w:cs="Arial" w:eastAsia="Arial" w:hAnsi="Arial"/>
          <w:sz w:val="18"/>
          <w:szCs w:val="18"/>
          <w:color w:val="auto"/>
        </w:rPr>
        <w:t>All advertising costs are expensed as incurred and are included in sales and marketing expense in the condensed consolidated statements of operations. The Company incurred $1.1 million and $0.5 million of advertising costs during the three months ended April 30, 2019 and April 30, 2018, respectively.</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accounts for stock-based awards granted to employees and directors based on the awards’ estimated grant date fair value. The Company estimates the fair value of its stock options using the Black-Scholes option-pricing model. The resulting fair value is recognized on a straight-line basis over the period during which the employee or director is required to provide service in exchange for the award, usually the vesting period, which is generally four years. The Company accounts for forfeitures as they occur.</w:t>
      </w:r>
    </w:p>
    <w:p>
      <w:pPr>
        <w:spacing w:after="0" w:line="18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Prior to the Company’s adoption of ASU 2018-07, stock-based awards issued to non-employees were accounted for at fair value determined by using the Black-Scholes option-pricing model. The Company believes that the fair value of the stock options is more reliably measured than the fair value of the services received. The fair value of each non-employee stock-based award is remeasured each period until a commitment date is reached, which is generally the vesting date. The Company early adopted ASU 2018-07 on February 1, 2019 and began accounting for stock-based awards issued to non-employees the same as it accounts for stock-based awards issued to employees. The effect on the Company’s condensed consolidated financial statements for the three months ended April 30, 2019 was not material.</w:t>
      </w:r>
    </w:p>
    <w:p>
      <w:pPr>
        <w:spacing w:after="0" w:line="16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Restricted stock units ("RSUs") granted under the 2011 Plan are subject to a service-based vesting condition and a performance-based vesting condition. The service-based vesting condition is generally satisfied based on one of three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beginning on December 20, 2018, subject to continued service, or (iii) vesting in eight equal quarterly installments beginning on December 20, 2022, subject to continued service. The performance-based vesting condition is satisfied on the earlier of (i) a change in control, in which the consideration paid to holders of shares is either cash, publicly traded securities, or a combination thereof, or (ii) the first Company vest date to occur following the expiration of the lock-up period upon an IPO, subject to continued service through such change in control or lock-up expiration, as applicable. None of the RSUs vest unless the performance-based vesting condition is satisfied. As of April 30, 2019 the performance based vesting condition had not yet been met, and thus no stock-based compensation relating to these RSUs was recognized. In the quarter in which the performance-based vesting condition is met, the Company will begin recording stock-based compensation expense using the accelerated attribution method based on the grant date fair value of the RSUs. As of April 30, 2019, the total amount of stock-based compensation expense deferred related to this performance-based vesting condition was approximately $13.0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Company allocates the fair value of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Such valuations require management to make significant estimates and assumptions, especially with respect to intangible assets. Significant estimates in valuing certain intangible assets include, but are not limited to, future expected cash flows from acquired users, acquired technology,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During the measurement period, which is one year from the acquisition date, the Company may record adjustments to the assets acquired and liabilities assumed, with the corresponding offset to goodwill. Upon the conclusion of the measurement period, any subsequent adjustments are recorded in the condensed consolidated statement of operations.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Company evaluates and tests the recoverability of goodwill for impairment at least annually, on January 31, or more frequently if circumstances indicate that goodwill may not be recoverable. The Company performs the impairment testing by first assessing qualitative factors to determine whether the existence of events or circumstances leads to a determination that it is more likely than not that the fair value of its reporting unit is less than its carrying amount. The Company has one reporting unit. If, after assessing the totality of events or circumstances, the</w:t>
      </w:r>
    </w:p>
    <w:p>
      <w:pPr>
        <w:sectPr>
          <w:pgSz w:w="11900" w:h="16838" w:orient="portrait"/>
          <w:cols w:equalWidth="0" w:num="1">
            <w:col w:w="9060"/>
          </w:cols>
          <w:pgMar w:left="1420" w:top="517" w:right="141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Company determines it is more likely than not that the fair value of a reporting unit is less than its carrying amount, the Company performs the first step of a two-step analysis by comparing the book value of net assets to the fair value of the reporting unit. To calculate any potential impairment, the Company compares the fair value of a reporting unit with its carrying amount, including goodwill. Any excess of the carrying amount of the reporting unit’s goodwill over its fair value is recognized as an impairment loss, and the carrying value of goodwill is written down. In assessing the qualitative factors, the Company considers the impact of certain key factors including macroeconomic conditions, industry and market considerations, management turnover, changes in regulation, litigation matters, changes in enterprise value, and overall financial performance. No impairment was recorded during the three months ended April 30, 2019 or April 30, 2018. The change in goodwill balance during the three months ended April 30, 2019 and April 30, 2018 was due to changes in foreign currency exchange rates.</w:t>
      </w:r>
    </w:p>
    <w:p>
      <w:pPr>
        <w:spacing w:after="0" w:line="19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Acquired intangible assets consisting of identifiable intangible assets, were comprised of developed technology, customer relationships, and non-compete agreements resulting from acquisitions. Acquired intangible assets are recorded at fair value on the date of acquisition and amortized over their estimated economic lives following the pattern in which the economic benefits of the assets will be consumed which is on a straight-line basis. Acquired intangible assets are presented net of accumulated amortization on the condensed consolidated balance sheets. The Company reviews the carrying amounts of intangible assets for impairment whenever events or changes in circumstances indicate that the carrying amount of the assets may not be recoverable. The Company measures the recoverability of intangible assets by comparing the carrying amount of each asset to the future undiscounted cash flows it expects the asset to generate. If the Company considers any of these assets to be impaired, the impairment to be recognized equals the amount by which the carrying value of the asset exceeds its fair value. In addition, the Company periodically evaluates the estimated remaining useful lives of long-lived assets to determine whether events or changes in circumstances warrant a revision to the remaining period of depreciation or amortization.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Company leases its office space under various noncancelable operating lease agreements and recognizes related rent expense on a straight-line basis over the term of the lease. Certain lease agreements contain rent holidays, scheduled rent increases, lease incentives, and renewal options. Rent holidays and scheduled rent increases are included in the determination of rent expense to be recorded over the lease term. Lease incentives are recognized as a reduction of rent expense on a straight-line basis over the term of the lease. Renewals are not assumed in the determination of the lease term unless they are deemed to be reasonably assured at the inception of the lease. The Company begins to recognize rent expense on the date that the Company obtains the legal right to use and control the leased space.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The functional currencies of the Company’s foreign subsidiaries are each country’s local currency. Assets and liabilities of the subsidiaries are translated into U.S. Dollars at exchange rates in effect at the reporting date. Amounts classified in stockholders’ deficit are translated at historical exchange rates. Revenue and expenses are translated at the average exchange rates during the period. The resulting translation adjustments are recorded in accumulated other comprehensive income (loss). Foreign currency transaction gains or losses, whether realized or unrealized, are reflected in the condensed consolidated statements of operations within other expense, net, and have not been material for all periods presented.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accounts for income taxes using the asset and liability method. Under this method, deferred tax assets and liabilities are determined based on differences between the financial statement and tax basis of assets and liabilities and net operating loss and credit carryforwards using enacted tax rates in effect for the year in which the differences are expected to reverse. Valuation allowances are established when necessary to reduce deferred tax assets to the amounts expected to be realized.</w:t>
      </w:r>
    </w:p>
    <w:p>
      <w:pPr>
        <w:spacing w:after="0" w:line="188"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Company accounts for unrecognized tax benefits using a more-likely-than-not threshold for financial statement recognition and measurement of tax positions taken or expected to be taken in a tax return. The Company</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9"/>
        <w:spacing w:after="0" w:line="270" w:lineRule="auto"/>
        <w:rPr>
          <w:sz w:val="20"/>
          <w:szCs w:val="20"/>
          <w:color w:val="auto"/>
        </w:rPr>
      </w:pPr>
      <w:r>
        <w:rPr>
          <w:rFonts w:ascii="Arial" w:cs="Arial" w:eastAsia="Arial" w:hAnsi="Arial"/>
          <w:sz w:val="17"/>
          <w:szCs w:val="17"/>
          <w:color w:val="auto"/>
        </w:rPr>
        <w:t>establishes a liability for tax-related uncertainties based on estimates of whether, and the extent to which, additional taxes will be due. The Company records an income tax liability, if any, for the difference between the benefit recognized and measured and the tax position taken or expected to be taken on the Company’s tax returns. To the extent that the assessment of such tax positions changes, the change in estimate is recorded in the period in which the determination is made. The liability is adjusted considering changing facts and circumstances, such as the outcome of a tax audit. The provision for income taxes includes the impact of liability provisions and changes to the liability that are considered appropriate. As the Company maintained a full valuation allowance against its deferred tax assets, the changes resulted in no additional tax expense during the three months ended April 30, 2019 or April 30, 2018. As of April 30, 2019, the Company does not expect that changes in the liability for unrecognized tax benefits for the next twelve months will have a material impact on its condensed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Taxes</w:t>
      </w:r>
    </w:p>
    <w:p>
      <w:pPr>
        <w:spacing w:after="0" w:line="225" w:lineRule="exact"/>
        <w:rPr>
          <w:sz w:val="20"/>
          <w:szCs w:val="20"/>
          <w:color w:val="auto"/>
        </w:rPr>
      </w:pPr>
    </w:p>
    <w:p>
      <w:pPr>
        <w:ind w:right="279" w:firstLine="648"/>
        <w:spacing w:after="0" w:line="286" w:lineRule="auto"/>
        <w:rPr>
          <w:sz w:val="20"/>
          <w:szCs w:val="20"/>
          <w:color w:val="auto"/>
        </w:rPr>
      </w:pPr>
      <w:r>
        <w:rPr>
          <w:rFonts w:ascii="Arial" w:cs="Arial" w:eastAsia="Arial" w:hAnsi="Arial"/>
          <w:sz w:val="17"/>
          <w:szCs w:val="17"/>
          <w:color w:val="auto"/>
        </w:rPr>
        <w:t>When sales and other taxes are billed, such amounts are recorded as accounts receivable with a corresponding increase to other current liabilities, respectively. The balances are then removed from the condensed consolidated balance sheet as cash is collected from the customer and as remitted to the respective tax authority.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225" w:lineRule="exact"/>
        <w:rPr>
          <w:sz w:val="20"/>
          <w:szCs w:val="20"/>
          <w:color w:val="auto"/>
        </w:rPr>
      </w:pPr>
    </w:p>
    <w:p>
      <w:pPr>
        <w:ind w:right="39" w:firstLine="648"/>
        <w:spacing w:after="0" w:line="257" w:lineRule="auto"/>
        <w:rPr>
          <w:sz w:val="20"/>
          <w:szCs w:val="20"/>
          <w:color w:val="auto"/>
        </w:rPr>
      </w:pPr>
      <w:r>
        <w:rPr>
          <w:rFonts w:ascii="Arial" w:cs="Arial" w:eastAsia="Arial" w:hAnsi="Arial"/>
          <w:sz w:val="18"/>
          <w:szCs w:val="18"/>
          <w:color w:val="auto"/>
        </w:rPr>
        <w:t>The Company’s chief operating decision maker (“CODM”) is its chief executive officer. The CODM reviews financial information presented on a consolidated basis for the purposes of allocating resources and evaluating financial performance. Accordingly, management has determined that the Company operates as one operating and reportable segment. The Company presents financial information about its geographic areas in Note 12 to the condensed consolidated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159" w:firstLine="648"/>
        <w:spacing w:after="0" w:line="255" w:lineRule="auto"/>
        <w:rPr>
          <w:sz w:val="20"/>
          <w:szCs w:val="20"/>
          <w:color w:val="auto"/>
        </w:rPr>
      </w:pPr>
      <w:r>
        <w:rPr>
          <w:rFonts w:ascii="Arial" w:cs="Arial" w:eastAsia="Arial" w:hAnsi="Arial"/>
          <w:sz w:val="18"/>
          <w:szCs w:val="18"/>
          <w:color w:val="auto"/>
        </w:rPr>
        <w:t>Basic and diluted net loss per share attributable to common stockholders is presented in conformity with the two-class method required for participating securities. The Company considers all series of its redeemable convertible preferred stock to be participating securities. Net income is attributed to common stockholders and participating securities based on their participation rights. Net loss attributable to common stockholders is not allocated to the redeemable convertible preferred stock as the holders of the redeemable convertible preferred stock do not have a contractual obligation to share in any losses.</w:t>
      </w:r>
    </w:p>
    <w:p>
      <w:pPr>
        <w:spacing w:after="0" w:line="193" w:lineRule="exact"/>
        <w:rPr>
          <w:sz w:val="20"/>
          <w:szCs w:val="20"/>
          <w:color w:val="auto"/>
        </w:rPr>
      </w:pPr>
    </w:p>
    <w:p>
      <w:pPr>
        <w:ind w:right="139" w:firstLine="648"/>
        <w:spacing w:after="0" w:line="264" w:lineRule="auto"/>
        <w:rPr>
          <w:sz w:val="20"/>
          <w:szCs w:val="20"/>
          <w:color w:val="auto"/>
        </w:rPr>
      </w:pPr>
      <w:r>
        <w:rPr>
          <w:rFonts w:ascii="Arial" w:cs="Arial" w:eastAsia="Arial" w:hAnsi="Arial"/>
          <w:sz w:val="18"/>
          <w:szCs w:val="18"/>
          <w:color w:val="auto"/>
        </w:rPr>
        <w:t>Under the two-class method, basic net loss per share attributable to common stockholders is computed by dividing the net loss attributable to common stockholders by the weighted-average number of shares of common stock outstanding during the period.</w:t>
      </w:r>
    </w:p>
    <w:p>
      <w:pPr>
        <w:spacing w:after="0" w:line="181" w:lineRule="exact"/>
        <w:rPr>
          <w:sz w:val="20"/>
          <w:szCs w:val="20"/>
          <w:color w:val="auto"/>
        </w:rPr>
      </w:pPr>
    </w:p>
    <w:p>
      <w:pPr>
        <w:ind w:right="159" w:firstLine="648"/>
        <w:spacing w:after="0" w:line="302" w:lineRule="auto"/>
        <w:rPr>
          <w:sz w:val="20"/>
          <w:szCs w:val="20"/>
          <w:color w:val="auto"/>
        </w:rPr>
      </w:pPr>
      <w:r>
        <w:rPr>
          <w:rFonts w:ascii="Arial" w:cs="Arial" w:eastAsia="Arial" w:hAnsi="Arial"/>
          <w:sz w:val="16"/>
          <w:szCs w:val="16"/>
          <w:color w:val="auto"/>
        </w:rPr>
        <w:t>Diluted earnings per share attributable to common stockholders adjusts basic earnings per share for the potentially dilutive impact of stock options and redeemable convertible preferred stock. As the Company has reported losses for all periods presented, all potentially dilutive securities including redeemable convertible preferred stock, stock options, and warrants, are antidilutive and accordingly, basic net loss per share equals diluted net loss per share.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39" w:firstLine="648"/>
        <w:spacing w:after="0" w:line="264" w:lineRule="auto"/>
        <w:rPr>
          <w:sz w:val="20"/>
          <w:szCs w:val="20"/>
          <w:color w:val="auto"/>
        </w:rPr>
      </w:pPr>
      <w:r>
        <w:rPr>
          <w:rFonts w:ascii="Arial" w:cs="Arial" w:eastAsia="Arial" w:hAnsi="Arial"/>
          <w:sz w:val="18"/>
          <w:szCs w:val="18"/>
          <w:color w:val="auto"/>
        </w:rPr>
        <w:t>Under the JOBS Act, the Company meets the definition of an emerging growth company. The Company has elected to use the extended transition period for complying with new or revised accounting standards pursuant to Section 107(b) of the JOBS Act.</w:t>
      </w:r>
    </w:p>
    <w:p>
      <w:pPr>
        <w:spacing w:after="0" w:line="181" w:lineRule="exact"/>
        <w:rPr>
          <w:sz w:val="20"/>
          <w:szCs w:val="20"/>
          <w:color w:val="auto"/>
        </w:rPr>
      </w:pPr>
    </w:p>
    <w:p>
      <w:pPr>
        <w:ind w:right="59" w:firstLine="648"/>
        <w:spacing w:after="0" w:line="29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The new guidance supersedes current guidance related to accounting for leases and generally requires an entity to recognize on its balance sheet operating and financing lease liabilities and corresponding right-of-use assets. In July 2018, the FASB issued ASU No. 2018-10, </w:t>
      </w:r>
      <w:r>
        <w:rPr>
          <w:rFonts w:ascii="Arial" w:cs="Arial" w:eastAsia="Arial" w:hAnsi="Arial"/>
          <w:sz w:val="16"/>
          <w:szCs w:val="16"/>
          <w:i w:val="1"/>
          <w:iCs w:val="1"/>
          <w:color w:val="auto"/>
        </w:rPr>
        <w:t>Codification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Improvements to Topic 842</w:t>
      </w:r>
      <w:r>
        <w:rPr>
          <w:rFonts w:ascii="Arial" w:cs="Arial" w:eastAsia="Arial" w:hAnsi="Arial"/>
          <w:sz w:val="16"/>
          <w:szCs w:val="16"/>
          <w:color w:val="auto"/>
        </w:rPr>
        <w:t>. This ASU makes 16 technical corrections to the new lease standard and other accounting topics,</w:t>
      </w:r>
      <w:r>
        <w:rPr>
          <w:rFonts w:ascii="Arial" w:cs="Arial" w:eastAsia="Arial" w:hAnsi="Arial"/>
          <w:sz w:val="16"/>
          <w:szCs w:val="16"/>
          <w:i w:val="1"/>
          <w:iCs w:val="1"/>
          <w:color w:val="auto"/>
        </w:rPr>
        <w:t xml:space="preserve"> </w:t>
      </w:r>
      <w:r>
        <w:rPr>
          <w:rFonts w:ascii="Arial" w:cs="Arial" w:eastAsia="Arial" w:hAnsi="Arial"/>
          <w:sz w:val="16"/>
          <w:szCs w:val="16"/>
          <w:color w:val="auto"/>
        </w:rPr>
        <w:t>alleviating unintended consequences from applying the new standard. It does not make any substantive changes</w:t>
      </w:r>
    </w:p>
    <w:p>
      <w:pPr>
        <w:sectPr>
          <w:pgSz w:w="11900" w:h="16838" w:orient="portrait"/>
          <w:cols w:equalWidth="0" w:num="1">
            <w:col w:w="9039"/>
          </w:cols>
          <w:pgMar w:left="1420" w:top="517" w:right="1440" w:bottom="1440" w:gutter="0" w:footer="0" w:header="0"/>
        </w:sect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to the core provisions or principles of the new standard. In July 2018, the FASB also issued ASU No. 2018-11, </w:t>
      </w:r>
      <w:r>
        <w:rPr>
          <w:rFonts w:ascii="Arial" w:cs="Arial" w:eastAsia="Arial" w:hAnsi="Arial"/>
          <w:sz w:val="17"/>
          <w:szCs w:val="17"/>
          <w:i w:val="1"/>
          <w:iCs w:val="1"/>
          <w:color w:val="auto"/>
        </w:rPr>
        <w:t>Leases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842): Targeted Improvements</w:t>
      </w:r>
      <w:r>
        <w:rPr>
          <w:rFonts w:ascii="Arial" w:cs="Arial" w:eastAsia="Arial" w:hAnsi="Arial"/>
          <w:sz w:val="17"/>
          <w:szCs w:val="17"/>
          <w:color w:val="auto"/>
        </w:rPr>
        <w:t>. This ASU provides (1) an optional transition method that entities can use when adopting the</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 and (2) a practical expedient that permits lessors to not separate non-lease components from the associated lease component if certain conditions are met. As an emerging growth company as defined in the JOBS Act, the Company has elected to delay adoption of this ASU until February 1, 2020. ASU No. 2016-02 can be adopted using either full or modified retrospective approach as of the earliest period presented or as of the adoption date with the cumulative effect adjustment to the opening balance recognized in retained earnings in the period of adoption. The Company is currently evaluating the potential impact of these ASUs on its condensed consolidated financial statements.</w:t>
      </w:r>
    </w:p>
    <w:p>
      <w:pPr>
        <w:spacing w:after="0" w:line="17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Intangibles—Goodwill and Other (Topic 350): Simplifying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Test for Goodwill Impairment</w:t>
      </w:r>
      <w:r>
        <w:rPr>
          <w:rFonts w:ascii="Arial" w:cs="Arial" w:eastAsia="Arial" w:hAnsi="Arial"/>
          <w:sz w:val="16"/>
          <w:szCs w:val="16"/>
          <w:color w:val="auto"/>
        </w:rPr>
        <w:t>. This ASU simplifies the measurement of goodwill by eliminating step two of the two-step</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test. Step two measures a goodwill impairment loss by comparing the implied fair value of a reporting unit’s goodwill with the carrying amount of that goodwill. This ASU requires an entity to compare the fair value of a reporting unit with its carrying amount and recognize an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if applicable. As an emerging growth company defined in the JOBS Act, the Company has elected to delay adoption of this ASU until February 1, 2022. The Company is currently evaluating the potential impact of this ASU on its condensed consolidated financial statements.</w:t>
      </w:r>
    </w:p>
    <w:p>
      <w:pPr>
        <w:spacing w:after="0" w:line="16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 Disclosure Framework</w:t>
      </w:r>
      <w:r>
        <w:rPr>
          <w:rFonts w:ascii="Arial" w:cs="Arial" w:eastAsia="Arial" w:hAnsi="Arial"/>
          <w:sz w:val="17"/>
          <w:szCs w:val="17"/>
          <w:color w:val="auto"/>
        </w:rPr>
        <w:t xml:space="preserve"> </w:t>
      </w:r>
      <w:r>
        <w:rPr>
          <w:rFonts w:ascii="Arial" w:cs="Arial" w:eastAsia="Arial" w:hAnsi="Arial"/>
          <w:sz w:val="17"/>
          <w:szCs w:val="17"/>
          <w:i w:val="1"/>
          <w:iCs w:val="1"/>
          <w:color w:val="auto"/>
        </w:rPr>
        <w:t>—Changes to the Disclosure Requirements for Fair Value Measurement</w:t>
      </w:r>
      <w:r>
        <w:rPr>
          <w:rFonts w:ascii="Arial" w:cs="Arial" w:eastAsia="Arial" w:hAnsi="Arial"/>
          <w:sz w:val="17"/>
          <w:szCs w:val="17"/>
          <w:color w:val="auto"/>
        </w:rPr>
        <w:t>. This ASU modifies the disclosure requirements 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fair value measurements in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As an emerging growth company as defined in the JOBS Act, the Company has elected to delay adoption of this ASU until February 1, 2020. The Company is currently evaluating the potential impact of this ASU on its condensed consolidated financial statements.</w:t>
      </w:r>
    </w:p>
    <w:p>
      <w:pPr>
        <w:spacing w:after="0" w:line="182"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w:t>
      </w:r>
      <w:r>
        <w:rPr>
          <w:rFonts w:ascii="Arial" w:cs="Arial" w:eastAsia="Arial" w:hAnsi="Arial"/>
          <w:sz w:val="17"/>
          <w:szCs w:val="17"/>
          <w:color w:val="auto"/>
        </w:rPr>
        <w:t xml:space="preserve"> </w:t>
      </w:r>
      <w:r>
        <w:rPr>
          <w:rFonts w:ascii="Arial" w:cs="Arial" w:eastAsia="Arial" w:hAnsi="Arial"/>
          <w:sz w:val="17"/>
          <w:szCs w:val="17"/>
          <w:i w:val="1"/>
          <w:iCs w:val="1"/>
          <w:color w:val="auto"/>
        </w:rPr>
        <w:t>(Subtopic 350-40): Customer’s Accounting for Implementation Costs Incurred in a Cloud Computing Arrangement That Is a Service Contract (</w:t>
      </w:r>
      <w:r>
        <w:rPr>
          <w:rFonts w:ascii="Arial" w:cs="Arial" w:eastAsia="Arial" w:hAnsi="Arial"/>
          <w:sz w:val="17"/>
          <w:szCs w:val="17"/>
          <w:color w:val="auto"/>
        </w:rPr>
        <w:t>a consensus of the FASB Emerging Issues Task Force). This ASU aligns the requirements for capitalizing</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incurred in a hosting arrangement that is a service contract with the requirements for capitalizing implementation costs incurred to develop or obtain internal use software. As an emerging growth company defined in the JOBS Act, the Company has elected to delay adoption of this ASU until February 1, 2021. Entities can choose to adopt this ASU prospectively or retrospectively. The Company is currently evaluating the potential impact of this ASU on its condensed consolidated financial statements.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which provides guidance for revenue recognition. Under the new guidance, revenue is recognized when a customer obtains control of promised goods or services and is recognized in an amount that reflects the consideration that the entity expects to receive in exchange for those goods or services. In addition, the guidance requires disclosure of the nature, amount, timing, and uncertainty of revenue and cash flows arising from contracts with customers. Subsequently, the FASB has issued the following guidance to amend ASU 2014-09: ASU No. 2015-14,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t>
      </w:r>
      <w:r>
        <w:rPr>
          <w:rFonts w:ascii="Arial" w:cs="Arial" w:eastAsia="Arial" w:hAnsi="Arial"/>
          <w:sz w:val="17"/>
          <w:szCs w:val="17"/>
          <w:i w:val="1"/>
          <w:iCs w:val="1"/>
          <w:color w:val="auto"/>
        </w:rPr>
        <w:t>Deferral of the Effective Date</w:t>
      </w:r>
      <w:r>
        <w:rPr>
          <w:rFonts w:ascii="Arial" w:cs="Arial" w:eastAsia="Arial" w:hAnsi="Arial"/>
          <w:sz w:val="17"/>
          <w:szCs w:val="17"/>
          <w:color w:val="auto"/>
        </w:rPr>
        <w:t>; ASU No. 2016-08,</w:t>
      </w:r>
      <w:r>
        <w:rPr>
          <w:rFonts w:ascii="Arial" w:cs="Arial" w:eastAsia="Arial" w:hAnsi="Arial"/>
          <w:sz w:val="17"/>
          <w:szCs w:val="17"/>
          <w:i w:val="1"/>
          <w:iCs w:val="1"/>
          <w:color w:val="auto"/>
        </w:rPr>
        <w:t xml:space="preserve"> Revenue from Contracts with Customers (Topic 606): Principal versus Agent Considerations (Reporting Revenue Gross versus Net)</w:t>
      </w:r>
      <w:r>
        <w:rPr>
          <w:rFonts w:ascii="Arial" w:cs="Arial" w:eastAsia="Arial" w:hAnsi="Arial"/>
          <w:sz w:val="17"/>
          <w:szCs w:val="17"/>
          <w:color w:val="auto"/>
        </w:rPr>
        <w:t>; ASU No. 2016-10,</w:t>
      </w:r>
      <w:r>
        <w:rPr>
          <w:rFonts w:ascii="Arial" w:cs="Arial" w:eastAsia="Arial" w:hAnsi="Arial"/>
          <w:sz w:val="17"/>
          <w:szCs w:val="17"/>
          <w:i w:val="1"/>
          <w:iCs w:val="1"/>
          <w:color w:val="auto"/>
        </w:rPr>
        <w:t xml:space="preserve"> Revenue from Contracts with Customers (Topic 606): Identifying Performance Obligations and Licensing</w:t>
      </w:r>
      <w:r>
        <w:rPr>
          <w:rFonts w:ascii="Arial" w:cs="Arial" w:eastAsia="Arial" w:hAnsi="Arial"/>
          <w:sz w:val="17"/>
          <w:szCs w:val="17"/>
          <w:color w:val="auto"/>
        </w:rPr>
        <w:t>; ASU No. 2016-12,</w:t>
      </w:r>
      <w:r>
        <w:rPr>
          <w:rFonts w:ascii="Arial" w:cs="Arial" w:eastAsia="Arial" w:hAnsi="Arial"/>
          <w:sz w:val="17"/>
          <w:szCs w:val="17"/>
          <w:i w:val="1"/>
          <w:iCs w:val="1"/>
          <w:color w:val="auto"/>
        </w:rPr>
        <w:t xml:space="preserve"> Revenue from Contracts with Customers (Topic 606): Narrow-Scope Improvements and Practical Expedients</w:t>
      </w:r>
      <w:r>
        <w:rPr>
          <w:rFonts w:ascii="Arial" w:cs="Arial" w:eastAsia="Arial" w:hAnsi="Arial"/>
          <w:sz w:val="17"/>
          <w:szCs w:val="17"/>
          <w:color w:val="auto"/>
        </w:rPr>
        <w:t>; and ASU No. 2016-20,</w:t>
      </w:r>
      <w:r>
        <w:rPr>
          <w:rFonts w:ascii="Arial" w:cs="Arial" w:eastAsia="Arial" w:hAnsi="Arial"/>
          <w:sz w:val="17"/>
          <w:szCs w:val="17"/>
          <w:i w:val="1"/>
          <w:iCs w:val="1"/>
          <w:color w:val="auto"/>
        </w:rPr>
        <w:t xml:space="preserve"> Technical Corrections and Improvements to Topic 606</w:t>
      </w:r>
      <w:r>
        <w:rPr>
          <w:rFonts w:ascii="Arial" w:cs="Arial" w:eastAsia="Arial" w:hAnsi="Arial"/>
          <w:sz w:val="17"/>
          <w:szCs w:val="17"/>
          <w:color w:val="auto"/>
        </w:rPr>
        <w:t>, which clarifies narrow aspects of Topic 606 or corrects unintended application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the guidance. The Company must adopt ASU No. 2015-14, ASU No. 2016-08, ASU No. 2016-10, ASU No. 2016-12, and ASU No. 2016-20 with ASU No. 2014-09, which are referred to collectively</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the “new revenue guidance.” On February 1, 2019, the company adopted ASU No. 2014-09 using the modified retrospective transition method. Under this method, results for reporting periods beginning on February 1, 2019 are presented under Topic 606, while prior period amounts are not adjusted and continue to be reported in accordance with our historical accounting under Topic 605. The Company recorded a cumulative effect adjustment to opening accumulated deficit of $23.4 million, net of tax, as of the date of adoption. The change resulted from a $23.7 million reduction in commissions expense that we capitalized under Topic 606, but would have been recognized during the period as commissions expense under our historical accounting practices under Topic 605 and a $0.3 million reduction in revenue that would have been recognized during the period under Topic 605.</w:t>
      </w:r>
    </w:p>
    <w:p>
      <w:pPr>
        <w:spacing w:after="0" w:line="17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Business Combinations (Topic 805): Clarifying the Definition</w:t>
      </w:r>
      <w:r>
        <w:rPr>
          <w:rFonts w:ascii="Arial" w:cs="Arial" w:eastAsia="Arial" w:hAnsi="Arial"/>
          <w:sz w:val="18"/>
          <w:szCs w:val="18"/>
          <w:color w:val="auto"/>
        </w:rPr>
        <w:t xml:space="preserve"> </w:t>
      </w:r>
      <w:r>
        <w:rPr>
          <w:rFonts w:ascii="Arial" w:cs="Arial" w:eastAsia="Arial" w:hAnsi="Arial"/>
          <w:sz w:val="18"/>
          <w:szCs w:val="18"/>
          <w:i w:val="1"/>
          <w:iCs w:val="1"/>
          <w:color w:val="auto"/>
        </w:rPr>
        <w:t>of a Business</w:t>
      </w:r>
      <w:r>
        <w:rPr>
          <w:rFonts w:ascii="Arial" w:cs="Arial" w:eastAsia="Arial" w:hAnsi="Arial"/>
          <w:sz w:val="18"/>
          <w:szCs w:val="18"/>
          <w:color w:val="auto"/>
        </w:rPr>
        <w:t>, which changes the definition of a business to assist entities with evaluating when a set of transferred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is a business. If substantially all of the fair value of the gross assets acquired is concentrated in a single identifiable asset or a group of similar identifiable assets, the set of transferred assets and activities is not a business. On February 1, 2019, the Company adopted ASU No. 2018-07, which did not have a material effect on the Company’s condensed consolidated financial statements.</w:t>
      </w:r>
    </w:p>
    <w:p>
      <w:pPr>
        <w:spacing w:after="0" w:line="19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Compensation—Stock Compensation (Topic 718): Improvements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 Nonemployee Share-Based Payment Accounting. </w:t>
      </w:r>
      <w:r>
        <w:rPr>
          <w:rFonts w:ascii="Arial" w:cs="Arial" w:eastAsia="Arial" w:hAnsi="Arial"/>
          <w:sz w:val="17"/>
          <w:szCs w:val="17"/>
          <w:color w:val="auto"/>
        </w:rPr>
        <w:t>This ASU simplifies the accounting for share-based payments to</w:t>
      </w:r>
      <w:r>
        <w:rPr>
          <w:rFonts w:ascii="Arial" w:cs="Arial" w:eastAsia="Arial" w:hAnsi="Arial"/>
          <w:sz w:val="17"/>
          <w:szCs w:val="17"/>
          <w:i w:val="1"/>
          <w:iCs w:val="1"/>
          <w:color w:val="auto"/>
        </w:rPr>
        <w:t xml:space="preserve"> </w:t>
      </w:r>
      <w:r>
        <w:rPr>
          <w:rFonts w:ascii="Arial" w:cs="Arial" w:eastAsia="Arial" w:hAnsi="Arial"/>
          <w:sz w:val="17"/>
          <w:szCs w:val="17"/>
          <w:color w:val="auto"/>
        </w:rPr>
        <w:t>nonemployees by aligning it with the accounting for share-based payments to employees, with certain exceptions. This ASU is effective for public business entities for fiscal years beginning after December 15, 2018, and interim periods within those fiscal years. For all other entities, this ASU is effective for fiscal years beginning after December 15, 2019, and interim periods within fiscal years beginning after December 15, 2020. Early adoption is permitted, but no earlier than the adoption date of Topic 606. On February 1, 2019, the Company adopted ASU No. 2018-07, which did not have a material effect on the Company’s condensed consolidated financial statements.</w:t>
      </w:r>
    </w:p>
    <w:p>
      <w:pPr>
        <w:spacing w:after="0" w:line="179"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 xml:space="preserve">In August 2018, the SEC adopted the final rule under SEC Release No. 33-10532, </w:t>
      </w:r>
      <w:r>
        <w:rPr>
          <w:rFonts w:ascii="Arial" w:cs="Arial" w:eastAsia="Arial" w:hAnsi="Arial"/>
          <w:sz w:val="16"/>
          <w:szCs w:val="16"/>
          <w:i w:val="1"/>
          <w:iCs w:val="1"/>
          <w:color w:val="auto"/>
        </w:rPr>
        <w:t>Disclosure Update and</w:t>
      </w:r>
      <w:r>
        <w:rPr>
          <w:rFonts w:ascii="Arial" w:cs="Arial" w:eastAsia="Arial" w:hAnsi="Arial"/>
          <w:sz w:val="16"/>
          <w:szCs w:val="16"/>
          <w:color w:val="auto"/>
        </w:rPr>
        <w:t xml:space="preserve"> </w:t>
      </w:r>
      <w:r>
        <w:rPr>
          <w:rFonts w:ascii="Arial" w:cs="Arial" w:eastAsia="Arial" w:hAnsi="Arial"/>
          <w:sz w:val="16"/>
          <w:szCs w:val="16"/>
          <w:i w:val="1"/>
          <w:iCs w:val="1"/>
          <w:color w:val="auto"/>
        </w:rPr>
        <w:t>Simplification</w:t>
      </w:r>
      <w:r>
        <w:rPr>
          <w:rFonts w:ascii="Arial" w:cs="Arial" w:eastAsia="Arial" w:hAnsi="Arial"/>
          <w:sz w:val="16"/>
          <w:szCs w:val="16"/>
          <w:color w:val="auto"/>
        </w:rPr>
        <w:t>. This release amends certain disclosure requirements that have become redundant, duplicative, overlapping,</w:t>
      </w:r>
      <w:r>
        <w:rPr>
          <w:rFonts w:ascii="Arial" w:cs="Arial" w:eastAsia="Arial" w:hAnsi="Arial"/>
          <w:sz w:val="16"/>
          <w:szCs w:val="16"/>
          <w:i w:val="1"/>
          <w:iCs w:val="1"/>
          <w:color w:val="auto"/>
        </w:rPr>
        <w:t xml:space="preserve"> </w:t>
      </w:r>
      <w:r>
        <w:rPr>
          <w:rFonts w:ascii="Arial" w:cs="Arial" w:eastAsia="Arial" w:hAnsi="Arial"/>
          <w:sz w:val="16"/>
          <w:szCs w:val="16"/>
          <w:color w:val="auto"/>
        </w:rPr>
        <w:t>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The final rule was effective November 5, 2018. The Company adopted this amendment as of February 1, 2019, including presenting the activity of the stockholder’s equity accounts in the accompanying Condensed Consolidated Statements of Redeemable Convertible Preferred Stock and Stockholders’ Deficit for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Fair Value Measurements and Marketable Securities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follows ASC 820</w:t>
      </w:r>
      <w:r>
        <w:rPr>
          <w:rFonts w:ascii="Arial" w:cs="Arial" w:eastAsia="Arial" w:hAnsi="Arial"/>
          <w:sz w:val="17"/>
          <w:szCs w:val="17"/>
          <w:i w:val="1"/>
          <w:iCs w:val="1"/>
          <w:color w:val="auto"/>
        </w:rPr>
        <w:t>, Fair Value Measurements</w:t>
      </w:r>
      <w:r>
        <w:rPr>
          <w:rFonts w:ascii="Arial" w:cs="Arial" w:eastAsia="Arial" w:hAnsi="Arial"/>
          <w:sz w:val="17"/>
          <w:szCs w:val="17"/>
          <w:color w:val="auto"/>
        </w:rPr>
        <w:t>, with respect to marketable securities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in the circumstances.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hierarchy is broken down into three levels as follows:</w:t>
      </w:r>
    </w:p>
    <w:p>
      <w:pPr>
        <w:spacing w:after="0" w:line="225" w:lineRule="exact"/>
        <w:rPr>
          <w:sz w:val="20"/>
          <w:szCs w:val="20"/>
          <w:color w:val="auto"/>
        </w:rPr>
      </w:pPr>
    </w:p>
    <w:p>
      <w:pPr>
        <w:ind w:left="1500" w:right="60" w:hanging="836"/>
        <w:spacing w:after="0" w:line="258" w:lineRule="auto"/>
        <w:tabs>
          <w:tab w:leader="none" w:pos="14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Assets and liabilities whose values are based on unadjusted quoted market prices for identical assets and liabilities in active markets</w:t>
      </w:r>
    </w:p>
    <w:p>
      <w:pPr>
        <w:spacing w:after="0" w:line="1" w:lineRule="exact"/>
        <w:rPr>
          <w:sz w:val="20"/>
          <w:szCs w:val="20"/>
          <w:color w:val="auto"/>
        </w:rPr>
      </w:pPr>
    </w:p>
    <w:p>
      <w:pPr>
        <w:ind w:left="1500" w:right="300" w:hanging="836"/>
        <w:spacing w:after="0" w:line="261" w:lineRule="auto"/>
        <w:tabs>
          <w:tab w:leader="none" w:pos="14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Assets and liabilities whose values are based on quoted prices in markets that are not active or inputs that are observable for substantially the full term of the asset or liability</w:t>
      </w:r>
    </w:p>
    <w:p>
      <w:pPr>
        <w:sectPr>
          <w:pgSz w:w="11900" w:h="16838" w:orient="portrait"/>
          <w:cols w:equalWidth="0" w:num="1">
            <w:col w:w="9060"/>
          </w:cols>
          <w:pgMar w:left="1420" w:top="517" w:right="141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500" w:right="260" w:hanging="836"/>
        <w:spacing w:after="0" w:line="277" w:lineRule="auto"/>
        <w:tabs>
          <w:tab w:leader="none" w:pos="14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Assets and liabilities whose values are based on prices or valuation techniques that require inputs that are both unobservable and significant to the overall fair value measurement</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Categorization within the valuation hierarchy is based upon the lowest level of input that is significant to the fair value measurement.</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Company’s fair value hierarchy for its financial assets and liabilities that are measured at fair value on a recurring basis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April 30, 2019</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January 31, 2019</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2"/>
              </w:rPr>
              <w:t>Level 2</w:t>
            </w: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2"/>
              </w:rPr>
              <w:t>Level 2</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4"/>
          </w:tcPr>
          <w:p>
            <w:pPr>
              <w:jc w:val="right"/>
              <w:ind w:right="148"/>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4"/>
          </w:tcPr>
          <w:p>
            <w:pPr>
              <w:jc w:val="right"/>
              <w:ind w:right="128"/>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Cash equivalents </w:t>
            </w:r>
            <w:r>
              <w:rPr>
                <w:rFonts w:ascii="Arial" w:cs="Arial" w:eastAsia="Arial" w:hAnsi="Arial"/>
                <w:sz w:val="10"/>
                <w:szCs w:val="10"/>
                <w:color w:val="auto"/>
              </w:rPr>
              <w:t>(1)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Money market funds</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48,499</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48,499</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42,132</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Corporate debt securities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33,861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33,861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27,941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27,941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US treasuries</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5,493</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5,493</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Borders>
              <w:bottom w:val="single" w:sz="8" w:color="CCEEFF"/>
            </w:tcBorders>
            <w:gridSpan w:val="2"/>
          </w:tcPr>
          <w:p>
            <w:pPr>
              <w:ind w:left="200"/>
              <w:spacing w:after="0" w:line="142" w:lineRule="exact"/>
              <w:rPr>
                <w:sz w:val="20"/>
                <w:szCs w:val="20"/>
                <w:color w:val="auto"/>
              </w:rPr>
            </w:pPr>
            <w:r>
              <w:rPr>
                <w:rFonts w:ascii="Arial" w:cs="Arial" w:eastAsia="Arial" w:hAnsi="Arial"/>
                <w:sz w:val="14"/>
                <w:szCs w:val="14"/>
                <w:color w:val="auto"/>
              </w:rPr>
              <w:t>Total cash equivalents</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48,499</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39,354</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87,853</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42,132</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27,941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70,073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Marketable securities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Corporate debt securities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75,124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75,124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91,796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91,796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US treasuries</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6,942</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6,942</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11,451</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11,451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Borders>
              <w:bottom w:val="single" w:sz="8" w:color="CCEEFF"/>
            </w:tcBorders>
            <w:gridSpan w:val="2"/>
          </w:tcPr>
          <w:p>
            <w:pPr>
              <w:ind w:left="200"/>
              <w:spacing w:after="0" w:line="142" w:lineRule="exact"/>
              <w:rPr>
                <w:sz w:val="20"/>
                <w:szCs w:val="20"/>
                <w:color w:val="auto"/>
              </w:rPr>
            </w:pPr>
            <w:r>
              <w:rPr>
                <w:rFonts w:ascii="Arial" w:cs="Arial" w:eastAsia="Arial" w:hAnsi="Arial"/>
                <w:sz w:val="14"/>
                <w:szCs w:val="14"/>
                <w:color w:val="auto"/>
              </w:rPr>
              <w:t>Total marketable securities</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82,066</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82,066</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11,451</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91,796</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103,247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Borders>
              <w:bottom w:val="single" w:sz="8" w:color="CCEEFF"/>
            </w:tcBorders>
            <w:gridSpan w:val="2"/>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48,499</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121,420</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169,919</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53,583</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119,737</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173,320</w:t>
            </w:r>
          </w:p>
        </w:tc>
        <w:tc>
          <w:tcPr>
            <w:tcW w:w="0" w:type="dxa"/>
            <w:vAlign w:val="bottom"/>
          </w:tcPr>
          <w:p>
            <w:pPr>
              <w:spacing w:after="0"/>
              <w:rPr>
                <w:sz w:val="1"/>
                <w:szCs w:val="1"/>
                <w:color w:val="auto"/>
              </w:rPr>
            </w:pPr>
          </w:p>
        </w:tc>
      </w:tr>
      <w:tr>
        <w:trPr>
          <w:trHeight w:val="20"/>
        </w:trPr>
        <w:tc>
          <w:tcPr>
            <w:tcW w:w="2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Liability</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Contingent consideration related to business</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combinations </w:t>
            </w:r>
            <w:r>
              <w:rPr>
                <w:rFonts w:ascii="Arial" w:cs="Arial" w:eastAsia="Arial" w:hAnsi="Arial"/>
                <w:sz w:val="10"/>
                <w:szCs w:val="10"/>
                <w:color w:val="auto"/>
              </w:rPr>
              <w:t>(2)</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20" w:type="dxa"/>
            <w:vAlign w:val="bottom"/>
            <w:gridSpan w:val="2"/>
          </w:tcPr>
          <w:p>
            <w:pPr>
              <w:spacing w:after="0" w:line="130" w:lineRule="exact"/>
              <w:rPr>
                <w:sz w:val="20"/>
                <w:szCs w:val="20"/>
                <w:color w:val="auto"/>
              </w:rPr>
            </w:pPr>
            <w:r>
              <w:rPr>
                <w:rFonts w:ascii="Arial" w:cs="Arial" w:eastAsia="Arial" w:hAnsi="Arial"/>
                <w:sz w:val="14"/>
                <w:szCs w:val="14"/>
                <w:color w:val="auto"/>
                <w:w w:val="97"/>
              </w:rPr>
              <w:t>Redeemable convertible preferred stock warrant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gridSpan w:val="3"/>
          </w:tcPr>
          <w:p>
            <w:pPr>
              <w:spacing w:after="0"/>
              <w:rPr>
                <w:sz w:val="20"/>
                <w:szCs w:val="20"/>
                <w:color w:val="auto"/>
              </w:rPr>
            </w:pPr>
            <w:r>
              <w:rPr>
                <w:rFonts w:ascii="Arial" w:cs="Arial" w:eastAsia="Arial" w:hAnsi="Arial"/>
                <w:sz w:val="14"/>
                <w:szCs w:val="14"/>
                <w:color w:val="auto"/>
              </w:rPr>
              <w:t>liability</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5,704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5,704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4,537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4,537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Borders>
              <w:top w:val="single" w:sz="8" w:color="CCEEFF"/>
              <w:bottom w:val="single" w:sz="8" w:color="CCEEFF"/>
            </w:tcBorders>
            <w:gridSpan w:val="2"/>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5,704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5,704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5,011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hanging="651"/>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Included in “Cash and cash equivalents” on the condensed consolidated balance sheets.</w:t>
      </w:r>
    </w:p>
    <w:p>
      <w:pPr>
        <w:spacing w:after="0" w:line="225" w:lineRule="exact"/>
        <w:rPr>
          <w:rFonts w:ascii="Arial" w:cs="Arial" w:eastAsia="Arial" w:hAnsi="Arial"/>
          <w:sz w:val="18"/>
          <w:szCs w:val="18"/>
          <w:color w:val="auto"/>
        </w:rPr>
      </w:pPr>
    </w:p>
    <w:p>
      <w:pPr>
        <w:ind w:left="660" w:hanging="651"/>
        <w:spacing w:after="0" w:line="25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contingent consideration consists of development milestone payments. The fair value of the contingent consideration was estimated by developing the risk-adjusted discounted value as well as discounted probability-weighted expected payments. That measure is based on Level 3 inputs which are significant inputs that are not observable in the market. Key assumptions at the acquisition date included (a) a discount rate range of 3%-3.02% and (b) three probability-adjusted milestone payments, each $0.2 million. As of January 31, 2019, the first milestone payment of $0.2 million had been made. As of April 30, 2019, the remaining milestones were deemed not probable of being paid and the remaining contingent consideration of $0.5 million was written off to Other income (expense), net.</w:t>
      </w:r>
    </w:p>
    <w:p>
      <w:pPr>
        <w:spacing w:after="0" w:line="19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were no transfers between the levels of the fair value hierarchy during the three months ended April 30, 2019 or April 30, 2018.</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remaining contractual maturities of marketable securities as of April 30, 2019 and January 31, 2019 were less than one year.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79" w:firstLine="648"/>
        <w:spacing w:after="0" w:line="277" w:lineRule="auto"/>
        <w:rPr>
          <w:sz w:val="20"/>
          <w:szCs w:val="20"/>
          <w:color w:val="auto"/>
        </w:rPr>
      </w:pPr>
      <w:r>
        <w:rPr>
          <w:rFonts w:ascii="Arial" w:cs="Arial" w:eastAsia="Arial" w:hAnsi="Arial"/>
          <w:sz w:val="18"/>
          <w:szCs w:val="18"/>
          <w:color w:val="auto"/>
        </w:rPr>
        <w:t>The following summarizes the changes in the redeemable convertible preferred stock warrant liability, which is classified as a Level 3 instrument:</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Three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4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3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tcPr>
          <w:p>
            <w:pPr>
              <w:spacing w:after="0" w:line="201" w:lineRule="exact"/>
              <w:rPr>
                <w:sz w:val="20"/>
                <w:szCs w:val="20"/>
                <w:color w:val="auto"/>
              </w:rPr>
            </w:pPr>
            <w:r>
              <w:rPr>
                <w:rFonts w:ascii="Arial" w:cs="Arial" w:eastAsia="Arial" w:hAnsi="Arial"/>
                <w:sz w:val="18"/>
                <w:szCs w:val="18"/>
                <w:color w:val="auto"/>
                <w:w w:val="96"/>
              </w:rPr>
              <w:t>Adjustment resulting from change in fair value recognized in the</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consolidated statements of operations</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9" w:firstLine="648"/>
        <w:spacing w:after="0" w:line="273" w:lineRule="auto"/>
        <w:rPr>
          <w:sz w:val="20"/>
          <w:szCs w:val="20"/>
          <w:color w:val="auto"/>
        </w:rPr>
      </w:pPr>
      <w:r>
        <w:rPr>
          <w:rFonts w:ascii="Arial" w:cs="Arial" w:eastAsia="Arial" w:hAnsi="Arial"/>
          <w:sz w:val="17"/>
          <w:szCs w:val="17"/>
          <w:color w:val="auto"/>
        </w:rPr>
        <w:t>The fair value of the redeemable convertible preferred stock warrant liability was estimated using the Black-Scholes option-pricing model and was based on significant inputs not observable in the market, and therefore was classified as a Level 3 instrument. The inputs include the Company’s preferred stock price, expected stock price volatility, risk-free interest rate, and contractual term. A loss of $1.2 million and $0 was recorded as a component of Other income (expense), net, because of the remeasurement of the redeemable convertible preferred stock warrant liability during the three months ended April 30, 2019 and April 30, 2018,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Balance Sheet Components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1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April 30,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January 31,</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6"/>
          </w:tcPr>
          <w:p>
            <w:pPr>
              <w:jc w:val="right"/>
              <w:ind w:right="33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78"/>
        </w:trPr>
        <w:tc>
          <w:tcPr>
            <w:tcW w:w="260" w:type="dxa"/>
            <w:vAlign w:val="bottom"/>
            <w:vMerge w:val="restart"/>
          </w:tcPr>
          <w:p>
            <w:pPr>
              <w:spacing w:after="0"/>
              <w:rPr>
                <w:sz w:val="15"/>
                <w:szCs w:val="15"/>
                <w:color w:val="auto"/>
              </w:rPr>
            </w:pPr>
          </w:p>
        </w:tc>
        <w:tc>
          <w:tcPr>
            <w:tcW w:w="4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16,861</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Prepaid hosting services</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22,644</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18,410</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8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80" w:type="dxa"/>
            <w:vAlign w:val="bottom"/>
            <w:gridSpan w:val="2"/>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April 30,</w:t>
            </w:r>
          </w:p>
        </w:tc>
        <w:tc>
          <w:tcPr>
            <w:tcW w:w="12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January 31,</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6"/>
          </w:tcPr>
          <w:p>
            <w:pPr>
              <w:jc w:val="right"/>
              <w:ind w:right="35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78"/>
        </w:trPr>
        <w:tc>
          <w:tcPr>
            <w:tcW w:w="260" w:type="dxa"/>
            <w:vAlign w:val="bottom"/>
            <w:vMerge w:val="restart"/>
          </w:tcPr>
          <w:p>
            <w:pPr>
              <w:spacing w:after="0"/>
              <w:rPr>
                <w:sz w:val="15"/>
                <w:szCs w:val="15"/>
                <w:color w:val="auto"/>
              </w:rPr>
            </w:pPr>
          </w:p>
        </w:tc>
        <w:tc>
          <w:tcPr>
            <w:tcW w:w="4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Data center and other computer equipment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49,526</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Capitalized internal-use software</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24,247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22,209</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10,011</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Purchased software</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process</w:t>
            </w:r>
          </w:p>
        </w:tc>
        <w:tc>
          <w:tcPr>
            <w:tcW w:w="8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29,147</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19,455</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117,893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100,423</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8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(31,544)</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(26,688)</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Property and equipment, net</w:t>
            </w:r>
          </w:p>
        </w:tc>
        <w:tc>
          <w:tcPr>
            <w:tcW w:w="8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86,349</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73,735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9" w:firstLine="648"/>
        <w:spacing w:after="0" w:line="342" w:lineRule="auto"/>
        <w:rPr>
          <w:sz w:val="20"/>
          <w:szCs w:val="20"/>
          <w:color w:val="auto"/>
        </w:rPr>
      </w:pPr>
      <w:r>
        <w:rPr>
          <w:rFonts w:ascii="Arial" w:cs="Arial" w:eastAsia="Arial" w:hAnsi="Arial"/>
          <w:sz w:val="16"/>
          <w:szCs w:val="16"/>
          <w:color w:val="auto"/>
        </w:rPr>
        <w:t>Construction in process mainly includes data center equipment purchased that has not yet been placed in service. As of April 30, 2019, $28.5 million of data center equipment was purchased but not yet been placed into service.</w:t>
      </w:r>
    </w:p>
    <w:p>
      <w:pPr>
        <w:sectPr>
          <w:pgSz w:w="11900" w:h="16838" w:orient="portrait"/>
          <w:cols w:equalWidth="0" w:num="1">
            <w:col w:w="9039"/>
          </w:cols>
          <w:pgMar w:left="1420" w:top="517" w:right="1440" w:bottom="1440" w:gutter="0" w:footer="0" w:header="0"/>
        </w:sect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Depreciation and amortization expense of property and equipment was $4.9 million and $3.0 million during the three months ended April 30, 2019 and April 30, 2018,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intangible assets, net consisted of the following:</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April 30,</w:t>
            </w:r>
          </w:p>
        </w:tc>
        <w:tc>
          <w:tcPr>
            <w:tcW w:w="20" w:type="dxa"/>
            <w:vAlign w:val="bottom"/>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January 31,</w:t>
            </w: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 Useful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5"/>
          </w:tcPr>
          <w:p>
            <w:pPr>
              <w:jc w:val="right"/>
              <w:ind w:right="293"/>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(in months)</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13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632</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3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(1,111)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Pr>
          <w:p>
            <w:pPr>
              <w:ind w:left="80"/>
              <w:spacing w:after="0"/>
              <w:rPr>
                <w:sz w:val="20"/>
                <w:szCs w:val="20"/>
                <w:color w:val="auto"/>
              </w:rPr>
            </w:pPr>
            <w:r>
              <w:rPr>
                <w:rFonts w:ascii="Arial" w:cs="Arial" w:eastAsia="Arial" w:hAnsi="Arial"/>
                <w:sz w:val="18"/>
                <w:szCs w:val="18"/>
                <w:color w:val="auto"/>
              </w:rPr>
              <w:t>Intangible assets, net</w:t>
            </w:r>
          </w:p>
        </w:tc>
        <w:tc>
          <w:tcPr>
            <w:tcW w:w="9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Amortization expense of intangible assets was $0.1 million and $0.2 million during the three months ended April 30, 2019 and April 30, 2018, respectively.</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estimated aggregate future amortization expense of intangible assets as of April 30, 2019 is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6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Fiscal 2020 (remaining nine months)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Fiscal 2021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Fiscal 2022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Fiscal 2023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Fiscal 2024</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ind w:left="80"/>
              <w:spacing w:after="0"/>
              <w:rPr>
                <w:sz w:val="20"/>
                <w:szCs w:val="20"/>
                <w:color w:val="auto"/>
              </w:rPr>
            </w:pPr>
            <w:r>
              <w:rPr>
                <w:rFonts w:ascii="Arial" w:cs="Arial" w:eastAsia="Arial" w:hAnsi="Arial"/>
                <w:sz w:val="18"/>
                <w:szCs w:val="18"/>
                <w:color w:val="auto"/>
              </w:rPr>
              <w:t>Total amortization expense</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developed technology, customer relationships, and non-compete agreement assets are being amortized over 3 years, 5 years, and 3 years,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00" w:type="dxa"/>
            <w:vAlign w:val="bottom"/>
          </w:tcPr>
          <w:p>
            <w:pPr>
              <w:jc w:val="right"/>
              <w:ind w:right="22"/>
              <w:spacing w:after="0"/>
              <w:rPr>
                <w:sz w:val="20"/>
                <w:szCs w:val="20"/>
                <w:color w:val="auto"/>
              </w:rPr>
            </w:pPr>
            <w:r>
              <w:rPr>
                <w:rFonts w:ascii="Arial" w:cs="Arial" w:eastAsia="Arial" w:hAnsi="Arial"/>
                <w:sz w:val="14"/>
                <w:szCs w:val="14"/>
                <w:b w:val="1"/>
                <w:bCs w:val="1"/>
                <w:color w:val="auto"/>
              </w:rPr>
              <w:t>April 30,</w:t>
            </w:r>
          </w:p>
        </w:tc>
        <w:tc>
          <w:tcPr>
            <w:tcW w:w="16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88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640" w:type="dxa"/>
            <w:vAlign w:val="bottom"/>
            <w:tcBorders>
              <w:top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920" w:type="dxa"/>
            <w:vAlign w:val="bottom"/>
            <w:vMerge w:val="restart"/>
          </w:tcPr>
          <w:p>
            <w:pPr>
              <w:spacing w:after="0"/>
              <w:rPr>
                <w:sz w:val="15"/>
                <w:szCs w:val="15"/>
                <w:color w:val="auto"/>
              </w:rPr>
            </w:pPr>
          </w:p>
        </w:tc>
        <w:tc>
          <w:tcPr>
            <w:tcW w:w="34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Web hosting services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$ 10,621</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12,224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2"/>
              </w:rPr>
              <w:t>Accrued purchases of property and equipment</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6,258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7,042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Other vendor expenses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13,081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12,326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Amounts due for employee expenses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1,225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4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Accrued expenses</w:t>
            </w:r>
          </w:p>
        </w:tc>
        <w:tc>
          <w:tcPr>
            <w:tcW w:w="2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$ 31,185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32,541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180" w:type="dxa"/>
            <w:vAlign w:val="bottom"/>
            <w:vMerge w:val="restart"/>
          </w:tcPr>
          <w:p>
            <w:pPr>
              <w:jc w:val="right"/>
              <w:ind w:right="1813"/>
              <w:spacing w:after="0"/>
              <w:rPr>
                <w:sz w:val="20"/>
                <w:szCs w:val="20"/>
                <w:color w:val="auto"/>
              </w:rPr>
            </w:pPr>
            <w:r>
              <w:rPr>
                <w:rFonts w:ascii="Arial" w:cs="Arial" w:eastAsia="Arial" w:hAnsi="Arial"/>
                <w:sz w:val="18"/>
                <w:szCs w:val="18"/>
                <w:color w:val="auto"/>
              </w:rPr>
              <w:t>26</w:t>
            </w: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9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Accrued Payroll and Benefits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payroll and benefits consisted of the following:</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April 30,</w:t>
            </w:r>
          </w:p>
        </w:tc>
        <w:tc>
          <w:tcPr>
            <w:tcW w:w="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5"/>
              </w:rPr>
              <w:t>January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5"/>
          </w:tcPr>
          <w:p>
            <w:pPr>
              <w:jc w:val="right"/>
              <w:ind w:right="29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expenses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Accrued bonuses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Accrued commissions</w:t>
            </w:r>
          </w:p>
        </w:tc>
        <w:tc>
          <w:tcPr>
            <w:tcW w:w="1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ind w:left="80"/>
              <w:spacing w:after="0"/>
              <w:rPr>
                <w:sz w:val="20"/>
                <w:szCs w:val="20"/>
                <w:color w:val="auto"/>
              </w:rPr>
            </w:pPr>
            <w:r>
              <w:rPr>
                <w:rFonts w:ascii="Arial" w:cs="Arial" w:eastAsia="Arial" w:hAnsi="Arial"/>
                <w:sz w:val="18"/>
                <w:szCs w:val="18"/>
                <w:color w:val="auto"/>
              </w:rPr>
              <w:t>Accrued payroll and benefits</w:t>
            </w:r>
          </w:p>
        </w:tc>
        <w:tc>
          <w:tcPr>
            <w:tcW w:w="14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12,683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Secured Revolving Credit Facility</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April 2019, the Company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 The Company also has the option to request an incremental facility of up to an additional $75.0 million from one or more of the lenders under the Credit Agreement. The amount the Company may borrow under the Credit Agreement may not exceed the lesser of $150.0 million or the Company’s ordinary course recurring subscription revenue for the most recent month, as determined under the Credit Agreement, multiplied by a number that is (i) 6, for the first year after entry into the Credit Agreement; (ii) 5, for the second year after entry into the Credit Agreement; and (iii) 4, thereafter. Under the terms of the Credit Agreement, revolving loans may be either Eurodollar Loans or ABR Loans. Outstanding Eurodollar Loans incur interest at the Eurodollar Rate, which is defined in the Credit Agreement as LIBOR (or any successor thereto), plus a margin between 2.75% and 3.25%, depending on usage. Outstanding ABR Loans incur interest at the highest of (a) the Prime Rate, as published by the Wall Street Journal, (b) the federal funds rate in effect for such day plus 0.50%, and (c) the Eurodollar Rate plus 1.00%, in each case plus a margin between 1.75% and 2.25%, depending on usage. The applicable margin for Eurodollar Loans and ABR Loans will be reduced by 0.25% upon the completion of an initial public offering of at least $100.0 million in gross proceeds. The Company will be charged a commitment fee of 0.2% to 0.3% per year for committed but unused amounts. The Credit Agreement will terminate on April 19, 2022.</w:t>
      </w:r>
    </w:p>
    <w:p>
      <w:pPr>
        <w:spacing w:after="0" w:line="18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Credit Agreement is collateralized by substantially all of the Company’s current and future property, rights, and assets, including, but not limited to, cash, goods, equipment, contractual rights, financial assets, and intangible assets of the Company and its subsidiaries. The Credit Agreement contains covenants limiting the ability to, among other things, dispose of assets, undergo a change in control, merge or consolidate, make acquisitions, incur debt, incur liens, pay dividends, repurchase stock, and make investments, in each case subject to certain exceptions. The Credit Agreement also contains financial covenants requiring the Company to maintain the year-over-year growth rate of its ordinary course recurring subscription revenue above specified rates and to maintain minimum liquidity at specified levels. The Company was in compliance with all covenants as of April 30, 2019. The Credit Agreement contains events of default that include, among others, non-payment of principal, interest, or fees, breach of covenants, inaccuracy of representations and warranties, cross defaults to certain other indebtedness, bankruptcy and insolvency events, and material judgments.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amounts were outstanding under the Credit Agreement as of April 30, 2019 or January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Income Taxes</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Company recognized an income tax expense of $0.6 million and $0.1 million for the three months ended April 30, 2019 and 2018, respectively. The tax expense for the three months ended April 30, 2019 was primarily attributable to pre-tax foreign earnings. The Company’s effective tax rates of (2.3%) and (0.4%) for the three months ended April 30, 2019 and April 30, 2018 differ from the U.S. statutory tax rate primarily due to valuation allowance recorded against domestic losses and the tax rate differences between the United States and foreign countries.</w:t>
      </w:r>
    </w:p>
    <w:p>
      <w:pPr>
        <w:sectPr>
          <w:pgSz w:w="11900" w:h="16838" w:orient="portrait"/>
          <w:cols w:equalWidth="0" w:num="1">
            <w:col w:w="9060"/>
          </w:cols>
          <w:pgMar w:left="1420" w:top="517" w:right="141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has a full valuation allowance on its U.S. federal and state deferred tax assets. As a result, consistent with the prior year, the Company is unable to record a tax benefit on these losses because of uncertainty of future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Redeemable Convertible Preferred Stock</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summarizes the authorized, issued, and outstanding redeemable convertible preferred stock of the Company as of April 30,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Issue Price</w:t>
            </w:r>
          </w:p>
        </w:tc>
        <w:tc>
          <w:tcPr>
            <w:tcW w:w="7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5"/>
              <w:spacing w:after="0"/>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4"/>
                <w:szCs w:val="14"/>
                <w:color w:val="auto"/>
              </w:rPr>
            </w:pPr>
          </w:p>
        </w:tc>
        <w:tc>
          <w:tcPr>
            <w:tcW w:w="8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Liquidation</w:t>
            </w:r>
          </w:p>
        </w:tc>
        <w:tc>
          <w:tcPr>
            <w:tcW w:w="160" w:type="dxa"/>
            <w:vAlign w:val="bottom"/>
          </w:tcPr>
          <w:p>
            <w:pPr>
              <w:spacing w:after="0"/>
              <w:rPr>
                <w:sz w:val="14"/>
                <w:szCs w:val="14"/>
                <w:color w:val="auto"/>
              </w:rPr>
            </w:pPr>
          </w:p>
        </w:tc>
        <w:tc>
          <w:tcPr>
            <w:tcW w:w="96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2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248"/>
              <w:spacing w:after="0"/>
              <w:rPr>
                <w:sz w:val="20"/>
                <w:szCs w:val="20"/>
                <w:color w:val="auto"/>
              </w:rPr>
            </w:pPr>
            <w:r>
              <w:rPr>
                <w:rFonts w:ascii="Arial" w:cs="Arial" w:eastAsia="Arial" w:hAnsi="Arial"/>
                <w:sz w:val="14"/>
                <w:szCs w:val="14"/>
                <w:b w:val="1"/>
                <w:bCs w:val="1"/>
                <w:color w:val="auto"/>
              </w:rPr>
              <w:t>per Share</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8"/>
              </w:rPr>
              <w:t>Authorized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880" w:type="dxa"/>
            <w:vAlign w:val="bottom"/>
          </w:tcPr>
          <w:p>
            <w:pPr>
              <w:jc w:val="right"/>
              <w:ind w:right="42"/>
              <w:spacing w:after="0"/>
              <w:rPr>
                <w:sz w:val="20"/>
                <w:szCs w:val="20"/>
                <w:color w:val="auto"/>
              </w:rPr>
            </w:pPr>
            <w:r>
              <w:rPr>
                <w:rFonts w:ascii="Arial" w:cs="Arial" w:eastAsia="Arial" w:hAnsi="Arial"/>
                <w:sz w:val="14"/>
                <w:szCs w:val="14"/>
                <w:b w:val="1"/>
                <w:bCs w:val="1"/>
                <w:color w:val="auto"/>
              </w:rPr>
              <w:t>Preference</w:t>
            </w:r>
          </w:p>
        </w:tc>
        <w:tc>
          <w:tcPr>
            <w:tcW w:w="160" w:type="dxa"/>
            <w:vAlign w:val="bottom"/>
          </w:tcPr>
          <w:p>
            <w:pPr>
              <w:spacing w:after="0"/>
              <w:rPr>
                <w:sz w:val="14"/>
                <w:szCs w:val="14"/>
                <w:color w:val="auto"/>
              </w:rPr>
            </w:pPr>
          </w:p>
        </w:tc>
        <w:tc>
          <w:tcPr>
            <w:tcW w:w="960" w:type="dxa"/>
            <w:vAlign w:val="bottom"/>
          </w:tcPr>
          <w:p>
            <w:pPr>
              <w:jc w:val="right"/>
              <w:ind w:right="22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080" w:type="dxa"/>
            <w:vAlign w:val="bottom"/>
            <w:tcBorders>
              <w:top w:val="single" w:sz="8" w:color="auto"/>
            </w:tcBorders>
            <w:gridSpan w:val="8"/>
          </w:tcPr>
          <w:p>
            <w:pPr>
              <w:jc w:val="center"/>
              <w:ind w:right="602"/>
              <w:spacing w:after="0"/>
              <w:rPr>
                <w:sz w:val="20"/>
                <w:szCs w:val="20"/>
                <w:color w:val="auto"/>
              </w:rPr>
            </w:pPr>
            <w:r>
              <w:rPr>
                <w:rFonts w:ascii="Arial" w:cs="Arial" w:eastAsia="Arial" w:hAnsi="Arial"/>
                <w:sz w:val="14"/>
                <w:szCs w:val="14"/>
                <w:b w:val="1"/>
                <w:bCs w:val="1"/>
                <w:color w:val="auto"/>
                <w:w w:val="89"/>
              </w:rPr>
              <w:t>(in thousands, except per share values)</w:t>
            </w: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Series A-1</w:t>
            </w:r>
          </w:p>
        </w:tc>
        <w:tc>
          <w:tcPr>
            <w:tcW w:w="12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  0.50000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52,300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52,300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823,725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Series B</w:t>
            </w:r>
          </w:p>
        </w:tc>
        <w:tc>
          <w:tcPr>
            <w:tcW w:w="1220" w:type="dxa"/>
            <w:vAlign w:val="bottom"/>
            <w:gridSpan w:val="2"/>
          </w:tcPr>
          <w:p>
            <w:pPr>
              <w:jc w:val="right"/>
              <w:ind w:right="148"/>
              <w:spacing w:after="0"/>
              <w:rPr>
                <w:sz w:val="20"/>
                <w:szCs w:val="20"/>
                <w:color w:val="auto"/>
              </w:rPr>
            </w:pPr>
            <w:r>
              <w:rPr>
                <w:rFonts w:ascii="Arial" w:cs="Arial" w:eastAsia="Arial" w:hAnsi="Arial"/>
                <w:sz w:val="18"/>
                <w:szCs w:val="18"/>
                <w:color w:val="auto"/>
              </w:rPr>
              <w:t>1.40500</w:t>
            </w:r>
          </w:p>
        </w:tc>
        <w:tc>
          <w:tcPr>
            <w:tcW w:w="740" w:type="dxa"/>
            <w:vAlign w:val="bottom"/>
          </w:tcPr>
          <w:p>
            <w:pPr>
              <w:jc w:val="right"/>
              <w:spacing w:after="0"/>
              <w:rPr>
                <w:sz w:val="20"/>
                <w:szCs w:val="20"/>
                <w:color w:val="auto"/>
              </w:rPr>
            </w:pPr>
            <w:r>
              <w:rPr>
                <w:rFonts w:ascii="Arial" w:cs="Arial" w:eastAsia="Arial" w:hAnsi="Arial"/>
                <w:sz w:val="18"/>
                <w:szCs w:val="18"/>
                <w:color w:val="auto"/>
              </w:rPr>
              <w:t>21,523</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21,352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44,320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336,294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2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4.52972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22,077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Series D</w:t>
            </w:r>
          </w:p>
        </w:tc>
        <w:tc>
          <w:tcPr>
            <w:tcW w:w="1220" w:type="dxa"/>
            <w:vAlign w:val="bottom"/>
            <w:gridSpan w:val="2"/>
          </w:tcPr>
          <w:p>
            <w:pPr>
              <w:jc w:val="right"/>
              <w:ind w:right="148"/>
              <w:spacing w:after="0"/>
              <w:rPr>
                <w:sz w:val="20"/>
                <w:szCs w:val="20"/>
                <w:color w:val="auto"/>
              </w:rPr>
            </w:pPr>
            <w:r>
              <w:rPr>
                <w:rFonts w:ascii="Arial" w:cs="Arial" w:eastAsia="Arial" w:hAnsi="Arial"/>
                <w:sz w:val="18"/>
                <w:szCs w:val="18"/>
                <w:color w:val="auto"/>
              </w:rPr>
              <w:t>5.69153</w:t>
            </w:r>
          </w:p>
        </w:tc>
        <w:tc>
          <w:tcPr>
            <w:tcW w:w="740" w:type="dxa"/>
            <w:vAlign w:val="bottom"/>
          </w:tcPr>
          <w:p>
            <w:pPr>
              <w:jc w:val="right"/>
              <w:spacing w:after="0"/>
              <w:rPr>
                <w:sz w:val="20"/>
                <w:szCs w:val="20"/>
                <w:color w:val="auto"/>
              </w:rPr>
            </w:pPr>
            <w:r>
              <w:rPr>
                <w:rFonts w:ascii="Arial" w:cs="Arial" w:eastAsia="Arial" w:hAnsi="Arial"/>
                <w:sz w:val="18"/>
                <w:szCs w:val="18"/>
                <w:color w:val="auto"/>
              </w:rPr>
              <w:t>17,570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17,570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99,845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276,728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Series D-1</w:t>
            </w:r>
          </w:p>
        </w:tc>
        <w:tc>
          <w:tcPr>
            <w:tcW w:w="12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5.69153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Series E</w:t>
            </w:r>
          </w:p>
        </w:tc>
        <w:tc>
          <w:tcPr>
            <w:tcW w:w="1220" w:type="dxa"/>
            <w:vAlign w:val="bottom"/>
            <w:gridSpan w:val="2"/>
          </w:tcPr>
          <w:p>
            <w:pPr>
              <w:jc w:val="right"/>
              <w:ind w:right="148"/>
              <w:spacing w:after="0"/>
              <w:rPr>
                <w:sz w:val="20"/>
                <w:szCs w:val="20"/>
                <w:color w:val="auto"/>
              </w:rPr>
            </w:pPr>
            <w:r>
              <w:rPr>
                <w:rFonts w:ascii="Arial" w:cs="Arial" w:eastAsia="Arial" w:hAnsi="Arial"/>
                <w:sz w:val="18"/>
                <w:szCs w:val="18"/>
                <w:color w:val="auto"/>
              </w:rPr>
              <w:t>16.46136</w:t>
            </w:r>
          </w:p>
        </w:tc>
        <w:tc>
          <w:tcPr>
            <w:tcW w:w="740" w:type="dxa"/>
            <w:vAlign w:val="bottom"/>
          </w:tcPr>
          <w:p>
            <w:pPr>
              <w:jc w:val="right"/>
              <w:spacing w:after="0"/>
              <w:rPr>
                <w:sz w:val="20"/>
                <w:szCs w:val="20"/>
                <w:color w:val="auto"/>
              </w:rPr>
            </w:pPr>
            <w:r>
              <w:rPr>
                <w:rFonts w:ascii="Arial" w:cs="Arial" w:eastAsia="Arial" w:hAnsi="Arial"/>
                <w:sz w:val="18"/>
                <w:szCs w:val="18"/>
                <w:color w:val="auto"/>
              </w:rPr>
              <w:t>18,357</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12,575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206,896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207,000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207,000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137,419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557,912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summarizes the authorized, issued, and outstanding redeemable convertible preferred stock of the Company as of January 31,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Issue Price</w:t>
            </w:r>
          </w:p>
        </w:tc>
        <w:tc>
          <w:tcPr>
            <w:tcW w:w="7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5"/>
              <w:spacing w:after="0"/>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4"/>
                <w:szCs w:val="14"/>
                <w:color w:val="auto"/>
              </w:rPr>
            </w:pPr>
          </w:p>
        </w:tc>
        <w:tc>
          <w:tcPr>
            <w:tcW w:w="8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Liquidation</w:t>
            </w:r>
          </w:p>
        </w:tc>
        <w:tc>
          <w:tcPr>
            <w:tcW w:w="160" w:type="dxa"/>
            <w:vAlign w:val="bottom"/>
          </w:tcPr>
          <w:p>
            <w:pPr>
              <w:spacing w:after="0"/>
              <w:rPr>
                <w:sz w:val="14"/>
                <w:szCs w:val="14"/>
                <w:color w:val="auto"/>
              </w:rPr>
            </w:pPr>
          </w:p>
        </w:tc>
        <w:tc>
          <w:tcPr>
            <w:tcW w:w="96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9"/>
        </w:trPr>
        <w:tc>
          <w:tcPr>
            <w:tcW w:w="2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w:t>
            </w: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248"/>
              <w:spacing w:after="0"/>
              <w:rPr>
                <w:sz w:val="20"/>
                <w:szCs w:val="20"/>
                <w:color w:val="auto"/>
              </w:rPr>
            </w:pPr>
            <w:r>
              <w:rPr>
                <w:rFonts w:ascii="Arial" w:cs="Arial" w:eastAsia="Arial" w:hAnsi="Arial"/>
                <w:sz w:val="14"/>
                <w:szCs w:val="14"/>
                <w:b w:val="1"/>
                <w:bCs w:val="1"/>
                <w:color w:val="auto"/>
              </w:rPr>
              <w:t>per Share</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8"/>
              </w:rPr>
              <w:t>Authorized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880" w:type="dxa"/>
            <w:vAlign w:val="bottom"/>
          </w:tcPr>
          <w:p>
            <w:pPr>
              <w:jc w:val="right"/>
              <w:ind w:right="42"/>
              <w:spacing w:after="0"/>
              <w:rPr>
                <w:sz w:val="20"/>
                <w:szCs w:val="20"/>
                <w:color w:val="auto"/>
              </w:rPr>
            </w:pPr>
            <w:r>
              <w:rPr>
                <w:rFonts w:ascii="Arial" w:cs="Arial" w:eastAsia="Arial" w:hAnsi="Arial"/>
                <w:sz w:val="14"/>
                <w:szCs w:val="14"/>
                <w:b w:val="1"/>
                <w:bCs w:val="1"/>
                <w:color w:val="auto"/>
              </w:rPr>
              <w:t>Preference</w:t>
            </w:r>
          </w:p>
        </w:tc>
        <w:tc>
          <w:tcPr>
            <w:tcW w:w="160" w:type="dxa"/>
            <w:vAlign w:val="bottom"/>
          </w:tcPr>
          <w:p>
            <w:pPr>
              <w:spacing w:after="0"/>
              <w:rPr>
                <w:sz w:val="14"/>
                <w:szCs w:val="14"/>
                <w:color w:val="auto"/>
              </w:rPr>
            </w:pPr>
          </w:p>
        </w:tc>
        <w:tc>
          <w:tcPr>
            <w:tcW w:w="960" w:type="dxa"/>
            <w:vAlign w:val="bottom"/>
          </w:tcPr>
          <w:p>
            <w:pPr>
              <w:jc w:val="right"/>
              <w:ind w:right="22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080" w:type="dxa"/>
            <w:vAlign w:val="bottom"/>
            <w:tcBorders>
              <w:top w:val="single" w:sz="8" w:color="auto"/>
            </w:tcBorders>
            <w:gridSpan w:val="8"/>
          </w:tcPr>
          <w:p>
            <w:pPr>
              <w:jc w:val="center"/>
              <w:ind w:right="602"/>
              <w:spacing w:after="0"/>
              <w:rPr>
                <w:sz w:val="20"/>
                <w:szCs w:val="20"/>
                <w:color w:val="auto"/>
              </w:rPr>
            </w:pPr>
            <w:r>
              <w:rPr>
                <w:rFonts w:ascii="Arial" w:cs="Arial" w:eastAsia="Arial" w:hAnsi="Arial"/>
                <w:sz w:val="14"/>
                <w:szCs w:val="14"/>
                <w:b w:val="1"/>
                <w:bCs w:val="1"/>
                <w:color w:val="auto"/>
                <w:w w:val="89"/>
              </w:rPr>
              <w:t>(in thousands, except per share values)</w:t>
            </w: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Series A-1</w:t>
            </w:r>
          </w:p>
        </w:tc>
        <w:tc>
          <w:tcPr>
            <w:tcW w:w="12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  0.50000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52,300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52,300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623,678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Series B</w:t>
            </w:r>
          </w:p>
        </w:tc>
        <w:tc>
          <w:tcPr>
            <w:tcW w:w="1220" w:type="dxa"/>
            <w:vAlign w:val="bottom"/>
            <w:gridSpan w:val="2"/>
          </w:tcPr>
          <w:p>
            <w:pPr>
              <w:jc w:val="right"/>
              <w:ind w:right="148"/>
              <w:spacing w:after="0"/>
              <w:rPr>
                <w:sz w:val="20"/>
                <w:szCs w:val="20"/>
                <w:color w:val="auto"/>
              </w:rPr>
            </w:pPr>
            <w:r>
              <w:rPr>
                <w:rFonts w:ascii="Arial" w:cs="Arial" w:eastAsia="Arial" w:hAnsi="Arial"/>
                <w:sz w:val="18"/>
                <w:szCs w:val="18"/>
                <w:color w:val="auto"/>
              </w:rPr>
              <w:t>1.40500</w:t>
            </w:r>
          </w:p>
        </w:tc>
        <w:tc>
          <w:tcPr>
            <w:tcW w:w="740" w:type="dxa"/>
            <w:vAlign w:val="bottom"/>
          </w:tcPr>
          <w:p>
            <w:pPr>
              <w:jc w:val="right"/>
              <w:spacing w:after="0"/>
              <w:rPr>
                <w:sz w:val="20"/>
                <w:szCs w:val="20"/>
                <w:color w:val="auto"/>
              </w:rPr>
            </w:pPr>
            <w:r>
              <w:rPr>
                <w:rFonts w:ascii="Arial" w:cs="Arial" w:eastAsia="Arial" w:hAnsi="Arial"/>
                <w:sz w:val="18"/>
                <w:szCs w:val="18"/>
                <w:color w:val="auto"/>
              </w:rPr>
              <w:t>21,523</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21,352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44,320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254,623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2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4.52972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22,077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Series D</w:t>
            </w:r>
          </w:p>
        </w:tc>
        <w:tc>
          <w:tcPr>
            <w:tcW w:w="1220" w:type="dxa"/>
            <w:vAlign w:val="bottom"/>
            <w:gridSpan w:val="2"/>
          </w:tcPr>
          <w:p>
            <w:pPr>
              <w:jc w:val="right"/>
              <w:ind w:right="148"/>
              <w:spacing w:after="0"/>
              <w:rPr>
                <w:sz w:val="20"/>
                <w:szCs w:val="20"/>
                <w:color w:val="auto"/>
              </w:rPr>
            </w:pPr>
            <w:r>
              <w:rPr>
                <w:rFonts w:ascii="Arial" w:cs="Arial" w:eastAsia="Arial" w:hAnsi="Arial"/>
                <w:sz w:val="18"/>
                <w:szCs w:val="18"/>
                <w:color w:val="auto"/>
              </w:rPr>
              <w:t>5.69153</w:t>
            </w:r>
          </w:p>
        </w:tc>
        <w:tc>
          <w:tcPr>
            <w:tcW w:w="740" w:type="dxa"/>
            <w:vAlign w:val="bottom"/>
          </w:tcPr>
          <w:p>
            <w:pPr>
              <w:jc w:val="right"/>
              <w:spacing w:after="0"/>
              <w:rPr>
                <w:sz w:val="20"/>
                <w:szCs w:val="20"/>
                <w:color w:val="auto"/>
              </w:rPr>
            </w:pPr>
            <w:r>
              <w:rPr>
                <w:rFonts w:ascii="Arial" w:cs="Arial" w:eastAsia="Arial" w:hAnsi="Arial"/>
                <w:sz w:val="18"/>
                <w:szCs w:val="18"/>
                <w:color w:val="auto"/>
              </w:rPr>
              <w:t>17,570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17,570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99,845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Series D-1</w:t>
            </w:r>
          </w:p>
        </w:tc>
        <w:tc>
          <w:tcPr>
            <w:tcW w:w="12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5.69153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Series E</w:t>
            </w:r>
          </w:p>
        </w:tc>
        <w:tc>
          <w:tcPr>
            <w:tcW w:w="1220" w:type="dxa"/>
            <w:vAlign w:val="bottom"/>
            <w:gridSpan w:val="2"/>
          </w:tcPr>
          <w:p>
            <w:pPr>
              <w:jc w:val="right"/>
              <w:ind w:right="148"/>
              <w:spacing w:after="0"/>
              <w:rPr>
                <w:sz w:val="20"/>
                <w:szCs w:val="20"/>
                <w:color w:val="auto"/>
              </w:rPr>
            </w:pPr>
            <w:r>
              <w:rPr>
                <w:rFonts w:ascii="Arial" w:cs="Arial" w:eastAsia="Arial" w:hAnsi="Arial"/>
                <w:sz w:val="18"/>
                <w:szCs w:val="18"/>
                <w:color w:val="auto"/>
              </w:rPr>
              <w:t>16.46136</w:t>
            </w:r>
          </w:p>
        </w:tc>
        <w:tc>
          <w:tcPr>
            <w:tcW w:w="740" w:type="dxa"/>
            <w:vAlign w:val="bottom"/>
          </w:tcPr>
          <w:p>
            <w:pPr>
              <w:jc w:val="right"/>
              <w:spacing w:after="0"/>
              <w:rPr>
                <w:sz w:val="20"/>
                <w:szCs w:val="20"/>
                <w:color w:val="auto"/>
              </w:rPr>
            </w:pPr>
            <w:r>
              <w:rPr>
                <w:rFonts w:ascii="Arial" w:cs="Arial" w:eastAsia="Arial" w:hAnsi="Arial"/>
                <w:sz w:val="18"/>
                <w:szCs w:val="18"/>
                <w:color w:val="auto"/>
              </w:rPr>
              <w:t>18,357</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12,575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206,896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207,000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207,000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137,419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557,912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Upon the closing of the Company’s IPO on June 14, 2019, all shares of convertible preferred stock then outstanding, totaling 131,267,586 shares, were automatically converted into an equivalent number of shares of Class B common stock on a one-to-one basis and the carrying value, totaling $557.9 million, was reclassified into Class B common stock and additional paid-in capital on the condensed consolidated balance sheet.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Common Stock</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 xml:space="preserve">The Company’s authorized capital consisted of 220,000,000 shares of common stock, par value $0.0005 per share, as of April 30, 2019 and January 31, 2019. The Company has also issued incentive stock options (see Note 9, </w:t>
      </w:r>
      <w:r>
        <w:rPr>
          <w:rFonts w:ascii="Arial" w:cs="Arial" w:eastAsia="Arial" w:hAnsi="Arial"/>
          <w:sz w:val="18"/>
          <w:szCs w:val="18"/>
          <w:i w:val="1"/>
          <w:iCs w:val="1"/>
          <w:color w:val="auto"/>
        </w:rPr>
        <w:t>Stock-Based</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that are exercisable into the Company’s common stock.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reserved shares of common stock for future issuance as follows: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3"/>
              </w:rPr>
              <w:t>January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640" w:type="dxa"/>
            <w:vAlign w:val="bottom"/>
            <w:gridSpan w:val="3"/>
          </w:tcPr>
          <w:p>
            <w:pPr>
              <w:jc w:val="right"/>
              <w:ind w:right="31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A-1 redeemable convertible preferred stock</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Conversion of Series B redeemable convertible preferred stock</w:t>
            </w:r>
          </w:p>
        </w:tc>
        <w:tc>
          <w:tcPr>
            <w:tcW w:w="700" w:type="dxa"/>
            <w:vAlign w:val="bottom"/>
          </w:tcPr>
          <w:p>
            <w:pPr>
              <w:jc w:val="right"/>
              <w:spacing w:after="0"/>
              <w:rPr>
                <w:sz w:val="20"/>
                <w:szCs w:val="20"/>
                <w:color w:val="auto"/>
              </w:rPr>
            </w:pPr>
            <w:r>
              <w:rPr>
                <w:rFonts w:ascii="Arial" w:cs="Arial" w:eastAsia="Arial" w:hAnsi="Arial"/>
                <w:sz w:val="18"/>
                <w:szCs w:val="18"/>
                <w:color w:val="auto"/>
              </w:rPr>
              <w:t>21,352</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C redeemable convertible preferred stock</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Conversion of Series D redeemable convertible preferred stock</w:t>
            </w:r>
          </w:p>
        </w:tc>
        <w:tc>
          <w:tcPr>
            <w:tcW w:w="700" w:type="dxa"/>
            <w:vAlign w:val="bottom"/>
          </w:tcPr>
          <w:p>
            <w:pPr>
              <w:jc w:val="right"/>
              <w:spacing w:after="0"/>
              <w:rPr>
                <w:sz w:val="20"/>
                <w:szCs w:val="20"/>
                <w:color w:val="auto"/>
              </w:rPr>
            </w:pPr>
            <w:r>
              <w:rPr>
                <w:rFonts w:ascii="Arial" w:cs="Arial" w:eastAsia="Arial" w:hAnsi="Arial"/>
                <w:sz w:val="18"/>
                <w:szCs w:val="18"/>
                <w:color w:val="auto"/>
              </w:rPr>
              <w:t>17,570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D-1 redeemable convertible preferred stock</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Conversion of Series E redeemable convertible preferred stock</w:t>
            </w:r>
          </w:p>
        </w:tc>
        <w:tc>
          <w:tcPr>
            <w:tcW w:w="700" w:type="dxa"/>
            <w:vAlign w:val="bottom"/>
          </w:tcPr>
          <w:p>
            <w:pPr>
              <w:jc w:val="right"/>
              <w:spacing w:after="0"/>
              <w:rPr>
                <w:sz w:val="20"/>
                <w:szCs w:val="20"/>
                <w:color w:val="auto"/>
              </w:rPr>
            </w:pPr>
            <w:r>
              <w:rPr>
                <w:rFonts w:ascii="Arial" w:cs="Arial" w:eastAsia="Arial" w:hAnsi="Arial"/>
                <w:sz w:val="18"/>
                <w:szCs w:val="18"/>
                <w:color w:val="auto"/>
              </w:rPr>
              <w:t>12,575</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Exercise and conversion of Series B redeemable convertible preferred</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stock warrants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tcPr>
          <w:p>
            <w:pPr>
              <w:spacing w:after="0" w:line="201" w:lineRule="exact"/>
              <w:rPr>
                <w:sz w:val="20"/>
                <w:szCs w:val="20"/>
                <w:color w:val="auto"/>
              </w:rPr>
            </w:pPr>
            <w:r>
              <w:rPr>
                <w:rFonts w:ascii="Arial" w:cs="Arial" w:eastAsia="Arial" w:hAnsi="Arial"/>
                <w:sz w:val="18"/>
                <w:szCs w:val="18"/>
                <w:color w:val="auto"/>
                <w:w w:val="99"/>
              </w:rPr>
              <w:t>Exercise and conversion of Series C redeemable convertible preferred</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stock warrants</w:t>
            </w:r>
          </w:p>
        </w:tc>
        <w:tc>
          <w:tcPr>
            <w:tcW w:w="700" w:type="dxa"/>
            <w:vAlign w:val="bottom"/>
          </w:tcPr>
          <w:p>
            <w:pPr>
              <w:jc w:val="right"/>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issued and outstanding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RSUs issued and outstanding</w:t>
            </w:r>
          </w:p>
        </w:tc>
        <w:tc>
          <w:tcPr>
            <w:tcW w:w="700" w:type="dxa"/>
            <w:vAlign w:val="bottom"/>
          </w:tcPr>
          <w:p>
            <w:pPr>
              <w:jc w:val="right"/>
              <w:spacing w:after="0"/>
              <w:rPr>
                <w:sz w:val="20"/>
                <w:szCs w:val="20"/>
                <w:color w:val="auto"/>
              </w:rPr>
            </w:pPr>
            <w:r>
              <w:rPr>
                <w:rFonts w:ascii="Arial" w:cs="Arial" w:eastAsia="Arial" w:hAnsi="Arial"/>
                <w:sz w:val="18"/>
                <w:szCs w:val="18"/>
                <w:color w:val="auto"/>
              </w:rPr>
              <w:t>4,753</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Remaining shares available for future issuance under the 2011 Stock</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Incentive Plan</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4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ind w:left="80"/>
              <w:spacing w:after="0"/>
              <w:rPr>
                <w:sz w:val="20"/>
                <w:szCs w:val="20"/>
                <w:color w:val="auto"/>
              </w:rPr>
            </w:pPr>
            <w:r>
              <w:rPr>
                <w:rFonts w:ascii="Arial" w:cs="Arial" w:eastAsia="Arial" w:hAnsi="Arial"/>
                <w:sz w:val="18"/>
                <w:szCs w:val="18"/>
                <w:color w:val="auto"/>
              </w:rPr>
              <w:t>Total shares of common stock reserved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163,034</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60" w:right="6800" w:hanging="651"/>
        <w:spacing w:after="0" w:line="601" w:lineRule="auto"/>
        <w:tabs>
          <w:tab w:leader="none" w:pos="237" w:val="left"/>
        </w:tabs>
        <w:numPr>
          <w:ilvl w:val="0"/>
          <w:numId w:val="10"/>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Stock-Based Compensation Stock Incentive Plan</w:t>
      </w:r>
    </w:p>
    <w:p>
      <w:pPr>
        <w:ind w:right="100" w:firstLine="648"/>
        <w:spacing w:after="0" w:line="257" w:lineRule="auto"/>
        <w:rPr>
          <w:sz w:val="20"/>
          <w:szCs w:val="20"/>
          <w:color w:val="auto"/>
        </w:rPr>
      </w:pPr>
      <w:r>
        <w:rPr>
          <w:rFonts w:ascii="Arial" w:cs="Arial" w:eastAsia="Arial" w:hAnsi="Arial"/>
          <w:sz w:val="18"/>
          <w:szCs w:val="18"/>
          <w:color w:val="auto"/>
        </w:rPr>
        <w:t>Effective November 18, 2011, the Company established the CrowdStrike Holdings, Inc. 2011 Stock Incentive Plan (the “2011 Plan”). The Stock Incentive Plan provides for the grant of incentive and nonqualified stock options and restricted stock awards (“RSAs”) to qualified employees, officers, nonemployee directors, and consultants of the Company. The maximum number of shares of common stock, that may be issued pursuant to the 2011 Plan was 79,498,016 as of both April 30, 2019 and January 31, 2019.</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Company records compensation expense for employee stock options based on the estimated fair value of the options on the date of grant using the Black-Scholes option-pricing model with the assumptions included in the table below. The expected term represents the period that the Company’s share-based awards are expected to be outstanding. The expected term assumptions were determined based on the vesting terms, exercise terms, and contractual lives of the options. The expected stock price volatility is based upon comparable public company data. The risk-free rate is based on the U.S. Treasury yield curve in effect at the time of grant for the estimated option life.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each option was estimated on the date of grant using the following assumptions during the period: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20" w:type="dxa"/>
            <w:vAlign w:val="bottom"/>
            <w:gridSpan w:val="3"/>
          </w:tcPr>
          <w:p>
            <w:pPr>
              <w:jc w:val="right"/>
              <w:ind w:right="60"/>
              <w:spacing w:after="0"/>
              <w:rPr>
                <w:sz w:val="20"/>
                <w:szCs w:val="20"/>
                <w:color w:val="auto"/>
              </w:rPr>
            </w:pPr>
            <w:r>
              <w:rPr>
                <w:rFonts w:ascii="Arial" w:cs="Arial" w:eastAsia="Arial" w:hAnsi="Arial"/>
                <w:sz w:val="18"/>
                <w:szCs w:val="18"/>
                <w:color w:val="auto"/>
              </w:rPr>
              <w:t>2.4 %</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2.6 %</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3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37.9 %</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38.4 %</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Dividend yield</w:t>
            </w:r>
          </w:p>
        </w:tc>
        <w:tc>
          <w:tcPr>
            <w:tcW w:w="22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9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240" w:type="dxa"/>
            <w:vAlign w:val="bottom"/>
          </w:tcPr>
          <w:p>
            <w:pPr>
              <w:jc w:val="right"/>
              <w:ind w:right="1310"/>
              <w:spacing w:after="0"/>
              <w:rPr>
                <w:sz w:val="20"/>
                <w:szCs w:val="20"/>
                <w:color w:val="auto"/>
              </w:rPr>
            </w:pPr>
            <w:r>
              <w:rPr>
                <w:rFonts w:ascii="Arial" w:cs="Arial" w:eastAsia="Arial" w:hAnsi="Arial"/>
                <w:sz w:val="18"/>
                <w:szCs w:val="18"/>
                <w:color w:val="auto"/>
              </w:rPr>
              <w:t>29</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stock option activity for the three months ended April 30, 2019:</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at January 31,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26,535</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880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April 30, 2019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vested and expected to vest at April 30, 2019</w:t>
            </w:r>
          </w:p>
        </w:tc>
        <w:tc>
          <w:tcPr>
            <w:tcW w:w="90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line="20" w:lineRule="exact"/>
              <w:rPr>
                <w:sz w:val="1"/>
                <w:szCs w:val="1"/>
                <w:color w:val="auto"/>
              </w:rPr>
            </w:pPr>
          </w:p>
        </w:tc>
      </w:tr>
      <w:tr>
        <w:trPr>
          <w:trHeight w:val="197"/>
        </w:trPr>
        <w:tc>
          <w:tcPr>
            <w:tcW w:w="5280" w:type="dxa"/>
            <w:vAlign w:val="bottom"/>
            <w:gridSpan w:val="2"/>
            <w:vMerge w:val="continue"/>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26,200</w:t>
            </w:r>
          </w:p>
        </w:tc>
        <w:tc>
          <w:tcPr>
            <w:tcW w:w="26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at April 30,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15,505</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Options exercisable include 2,291,556 options that were unvested as of April 30, 2019.</w:t>
      </w:r>
    </w:p>
    <w:p>
      <w:pPr>
        <w:spacing w:after="0" w:line="225" w:lineRule="exact"/>
        <w:rPr>
          <w:sz w:val="20"/>
          <w:szCs w:val="20"/>
          <w:color w:val="auto"/>
        </w:rPr>
      </w:pPr>
    </w:p>
    <w:p>
      <w:pPr>
        <w:ind w:right="179" w:firstLine="648"/>
        <w:spacing w:after="0" w:line="286" w:lineRule="auto"/>
        <w:rPr>
          <w:sz w:val="20"/>
          <w:szCs w:val="20"/>
          <w:color w:val="auto"/>
        </w:rPr>
      </w:pPr>
      <w:r>
        <w:rPr>
          <w:rFonts w:ascii="Arial" w:cs="Arial" w:eastAsia="Arial" w:hAnsi="Arial"/>
          <w:sz w:val="17"/>
          <w:szCs w:val="17"/>
          <w:color w:val="auto"/>
        </w:rPr>
        <w:t>The aggregate intrinsic value of options vested and exercisable was $188.5 million and $181.1 million as of April 30, 2019 and January 31, 2019, respectively. The weighted-average remaining contractual term of options vested and exercisable was 6.9 years and 7.1 years as of April 30, 2019 and January 31, 2019, respectively.</w:t>
      </w:r>
    </w:p>
    <w:p>
      <w:pPr>
        <w:spacing w:after="0" w:line="166" w:lineRule="exact"/>
        <w:rPr>
          <w:sz w:val="20"/>
          <w:szCs w:val="20"/>
          <w:color w:val="auto"/>
        </w:rPr>
      </w:pPr>
    </w:p>
    <w:p>
      <w:pPr>
        <w:ind w:right="199" w:firstLine="648"/>
        <w:spacing w:after="0" w:line="257" w:lineRule="auto"/>
        <w:rPr>
          <w:sz w:val="20"/>
          <w:szCs w:val="20"/>
          <w:color w:val="auto"/>
        </w:rPr>
      </w:pPr>
      <w:r>
        <w:rPr>
          <w:rFonts w:ascii="Arial" w:cs="Arial" w:eastAsia="Arial" w:hAnsi="Arial"/>
          <w:sz w:val="18"/>
          <w:szCs w:val="18"/>
          <w:color w:val="auto"/>
        </w:rPr>
        <w:t>The weighted-average grant date fair values of all options granted was $8.76 and $5.44 per share during the three months ended April 30, 2019 and April 30, 2018, respectively. The total intrinsic value of all options exercised was $8.8 million and $1.0 million during the three months ended April 30, 2019 and April 30, 2018, respectively. The total fair value of all options vested was $4.2 million and $0.9 million during the three months ended April 30, 2019 and April 30, 2018, respectively.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intrinsic value of stock options outstanding as of April 30, 2019 and January 31, 2019 was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$273.6 million and $286.1 million, respectively, which represents the excess of the fair value of the Company’s common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stock over the exercise price of the options multiplied by the number of options outstanding. The weighted-average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remaining contractual term of stock options outstanding was 7.7 years and 7.9 years as of April 30, 2019 and January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2019, respectively.</w:t>
      </w:r>
    </w:p>
    <w:p>
      <w:pPr>
        <w:spacing w:after="0" w:line="211" w:lineRule="exact"/>
        <w:rPr>
          <w:sz w:val="20"/>
          <w:szCs w:val="20"/>
          <w:color w:val="auto"/>
        </w:rPr>
      </w:pPr>
    </w:p>
    <w:p>
      <w:pPr>
        <w:ind w:right="39" w:firstLine="648"/>
        <w:spacing w:after="0" w:line="302" w:lineRule="auto"/>
        <w:rPr>
          <w:sz w:val="20"/>
          <w:szCs w:val="20"/>
          <w:color w:val="auto"/>
        </w:rPr>
      </w:pPr>
      <w:r>
        <w:rPr>
          <w:rFonts w:ascii="Arial" w:cs="Arial" w:eastAsia="Arial" w:hAnsi="Arial"/>
          <w:sz w:val="16"/>
          <w:szCs w:val="16"/>
          <w:color w:val="auto"/>
        </w:rPr>
        <w:t>Total unrecognized stock-based compensation expense related to unvested options was $47.2 million as of April 30, 2019. This expense is expected to be amortized on a straight-line basis over a weighted-average vesting period of 3.3 years. Total unrecognized stock-based compensation expense related to unvested options was $45.8 million as of January 31, 2019. This expense is expected to be amortized on a straight-line basis over a weighted-average vesting period of 3.4 years.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Early Exercise of Employee Options</w:t>
      </w:r>
    </w:p>
    <w:p>
      <w:pPr>
        <w:spacing w:after="0" w:line="225" w:lineRule="exact"/>
        <w:rPr>
          <w:sz w:val="20"/>
          <w:szCs w:val="20"/>
          <w:color w:val="auto"/>
        </w:rPr>
      </w:pPr>
    </w:p>
    <w:p>
      <w:pPr>
        <w:ind w:right="19" w:firstLine="648"/>
        <w:spacing w:after="0" w:line="268" w:lineRule="auto"/>
        <w:rPr>
          <w:sz w:val="20"/>
          <w:szCs w:val="20"/>
          <w:color w:val="auto"/>
        </w:rPr>
      </w:pPr>
      <w:r>
        <w:rPr>
          <w:rFonts w:ascii="Arial" w:cs="Arial" w:eastAsia="Arial" w:hAnsi="Arial"/>
          <w:sz w:val="17"/>
          <w:szCs w:val="17"/>
          <w:color w:val="auto"/>
        </w:rPr>
        <w:t>The 2011 Stock Plan allows for the early exercise of stock options for certain individuals as determined by the Board of Directors. The consideration received for an early exercise of an option is a deposit of the exercise price and the related dollar amount is recorded as a liability for early exercise of unvested stock options in the condensed consolidated balance sheets. This liability is reclassified to additional paid-in capital as the awards vest. If a stock option is early exercised, the unvested shares may be repurchased by the Company in case of employment termination or for any reason, including death and disability, at the price paid by the purchaser for such shares. During the three months ended April 30, 2019, the Company did not issue any shares of common stock related to early exercised stock options. As of April 30, 2019, the number of shares of common stock related to early exercised stock options subject to repurchase was 465,626 shares for $1.0 million. As of January 31, 2019, the number of shares of common stock related to early exercised stock options subject to repurchase was 545,941 shares for $1.2 million. Common stock purchased pursuant to an early exercise of stock options is not deemed to be outstanding for accounting purposes until those shares vest. The Company includes unvested shares subject to repurchase in the number of shares outstanding on the statement of redeemable convertible preferred stock and stockholders’ deficit.</w:t>
      </w:r>
    </w:p>
    <w:p>
      <w:pPr>
        <w:sectPr>
          <w:pgSz w:w="11900" w:h="16838" w:orient="portrait"/>
          <w:cols w:equalWidth="0" w:num="1">
            <w:col w:w="9039"/>
          </w:cols>
          <w:pgMar w:left="142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Beginning in September 2018, the Company began issuing RSUs to certain employees. These RSUs include a service-based vesting condition and a performance-based vesting condition. The service-based vesting condition is generally satisfied based on one of three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beginning on December 20, 2018, subject to continued service, or (iii) vesting in eight equal quarterly installments beginning on December 20, 2022, subject to continued service. The performance-based vesting condition is satisfied on the earlier of (i) a change in control, in which the consideration paid to holders of shares is either cash, publicly traded securities, or a combination thereof, or (ii) the first Company vest date to occur following the expiration of the lock-up period upon an IPO, subject to continued service through such change in control or lock-up expiration, as applicable. None of the RSUs vest unless the performance-based vesting condition is satisfied. As of April 30, 2019 the performance based vesting condition had not yet been met, and thus no stock-based compensation relating to these RSUs was recognized. In the quarter in which the performance-based vesting condition becomes probable of being met, the Company will begin recording stock-based compensation expense using the accelerated attribution method based on the grant date fair value of the RSUs. As of April 30, 2019, the total amount of stock-based compensation expense deferred related to this performance-based vesting condition was approximately $13.0 million.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RSU activity for the three months ended April 30, 2019:</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5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RSUs outstanding at January 31,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853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RSUs outstanding at April 30, 2019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RSUs expected to vest at April 30, 2019</w:t>
            </w:r>
          </w:p>
        </w:tc>
        <w:tc>
          <w:tcPr>
            <w:tcW w:w="900" w:type="dxa"/>
            <w:vAlign w:val="bottom"/>
            <w:tcBorders>
              <w:bottom w:val="single" w:sz="8" w:color="auto"/>
            </w:tcBorders>
          </w:tcPr>
          <w:p>
            <w:pPr>
              <w:spacing w:after="0" w:line="20" w:lineRule="exact"/>
              <w:rPr>
                <w:sz w:val="1"/>
                <w:szCs w:val="1"/>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line="20" w:lineRule="exact"/>
              <w:rPr>
                <w:sz w:val="1"/>
                <w:szCs w:val="1"/>
                <w:color w:val="auto"/>
              </w:rPr>
            </w:pPr>
          </w:p>
        </w:tc>
      </w:tr>
      <w:tr>
        <w:trPr>
          <w:trHeight w:val="211"/>
        </w:trPr>
        <w:tc>
          <w:tcPr>
            <w:tcW w:w="5180" w:type="dxa"/>
            <w:vAlign w:val="bottom"/>
            <w:gridSpan w:val="2"/>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4,753</w:t>
            </w:r>
          </w:p>
        </w:tc>
        <w:tc>
          <w:tcPr>
            <w:tcW w:w="28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Stock-based compensation expense included in the condensed consolidated statements of operations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8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9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920" w:type="dxa"/>
            <w:vAlign w:val="bottom"/>
            <w:vMerge w:val="restart"/>
          </w:tcPr>
          <w:p>
            <w:pPr>
              <w:spacing w:after="0"/>
              <w:rPr>
                <w:sz w:val="15"/>
                <w:szCs w:val="15"/>
                <w:color w:val="auto"/>
              </w:rPr>
            </w:pPr>
          </w:p>
        </w:tc>
        <w:tc>
          <w:tcPr>
            <w:tcW w:w="3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1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Sales and marketing</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9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5"/>
              </w:rPr>
              <w:t>Total stock-based compensation expense</w:t>
            </w:r>
          </w:p>
        </w:tc>
        <w:tc>
          <w:tcPr>
            <w:tcW w:w="19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980" w:type="dxa"/>
            <w:vAlign w:val="bottom"/>
            <w:vMerge w:val="restart"/>
          </w:tcPr>
          <w:p>
            <w:pPr>
              <w:jc w:val="right"/>
              <w:ind w:right="1470"/>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9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Revenue, Deferred Revenue and Remaining Performance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revenue from contracts by type of customer:</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4"/>
          </w:tcPr>
          <w:p>
            <w:pPr>
              <w:jc w:val="center"/>
              <w:ind w:right="230"/>
              <w:spacing w:after="0"/>
              <w:rPr>
                <w:sz w:val="20"/>
                <w:szCs w:val="20"/>
                <w:color w:val="auto"/>
              </w:rPr>
            </w:pPr>
            <w:r>
              <w:rPr>
                <w:rFonts w:ascii="Arial" w:cs="Arial" w:eastAsia="Arial" w:hAnsi="Arial"/>
                <w:sz w:val="14"/>
                <w:szCs w:val="14"/>
                <w:b w:val="1"/>
                <w:bCs w:val="1"/>
                <w:color w:val="auto"/>
                <w:w w:val="96"/>
              </w:rPr>
              <w:t>Three Months Ended April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left="699"/>
              <w:spacing w:after="0"/>
              <w:rPr>
                <w:sz w:val="20"/>
                <w:szCs w:val="20"/>
                <w:color w:val="auto"/>
              </w:rPr>
            </w:pPr>
            <w:r>
              <w:rPr>
                <w:rFonts w:ascii="Arial" w:cs="Arial" w:eastAsia="Arial" w:hAnsi="Arial"/>
                <w:sz w:val="14"/>
                <w:szCs w:val="14"/>
                <w:b w:val="1"/>
                <w:bCs w:val="1"/>
                <w:color w:val="auto"/>
                <w:w w:val="96"/>
              </w:rPr>
              <w:t>2019</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Amount</w:t>
            </w:r>
          </w:p>
        </w:tc>
        <w:tc>
          <w:tcPr>
            <w:tcW w:w="9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 Revenue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1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(in thousands, except percentages)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0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jc w:val="center"/>
              <w:ind w:right="1770"/>
              <w:spacing w:after="0"/>
              <w:rPr>
                <w:sz w:val="20"/>
                <w:szCs w:val="20"/>
                <w:color w:val="auto"/>
              </w:rPr>
            </w:pPr>
            <w:r>
              <w:rPr>
                <w:rFonts w:ascii="Arial" w:cs="Arial" w:eastAsia="Arial" w:hAnsi="Arial"/>
                <w:sz w:val="18"/>
                <w:szCs w:val="18"/>
                <w:color w:val="auto"/>
                <w:w w:val="85"/>
              </w:rPr>
              <w:t>Channel Partners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jc w:val="center"/>
              <w:ind w:right="1730"/>
              <w:spacing w:after="0"/>
              <w:rPr>
                <w:sz w:val="20"/>
                <w:szCs w:val="20"/>
                <w:color w:val="auto"/>
              </w:rPr>
            </w:pPr>
            <w:r>
              <w:rPr>
                <w:rFonts w:ascii="Arial" w:cs="Arial" w:eastAsia="Arial" w:hAnsi="Arial"/>
                <w:sz w:val="18"/>
                <w:szCs w:val="18"/>
                <w:color w:val="auto"/>
                <w:w w:val="89"/>
              </w:rPr>
              <w:t>Direct Customers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31,617</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CCEEFF"/>
              <w:bottom w:val="single" w:sz="8" w:color="CCEEFF"/>
            </w:tcBorders>
            <w:shd w:val="clear" w:color="auto" w:fill="CCEEFF"/>
          </w:tcPr>
          <w:p>
            <w:pPr>
              <w:jc w:val="center"/>
              <w:ind w:right="1830"/>
              <w:spacing w:after="0"/>
              <w:rPr>
                <w:sz w:val="20"/>
                <w:szCs w:val="20"/>
                <w:color w:val="auto"/>
              </w:rPr>
            </w:pPr>
            <w:r>
              <w:rPr>
                <w:rFonts w:ascii="Arial" w:cs="Arial" w:eastAsia="Arial" w:hAnsi="Arial"/>
                <w:sz w:val="18"/>
                <w:szCs w:val="18"/>
                <w:color w:val="auto"/>
                <w:w w:val="89"/>
              </w:rPr>
              <w:t>Total revenue</w:t>
            </w:r>
          </w:p>
        </w:tc>
        <w:tc>
          <w:tcPr>
            <w:tcW w:w="18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96,077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 uses channel partners to complement direct sales and marketing efforts. The partners place an order with the Company after negotiating the order directly with an end customer. The partners negotiate pricing with the end customer and in some rare instances are responsible for certain support levels directly with the end customer. The Company’s contract is with the partner and payment to the Company is not contingent on the receipt of payment from the end customer. The Company recognizes the contractual amount charged to the partners as revenue ratably over the term of the arrangement once access to the Company’s solution has been provided to the end customer.</w:t>
      </w:r>
    </w:p>
    <w:p>
      <w:pPr>
        <w:spacing w:after="0" w:line="17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 also uses referral partners who refer customers in exchange for a referral fee. The Company negotiates pricing and contracts directly with the end customer. The Company recognizes revenue from the sales to the end customers, ratably over the term of the contract, once access to the Company’s solution has been provided to the end customer.</w:t>
      </w:r>
    </w:p>
    <w:p>
      <w:pPr>
        <w:spacing w:after="0" w:line="18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table summarizes the revenue by region based on the shipping address of customers who have contracted to use the Company’s cloud platform:</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4"/>
          </w:tcPr>
          <w:p>
            <w:pPr>
              <w:jc w:val="center"/>
              <w:ind w:right="230"/>
              <w:spacing w:after="0"/>
              <w:rPr>
                <w:sz w:val="20"/>
                <w:szCs w:val="20"/>
                <w:color w:val="auto"/>
              </w:rPr>
            </w:pPr>
            <w:r>
              <w:rPr>
                <w:rFonts w:ascii="Arial" w:cs="Arial" w:eastAsia="Arial" w:hAnsi="Arial"/>
                <w:sz w:val="14"/>
                <w:szCs w:val="14"/>
                <w:b w:val="1"/>
                <w:bCs w:val="1"/>
                <w:color w:val="auto"/>
                <w:w w:val="96"/>
              </w:rPr>
              <w:t>Three Months Ended April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left="697"/>
              <w:spacing w:after="0"/>
              <w:rPr>
                <w:sz w:val="20"/>
                <w:szCs w:val="20"/>
                <w:color w:val="auto"/>
              </w:rPr>
            </w:pPr>
            <w:r>
              <w:rPr>
                <w:rFonts w:ascii="Arial" w:cs="Arial" w:eastAsia="Arial" w:hAnsi="Arial"/>
                <w:sz w:val="14"/>
                <w:szCs w:val="14"/>
                <w:b w:val="1"/>
                <w:bCs w:val="1"/>
                <w:color w:val="auto"/>
                <w:w w:val="96"/>
              </w:rPr>
              <w:t>2019</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Amount</w:t>
            </w:r>
          </w:p>
        </w:tc>
        <w:tc>
          <w:tcPr>
            <w:tcW w:w="9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 Revenue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1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(in thousands, except percentages)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13,414</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Other</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4,126</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revenue</w:t>
            </w: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96,077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No single country other than the United States represented 10% or more of the Company’s total revenue during the three months ended April 30, 2019 or April 30,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Contract Balances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Contract liabilities consist of deferred revenue and include payments received in advance of performance under the contract. Such amounts are recognized as revenue over the contractual period. For the three months ended April 30, 2019, the Company recognized revenue of $79.9 million that was included in the corresponding contract liability balance at the beginning of the period.</w:t>
      </w:r>
    </w:p>
    <w:p>
      <w:pPr>
        <w:spacing w:after="0" w:line="18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Company receives payments from customers based upon contractual billing schedules. Accounts receivable are recorded when the right to consideration becomes unconditional. Payment terms on invoiced amounts are typically 30-</w:t>
      </w:r>
    </w:p>
    <w:p>
      <w:pPr>
        <w:ind w:right="320"/>
        <w:spacing w:after="0" w:line="261" w:lineRule="auto"/>
        <w:rPr>
          <w:sz w:val="20"/>
          <w:szCs w:val="20"/>
          <w:color w:val="auto"/>
        </w:rPr>
      </w:pPr>
      <w:r>
        <w:rPr>
          <w:rFonts w:ascii="Arial" w:cs="Arial" w:eastAsia="Arial" w:hAnsi="Arial"/>
          <w:sz w:val="18"/>
          <w:szCs w:val="18"/>
          <w:color w:val="auto"/>
        </w:rPr>
        <w:t>60 days. Contract assets include amounts related to the contractual right to consideration for both completed and partially completed performance obligations that may not have been invoiced.</w:t>
      </w:r>
    </w:p>
    <w:p>
      <w:pPr>
        <w:sectPr>
          <w:pgSz w:w="11900" w:h="16838" w:orient="portrait"/>
          <w:cols w:equalWidth="0" w:num="1">
            <w:col w:w="9060"/>
          </w:cols>
          <w:pgMar w:left="1420" w:top="517" w:right="141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Changes in deferred revenue for the three months ended April 30, 2019 were as follows (in thousands):</w:t>
      </w:r>
    </w:p>
    <w:p>
      <w:pPr>
        <w:sectPr>
          <w:pgSz w:w="11900" w:h="16838" w:orient="portrait"/>
          <w:cols w:equalWidth="0" w:num="1">
            <w:col w:w="9039"/>
          </w:cols>
          <w:pgMar w:left="1420" w:top="517"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Balance as of January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-115570</wp:posOffset>
            </wp:positionV>
            <wp:extent cx="459676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96765" cy="146050"/>
                    </a:xfrm>
                    <a:prstGeom prst="rect">
                      <a:avLst/>
                    </a:prstGeom>
                    <a:noFill/>
                  </pic:spPr>
                </pic:pic>
              </a:graphicData>
            </a:graphic>
          </wp:anchor>
        </w:drawing>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Additions to deferred revenue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Recognition of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-116205</wp:posOffset>
            </wp:positionV>
            <wp:extent cx="459676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spacing w:after="0" w:line="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Balance as of April 30, 2019</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Remaining Performance Obligations</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28"/>
        <w:spacing w:after="0"/>
        <w:rPr>
          <w:sz w:val="20"/>
          <w:szCs w:val="20"/>
          <w:color w:val="auto"/>
        </w:rPr>
      </w:pPr>
      <w:r>
        <w:rPr>
          <w:rFonts w:ascii="Arial" w:cs="Arial" w:eastAsia="Arial" w:hAnsi="Arial"/>
          <w:sz w:val="13"/>
          <w:szCs w:val="13"/>
          <w:b w:val="1"/>
          <w:bCs w:val="1"/>
          <w:u w:val="single" w:color="auto"/>
          <w:color w:val="auto"/>
        </w:rPr>
        <w:t>Carrying Amount</w:t>
      </w:r>
    </w:p>
    <w:p>
      <w:pPr>
        <w:spacing w:after="0" w:line="37" w:lineRule="exact"/>
        <w:rPr>
          <w:sz w:val="20"/>
          <w:szCs w:val="20"/>
          <w:color w:val="auto"/>
        </w:rPr>
      </w:pPr>
    </w:p>
    <w:p>
      <w:pPr>
        <w:ind w:left="528" w:hanging="528"/>
        <w:spacing w:after="0"/>
        <w:tabs>
          <w:tab w:leader="none" w:pos="528" w:val="left"/>
        </w:tabs>
        <w:numPr>
          <w:ilvl w:val="0"/>
          <w:numId w:val="11"/>
        </w:numPr>
        <w:rPr>
          <w:rFonts w:ascii="Arial" w:cs="Arial" w:eastAsia="Arial" w:hAnsi="Arial"/>
          <w:sz w:val="17"/>
          <w:szCs w:val="17"/>
          <w:color w:val="auto"/>
        </w:rPr>
      </w:pPr>
      <w:r>
        <w:rPr>
          <w:rFonts w:ascii="Arial" w:cs="Arial" w:eastAsia="Arial" w:hAnsi="Arial"/>
          <w:sz w:val="17"/>
          <w:szCs w:val="17"/>
          <w:color w:val="auto"/>
        </w:rPr>
        <w:t>290,067</w:t>
      </w:r>
    </w:p>
    <w:p>
      <w:pPr>
        <w:spacing w:after="0" w:line="19" w:lineRule="exact"/>
        <w:rPr>
          <w:rFonts w:ascii="Arial" w:cs="Arial" w:eastAsia="Arial" w:hAnsi="Arial"/>
          <w:sz w:val="17"/>
          <w:szCs w:val="17"/>
          <w:color w:val="auto"/>
        </w:rPr>
      </w:pPr>
    </w:p>
    <w:p>
      <w:pPr>
        <w:ind w:left="528"/>
        <w:spacing w:after="0"/>
        <w:rPr>
          <w:rFonts w:ascii="Arial" w:cs="Arial" w:eastAsia="Arial" w:hAnsi="Arial"/>
          <w:sz w:val="17"/>
          <w:szCs w:val="17"/>
          <w:color w:val="auto"/>
        </w:rPr>
      </w:pPr>
      <w:r>
        <w:rPr>
          <w:rFonts w:ascii="Arial" w:cs="Arial" w:eastAsia="Arial" w:hAnsi="Arial"/>
          <w:sz w:val="17"/>
          <w:szCs w:val="17"/>
          <w:color w:val="auto"/>
        </w:rPr>
        <w:t>121,222</w:t>
      </w:r>
    </w:p>
    <w:p>
      <w:pPr>
        <w:spacing w:after="0" w:line="20" w:lineRule="exact"/>
        <w:rPr>
          <w:rFonts w:ascii="Arial" w:cs="Arial" w:eastAsia="Arial" w:hAnsi="Arial"/>
          <w:sz w:val="17"/>
          <w:szCs w:val="17"/>
          <w:color w:val="auto"/>
        </w:rPr>
      </w:pPr>
    </w:p>
    <w:p>
      <w:pPr>
        <w:ind w:left="548"/>
        <w:spacing w:after="0"/>
        <w:rPr>
          <w:rFonts w:ascii="Arial" w:cs="Arial" w:eastAsia="Arial" w:hAnsi="Arial"/>
          <w:sz w:val="17"/>
          <w:szCs w:val="17"/>
          <w:color w:val="auto"/>
        </w:rPr>
      </w:pPr>
      <w:r>
        <w:rPr>
          <w:rFonts w:ascii="Arial" w:cs="Arial" w:eastAsia="Arial" w:hAnsi="Arial"/>
          <w:sz w:val="16"/>
          <w:szCs w:val="16"/>
          <w:color w:val="auto"/>
        </w:rPr>
        <w:t>(96,077)</w:t>
      </w:r>
    </w:p>
    <w:p>
      <w:pPr>
        <w:spacing w:after="0" w:line="32" w:lineRule="exact"/>
        <w:rPr>
          <w:sz w:val="20"/>
          <w:szCs w:val="20"/>
          <w:color w:val="auto"/>
        </w:rPr>
      </w:pPr>
    </w:p>
    <w:p>
      <w:pPr>
        <w:ind w:left="528" w:hanging="528"/>
        <w:spacing w:after="0"/>
        <w:tabs>
          <w:tab w:leader="none" w:pos="528" w:val="left"/>
        </w:tabs>
        <w:numPr>
          <w:ilvl w:val="0"/>
          <w:numId w:val="12"/>
        </w:numPr>
        <w:rPr>
          <w:rFonts w:ascii="Arial" w:cs="Arial" w:eastAsia="Arial" w:hAnsi="Arial"/>
          <w:sz w:val="17"/>
          <w:szCs w:val="17"/>
          <w:color w:val="auto"/>
        </w:rPr>
      </w:pPr>
      <w:r>
        <w:rPr>
          <w:rFonts w:ascii="Arial" w:cs="Arial" w:eastAsia="Arial" w:hAnsi="Arial"/>
          <w:sz w:val="17"/>
          <w:szCs w:val="17"/>
          <w:color w:val="auto"/>
        </w:rPr>
        <w:t>315,212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372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38735</wp:posOffset>
            </wp:positionV>
            <wp:extent cx="7372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-123190</wp:posOffset>
            </wp:positionV>
            <wp:extent cx="7372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660" w:lineRule="exact"/>
        <w:rPr>
          <w:sz w:val="20"/>
          <w:szCs w:val="20"/>
          <w:color w:val="auto"/>
        </w:rPr>
      </w:pPr>
    </w:p>
    <w:p>
      <w:pPr>
        <w:sectPr>
          <w:pgSz w:w="11900" w:h="16838" w:orient="portrait"/>
          <w:cols w:equalWidth="0" w:num="2">
            <w:col w:w="6272" w:space="720"/>
            <w:col w:w="2047"/>
          </w:cols>
          <w:pgMar w:left="1420" w:top="517" w:right="1440" w:bottom="1440" w:gutter="0" w:footer="0" w:header="0"/>
          <w:type w:val="continuous"/>
        </w:sectPr>
      </w:pPr>
    </w:p>
    <w:p>
      <w:pPr>
        <w:spacing w:after="0" w:line="48" w:lineRule="exact"/>
        <w:rPr>
          <w:sz w:val="20"/>
          <w:szCs w:val="20"/>
          <w:color w:val="auto"/>
        </w:rPr>
      </w:pPr>
    </w:p>
    <w:p>
      <w:pPr>
        <w:ind w:right="39" w:firstLine="648"/>
        <w:spacing w:after="0" w:line="276" w:lineRule="auto"/>
        <w:rPr>
          <w:sz w:val="20"/>
          <w:szCs w:val="20"/>
          <w:color w:val="auto"/>
        </w:rPr>
      </w:pPr>
      <w:r>
        <w:rPr>
          <w:rFonts w:ascii="Arial" w:cs="Arial" w:eastAsia="Arial" w:hAnsi="Arial"/>
          <w:sz w:val="17"/>
          <w:szCs w:val="17"/>
          <w:color w:val="auto"/>
        </w:rPr>
        <w:t>The Company's subscription contracts with its customers have a typical term of one to three years and most subscription contracts are non-cancelable. Customers typically have the right to terminate their contracts for cause as a result of the Company’s failure to perform. As of April 30, 2019, the aggregate amount of the transaction price allocated to remaining performance obligations was $386.0 million. The Company expects to recognize 69% of the transaction price in the 12 months following April 30, 2019, and the remainder to be recognized thereafter.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Costs to Obtain and Fulfill a Contract</w:t>
      </w:r>
    </w:p>
    <w:p>
      <w:pPr>
        <w:spacing w:after="0" w:line="225" w:lineRule="exact"/>
        <w:rPr>
          <w:sz w:val="20"/>
          <w:szCs w:val="20"/>
          <w:color w:val="auto"/>
        </w:rPr>
      </w:pPr>
    </w:p>
    <w:p>
      <w:pPr>
        <w:ind w:right="319" w:firstLine="648"/>
        <w:spacing w:after="0" w:line="259" w:lineRule="auto"/>
        <w:rPr>
          <w:sz w:val="20"/>
          <w:szCs w:val="20"/>
          <w:color w:val="auto"/>
        </w:rPr>
      </w:pPr>
      <w:r>
        <w:rPr>
          <w:rFonts w:ascii="Arial" w:cs="Arial" w:eastAsia="Arial" w:hAnsi="Arial"/>
          <w:sz w:val="18"/>
          <w:szCs w:val="18"/>
          <w:color w:val="auto"/>
        </w:rPr>
        <w:t>The Company capitalizes sales commission and associated payroll taxes paid to internal sales personnel that are incremental to the acquisition of channel partner and direct customer contracts and would not have occurred absent the customer contract. These costs are recorded as deferred contract acquisition costs on the condensed consolidated balance sheet.</w:t>
      </w:r>
    </w:p>
    <w:p>
      <w:pPr>
        <w:spacing w:after="0" w:line="187" w:lineRule="exact"/>
        <w:rPr>
          <w:sz w:val="20"/>
          <w:szCs w:val="20"/>
          <w:color w:val="auto"/>
        </w:rPr>
      </w:pPr>
    </w:p>
    <w:p>
      <w:pPr>
        <w:ind w:right="99" w:firstLine="648"/>
        <w:spacing w:after="0" w:line="286" w:lineRule="auto"/>
        <w:rPr>
          <w:sz w:val="20"/>
          <w:szCs w:val="20"/>
          <w:color w:val="auto"/>
        </w:rPr>
      </w:pPr>
      <w:r>
        <w:rPr>
          <w:rFonts w:ascii="Arial" w:cs="Arial" w:eastAsia="Arial" w:hAnsi="Arial"/>
          <w:sz w:val="16"/>
          <w:szCs w:val="16"/>
          <w:color w:val="auto"/>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channel partners, paid upon the initial acquisition of a contract or subsequent upsell are amortized over an estimated period of benefit of four years while commissions paid for renewal contracts are amortized over the contractual term of the renewals. Sales commissions associated with professional service contracts are amortized ratably over an estimated period of benefit of six months. Amortization of deferred contract acquisition costs is recognized on a straight-line basis commensurate with the pattern of revenue recognition and included in sales and marketing expense in the condensed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impairment losses of deferred contract acquisition costs during the three months ended April 30, 2019.</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of deferred contract acquisition costs: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April 30, 2019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ind w:right="154"/>
              <w:spacing w:after="0"/>
              <w:rPr>
                <w:sz w:val="20"/>
                <w:szCs w:val="20"/>
                <w:color w:val="auto"/>
              </w:rPr>
            </w:pPr>
            <w:r>
              <w:rPr>
                <w:rFonts w:ascii="Arial" w:cs="Arial" w:eastAsia="Arial" w:hAnsi="Arial"/>
                <w:sz w:val="14"/>
                <w:szCs w:val="14"/>
                <w:b w:val="1"/>
                <w:bCs w:val="1"/>
                <w:color w:val="auto"/>
                <w:w w:val="97"/>
              </w:rPr>
              <w:t>(in thousands)</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Balance, February 1, 2019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Capitalization of contract acquisition costs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contract acquisition costs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0" w:type="dxa"/>
            <w:vAlign w:val="bottom"/>
          </w:tcPr>
          <w:p>
            <w:pPr>
              <w:spacing w:after="0"/>
              <w:rPr>
                <w:sz w:val="1"/>
                <w:szCs w:val="1"/>
                <w:color w:val="auto"/>
              </w:rPr>
            </w:pPr>
          </w:p>
        </w:tc>
      </w:tr>
      <w:tr>
        <w:trPr>
          <w:trHeight w:val="250"/>
        </w:trPr>
        <w:tc>
          <w:tcPr>
            <w:tcW w:w="5880" w:type="dxa"/>
            <w:vAlign w:val="bottom"/>
            <w:gridSpan w:val="2"/>
          </w:tcPr>
          <w:p>
            <w:pPr>
              <w:spacing w:after="0"/>
              <w:rPr>
                <w:sz w:val="20"/>
                <w:szCs w:val="20"/>
                <w:color w:val="auto"/>
              </w:rPr>
            </w:pPr>
            <w:r>
              <w:rPr>
                <w:rFonts w:ascii="Arial" w:cs="Arial" w:eastAsia="Arial" w:hAnsi="Arial"/>
                <w:sz w:val="18"/>
                <w:szCs w:val="18"/>
                <w:color w:val="auto"/>
              </w:rPr>
              <w:t>Balance, April 30, 2019</w:t>
            </w:r>
          </w:p>
        </w:tc>
        <w:tc>
          <w:tcPr>
            <w:tcW w:w="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64,197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Deferred contract acquisition costs, current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acquisition costs, noncurrent</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Pr>
          <w:p>
            <w:pPr>
              <w:ind w:left="80"/>
              <w:spacing w:after="0"/>
              <w:rPr>
                <w:sz w:val="20"/>
                <w:szCs w:val="20"/>
                <w:color w:val="auto"/>
              </w:rPr>
            </w:pPr>
            <w:r>
              <w:rPr>
                <w:rFonts w:ascii="Arial" w:cs="Arial" w:eastAsia="Arial" w:hAnsi="Arial"/>
                <w:sz w:val="18"/>
                <w:szCs w:val="18"/>
                <w:color w:val="auto"/>
              </w:rPr>
              <w:t>Total deferred contract acquisition costs</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39"/>
          </w:cols>
          <w:pgMar w:left="1420" w:top="517" w:right="1440" w:bottom="1440" w:gutter="0" w:footer="0" w:header="0"/>
          <w:type w:val="continuous"/>
        </w:sect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right="6259" w:hanging="651"/>
        <w:spacing w:after="0" w:line="601" w:lineRule="auto"/>
        <w:tabs>
          <w:tab w:leader="none" w:pos="317" w:val="left"/>
        </w:tabs>
        <w:numPr>
          <w:ilvl w:val="0"/>
          <w:numId w:val="1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Commitments and Contingencies Lease Commitments</w:t>
      </w:r>
    </w:p>
    <w:p>
      <w:pPr>
        <w:ind w:right="99" w:firstLine="648"/>
        <w:spacing w:after="0" w:line="264" w:lineRule="auto"/>
        <w:rPr>
          <w:sz w:val="20"/>
          <w:szCs w:val="20"/>
          <w:color w:val="auto"/>
        </w:rPr>
      </w:pPr>
      <w:r>
        <w:rPr>
          <w:rFonts w:ascii="Arial" w:cs="Arial" w:eastAsia="Arial" w:hAnsi="Arial"/>
          <w:sz w:val="18"/>
          <w:szCs w:val="18"/>
          <w:color w:val="auto"/>
        </w:rPr>
        <w:t>The Company leases its office space under various non-cancelable operating lease agreements. Leases expire at various dates through fiscal year 2027. The aggregate future minimum payments under noncancelable operating leases as of April 30, 2019 were as follows:</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Fiscal 2020 (remaining nine months)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Fiscal 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Fiscal 2022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Fiscal 2023</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Fiscal 2024</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minimum lease payments</w:t>
            </w:r>
          </w:p>
        </w:tc>
        <w:tc>
          <w:tcPr>
            <w:tcW w:w="1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59" w:firstLine="648"/>
        <w:spacing w:after="0" w:line="277" w:lineRule="auto"/>
        <w:rPr>
          <w:sz w:val="20"/>
          <w:szCs w:val="20"/>
          <w:color w:val="auto"/>
        </w:rPr>
      </w:pPr>
      <w:r>
        <w:rPr>
          <w:rFonts w:ascii="Arial" w:cs="Arial" w:eastAsia="Arial" w:hAnsi="Arial"/>
          <w:sz w:val="18"/>
          <w:szCs w:val="18"/>
          <w:color w:val="auto"/>
        </w:rPr>
        <w:t>Rent expense was $1.8 million and $1.5 million during the three months ended April 30, 2019 and April 30, 2018,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225" w:lineRule="exact"/>
        <w:rPr>
          <w:sz w:val="20"/>
          <w:szCs w:val="20"/>
          <w:color w:val="auto"/>
        </w:rPr>
      </w:pPr>
    </w:p>
    <w:p>
      <w:pPr>
        <w:ind w:right="339" w:firstLine="648"/>
        <w:spacing w:after="0" w:line="312" w:lineRule="auto"/>
        <w:rPr>
          <w:sz w:val="20"/>
          <w:szCs w:val="20"/>
          <w:color w:val="auto"/>
        </w:rPr>
      </w:pPr>
      <w:r>
        <w:rPr>
          <w:rFonts w:ascii="Arial" w:cs="Arial" w:eastAsia="Arial" w:hAnsi="Arial"/>
          <w:sz w:val="16"/>
          <w:szCs w:val="16"/>
          <w:color w:val="auto"/>
        </w:rPr>
        <w:t>The Company enters into long-term non-cancelable agreements with providers to purchase data center capacity, such as bandwidth and colocation space, for the Company’s cloud platform. The Company is committed to spend $207.4 million on such agreements through 2027. These obligations are included in purchase obligations below.</w:t>
      </w:r>
    </w:p>
    <w:p>
      <w:pPr>
        <w:spacing w:after="0" w:line="147" w:lineRule="exact"/>
        <w:rPr>
          <w:sz w:val="20"/>
          <w:szCs w:val="20"/>
          <w:color w:val="auto"/>
        </w:rPr>
      </w:pPr>
    </w:p>
    <w:p>
      <w:pPr>
        <w:ind w:right="19" w:firstLine="648"/>
        <w:spacing w:after="0" w:line="259" w:lineRule="auto"/>
        <w:rPr>
          <w:sz w:val="20"/>
          <w:szCs w:val="20"/>
          <w:color w:val="auto"/>
        </w:rPr>
      </w:pPr>
      <w:r>
        <w:rPr>
          <w:rFonts w:ascii="Arial" w:cs="Arial" w:eastAsia="Arial" w:hAnsi="Arial"/>
          <w:sz w:val="18"/>
          <w:szCs w:val="18"/>
          <w:color w:val="auto"/>
        </w:rPr>
        <w:t>In the normal course of business, the Company enters into non-cancelable purchase commitments with various parties to purchase products and services such as technology, equipment, office renovations, corporate events, and consulting services. A summary of noncancelable purchase obligations as of April 30, 2019 with expected date of payment is as follows:</w:t>
      </w:r>
    </w:p>
    <w:p>
      <w:pPr>
        <w:spacing w:after="0" w:line="18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335"/>
              <w:spacing w:after="0"/>
              <w:rPr>
                <w:sz w:val="20"/>
                <w:szCs w:val="20"/>
                <w:color w:val="auto"/>
              </w:rPr>
            </w:pPr>
            <w:r>
              <w:rPr>
                <w:rFonts w:ascii="Arial" w:cs="Arial" w:eastAsia="Arial" w:hAnsi="Arial"/>
                <w:sz w:val="14"/>
                <w:szCs w:val="14"/>
                <w:b w:val="1"/>
                <w:bCs w:val="1"/>
                <w:color w:val="auto"/>
              </w:rPr>
              <w:t>Total</w:t>
            </w:r>
          </w:p>
        </w:tc>
      </w:tr>
      <w:tr>
        <w:trPr>
          <w:trHeight w:val="171"/>
        </w:trPr>
        <w:tc>
          <w:tcPr>
            <w:tcW w:w="4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4"/>
              </w:rPr>
              <w:t>Commitments</w:t>
            </w:r>
          </w:p>
        </w:tc>
      </w:tr>
      <w:tr>
        <w:trPr>
          <w:trHeight w:val="142"/>
        </w:trPr>
        <w:tc>
          <w:tcPr>
            <w:tcW w:w="4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3"/>
              </w:rPr>
              <w:t>(in thousands)</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Fiscal 2020 (remaining nine months)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45,693</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Fiscal 2021</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72,159</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Fiscal 2022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87,183</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Fiscal 2023</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8,445</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Fiscal 2024</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7,330</w:t>
            </w:r>
          </w:p>
        </w:tc>
      </w:tr>
      <w:tr>
        <w:trPr>
          <w:trHeight w:val="216"/>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w:t>
            </w:r>
          </w:p>
        </w:tc>
      </w:tr>
      <w:tr>
        <w:trPr>
          <w:trHeight w:val="210"/>
        </w:trPr>
        <w:tc>
          <w:tcPr>
            <w:tcW w:w="4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purchase commitments</w:t>
            </w:r>
          </w:p>
        </w:tc>
        <w:tc>
          <w:tcPr>
            <w:tcW w:w="1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222,350</w:t>
            </w:r>
          </w:p>
        </w:tc>
      </w:tr>
      <w:tr>
        <w:trPr>
          <w:trHeight w:val="20"/>
        </w:trPr>
        <w:tc>
          <w:tcPr>
            <w:tcW w:w="4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79" w:firstLine="648"/>
        <w:spacing w:after="0" w:line="264" w:lineRule="auto"/>
        <w:rPr>
          <w:sz w:val="20"/>
          <w:szCs w:val="20"/>
          <w:color w:val="auto"/>
        </w:rPr>
      </w:pPr>
      <w:r>
        <w:rPr>
          <w:rFonts w:ascii="Arial" w:cs="Arial" w:eastAsia="Arial" w:hAnsi="Arial"/>
          <w:sz w:val="18"/>
          <w:szCs w:val="18"/>
          <w:color w:val="auto"/>
        </w:rPr>
        <w:t>As of April 30, 2019 and January 31, 2019, the Company had an unused standby letter of credit for $0.5 million securing its headquarters facility in Sunnyvale, California and an unused standby letter of credit for $0.8 million securing its facility in Austin, Texas.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159" w:firstLine="648"/>
        <w:spacing w:after="0" w:line="308" w:lineRule="auto"/>
        <w:rPr>
          <w:sz w:val="20"/>
          <w:szCs w:val="20"/>
          <w:color w:val="auto"/>
        </w:rPr>
      </w:pPr>
      <w:r>
        <w:rPr>
          <w:rFonts w:ascii="Arial" w:cs="Arial" w:eastAsia="Arial" w:hAnsi="Arial"/>
          <w:sz w:val="17"/>
          <w:szCs w:val="17"/>
          <w:color w:val="auto"/>
        </w:rPr>
        <w:t>The Company is currently involved in proceedings before the Trademark Trial and Appeal Board (“TTAB”) at the U.S. Patent and Trademark Office (“USPTO”) regarding its U.S. trademark registrations for ``CrowdStrike Falcon”</w:t>
      </w:r>
    </w:p>
    <w:p>
      <w:pPr>
        <w:sectPr>
          <w:pgSz w:w="11900" w:h="16838" w:orient="portrait"/>
          <w:cols w:equalWidth="0" w:num="1">
            <w:col w:w="9039"/>
          </w:cols>
          <w:pgMar w:left="1420" w:top="517" w:right="1440" w:bottom="1440" w:gutter="0" w:footer="0" w:header="0"/>
        </w:sect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and its U.S. application to register its ``Falcon OverWatch” trademark. On November 23, 2016, Fair Isaac Corporation (“FICO”) filed a Petition for Cancellation of the Company’s "CrowdStrike Falcon” trademark registrations and a Notice of Opposition against the Company’s "Falcon OverWatch” trademark application before the TTAB. On January 3, 2017, the Company filed answers to both the cancellation and opposition proceedings, and the proceedings thereafter were consolidated. On November 21, 2018, the Company filed a Petition for Partial Cancellation or Amendment of one of FICO’s "Falcon” trademark registrations, and on December 10, 2018, the parties filed a joint request to consolidate the proceedings and adjust the schedule. On January 16, 2019, FICO moved to dismiss the Company’s petition, and the TTAB thereafter suspended all proceedings pending its ruling on the motions. On July 2, 2019, the TTAB issued an order granting the request to consolidate the proceedings, and granting the motion to dismiss with leave to file an amended petition by July 22, 2019. The order also set a schedule with trial proceedings to close no earlier than 2021. The Company is vigorously defending the case, but given the early stage, although a loss may reasonably be possible, the Company is unable to predict the likelihood of success of Fair Isaac’s claims or estimate a loss or range of loss. As a result, no liability has been recorded as of April 30, 2019 or January 31, 2019.</w:t>
      </w:r>
    </w:p>
    <w:p>
      <w:pPr>
        <w:spacing w:after="0" w:line="18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addition, from time to time the Company is a party to various litigation matters and subject to claims that arise in the ordinary course of business. In addition, third parties may from time to time assert claims against the Company in the form of letters and other communications. For any claims for which the Company believes a liability is both probable and reasonably estimable, the Company records a liability in the period for which it makes this determination. There is no pending or threatened legal proceeding to which the Company is a party that, in the Company’s opinion, is likely to have a material adverse effect on its condensed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expense of litigation and the timing of this expense from period to period are difficult to estimate, subject to change and could adversely affect the Company’s results of operations.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Warranties and Indemnification</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Company’s cloud computing services are typically warranted to perform in a manner consistent with general industry standards that are reasonably applicable and materially in accordance with the Company’s online help documentation under normal use and circumstances.</w:t>
      </w:r>
    </w:p>
    <w:p>
      <w:pPr>
        <w:spacing w:after="0" w:line="18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Company’s arrangements generally include certain provisions for indemnifying customers against liabilities if its products or services infringe a third party’s intellectual property rights. In addition, for its Falcon Complete module customers, the Company offers a limited warranty, subject to certain conditions, to cover certain costs incurred by the customer in case of a cybersecurity breach. The Company has entered into an insurance policy to cover its potential liability arising from this limited warranty arrangement. To date, the Company has not incurred any material costs because of such obligations and has not accrued any liabilities related to such obligations in the condensed consolidated financial statements.</w:t>
      </w:r>
    </w:p>
    <w:p>
      <w:pPr>
        <w:spacing w:after="0" w:line="16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Company has also agreed to indemnify its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April 30, 2019 or January 31, 2019.</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Geographic Information</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Company’s long-lived assets are composed of property and equipment, net, and are summarized by geographic area as follows:</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20" w:type="dxa"/>
            <w:vAlign w:val="bottom"/>
            <w:gridSpan w:val="2"/>
          </w:tcPr>
          <w:p>
            <w:pPr>
              <w:jc w:val="right"/>
              <w:ind w:right="37"/>
              <w:spacing w:after="0"/>
              <w:rPr>
                <w:sz w:val="20"/>
                <w:szCs w:val="20"/>
                <w:color w:val="auto"/>
              </w:rPr>
            </w:pPr>
            <w:r>
              <w:rPr>
                <w:rFonts w:ascii="Arial" w:cs="Arial" w:eastAsia="Arial" w:hAnsi="Arial"/>
                <w:sz w:val="14"/>
                <w:szCs w:val="14"/>
                <w:b w:val="1"/>
                <w:bCs w:val="1"/>
                <w:color w:val="auto"/>
              </w:rPr>
              <w:t>April 30,</w:t>
            </w:r>
          </w:p>
        </w:tc>
        <w:tc>
          <w:tcPr>
            <w:tcW w:w="1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January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83,533</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International</w:t>
            </w:r>
          </w:p>
        </w:tc>
        <w:tc>
          <w:tcPr>
            <w:tcW w:w="1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property and equipment, net</w:t>
            </w:r>
          </w:p>
        </w:tc>
        <w:tc>
          <w:tcPr>
            <w:tcW w:w="1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86,349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73,735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Other than the United States, no other country represented 10% or more of our total property and equipment as of April 30, 2019 or January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Related Party Transactions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Subscription and Professional Services Revenue from Related Parties</w:t>
      </w:r>
    </w:p>
    <w:p>
      <w:pPr>
        <w:spacing w:after="0" w:line="225" w:lineRule="exact"/>
        <w:rPr>
          <w:sz w:val="20"/>
          <w:szCs w:val="20"/>
          <w:color w:val="auto"/>
        </w:rPr>
      </w:pPr>
    </w:p>
    <w:p>
      <w:pPr>
        <w:ind w:right="460" w:firstLine="648"/>
        <w:spacing w:after="0" w:line="288" w:lineRule="auto"/>
        <w:rPr>
          <w:sz w:val="20"/>
          <w:szCs w:val="20"/>
          <w:color w:val="auto"/>
        </w:rPr>
      </w:pPr>
      <w:r>
        <w:rPr>
          <w:rFonts w:ascii="Arial" w:cs="Arial" w:eastAsia="Arial" w:hAnsi="Arial"/>
          <w:sz w:val="16"/>
          <w:szCs w:val="16"/>
          <w:color w:val="auto"/>
        </w:rPr>
        <w:t>During the three months ended April 30, 2019 and 2018, certain investors and companies with whom the Company’s Board of Directors are affiliated purchased subscriptions and professional services. The Company recorded revenue from subscriptions and professional services from related parties of $2.3 million and $1.4 million during the</w:t>
      </w:r>
    </w:p>
    <w:p>
      <w:pPr>
        <w:ind w:right="20"/>
        <w:spacing w:after="0" w:line="261" w:lineRule="auto"/>
        <w:rPr>
          <w:sz w:val="20"/>
          <w:szCs w:val="20"/>
          <w:color w:val="auto"/>
        </w:rPr>
      </w:pPr>
      <w:r>
        <w:rPr>
          <w:rFonts w:ascii="Arial" w:cs="Arial" w:eastAsia="Arial" w:hAnsi="Arial"/>
          <w:sz w:val="18"/>
          <w:szCs w:val="18"/>
          <w:color w:val="auto"/>
        </w:rPr>
        <w:t>three months ended April 30, 2019 and April 30, 2018, respectively. Accounts receivable associated with these related parties was $0.3 million and $0.2 million as of April 30, 2019 and January 31, 2019, respectively.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Payable to Related Parties</w:t>
      </w:r>
    </w:p>
    <w:p>
      <w:pPr>
        <w:spacing w:after="0" w:line="225" w:lineRule="exact"/>
        <w:rPr>
          <w:sz w:val="20"/>
          <w:szCs w:val="20"/>
          <w:color w:val="auto"/>
        </w:rPr>
      </w:pPr>
    </w:p>
    <w:p>
      <w:pPr>
        <w:jc w:val="both"/>
        <w:ind w:right="460" w:firstLine="648"/>
        <w:spacing w:after="0" w:line="312" w:lineRule="auto"/>
        <w:rPr>
          <w:sz w:val="20"/>
          <w:szCs w:val="20"/>
          <w:color w:val="auto"/>
        </w:rPr>
      </w:pPr>
      <w:r>
        <w:rPr>
          <w:rFonts w:ascii="Arial" w:cs="Arial" w:eastAsia="Arial" w:hAnsi="Arial"/>
          <w:sz w:val="16"/>
          <w:szCs w:val="16"/>
          <w:color w:val="auto"/>
        </w:rPr>
        <w:t>During the three months ended April 30, 2019 and 2018, the Company purchased goods and services totaling $0.6 million and $0.4 million, respectively, from certain investors and companies with whom its Board of Directors are affiliated. Accounts payable to such vendors was less than $0.1 million as of both April 30, 2019 and January 31,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Net Loss Per Share Attributable to Common Stockholders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8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(25,977)</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20" w:type="dxa"/>
            <w:vAlign w:val="bottom"/>
            <w:vMerge w:val="continue"/>
          </w:tcPr>
          <w:p>
            <w:pPr>
              <w:spacing w:after="0"/>
              <w:rPr>
                <w:sz w:val="17"/>
                <w:szCs w:val="17"/>
                <w:color w:val="auto"/>
              </w:rPr>
            </w:pPr>
          </w:p>
        </w:tc>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Weighted-average shares used in computing net loss per share</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common stockholders, basic and diluted</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47,205</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43,614</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4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Net loss per share attributable to common stockholders, basic and</w:t>
            </w:r>
          </w:p>
        </w:tc>
        <w:tc>
          <w:tcPr>
            <w:tcW w:w="44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4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44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line="20" w:lineRule="exact"/>
              <w:rPr>
                <w:sz w:val="1"/>
                <w:szCs w:val="1"/>
                <w:color w:val="auto"/>
              </w:rPr>
            </w:pPr>
          </w:p>
        </w:tc>
        <w:tc>
          <w:tcPr>
            <w:tcW w:w="4980" w:type="dxa"/>
            <w:vAlign w:val="bottom"/>
            <w:tcBorders>
              <w:top w:val="single" w:sz="8" w:color="CCEEFF"/>
              <w:bottom w:val="single" w:sz="8" w:color="CCEEFF"/>
            </w:tcBorders>
            <w:vMerge w:val="restart"/>
          </w:tcPr>
          <w:p>
            <w:pPr>
              <w:ind w:left="3520"/>
              <w:spacing w:after="0"/>
              <w:rPr>
                <w:sz w:val="20"/>
                <w:szCs w:val="20"/>
                <w:color w:val="auto"/>
              </w:rPr>
            </w:pPr>
            <w:r>
              <w:rPr>
                <w:rFonts w:ascii="Arial" w:cs="Arial" w:eastAsia="Arial" w:hAnsi="Arial"/>
                <w:sz w:val="18"/>
                <w:szCs w:val="18"/>
                <w:color w:val="auto"/>
              </w:rPr>
              <w:t>36</w:t>
            </w: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920" w:type="dxa"/>
            <w:vAlign w:val="bottom"/>
            <w:vMerge w:val="continue"/>
          </w:tcPr>
          <w:p>
            <w:pPr>
              <w:spacing w:after="0"/>
              <w:rPr>
                <w:sz w:val="24"/>
                <w:szCs w:val="24"/>
                <w:color w:val="auto"/>
              </w:rPr>
            </w:pPr>
          </w:p>
        </w:tc>
        <w:tc>
          <w:tcPr>
            <w:tcW w:w="49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Since the Company was in a net loss position for all periods presented, basic net loss per share is the same as diluted net loss per share as the inclusion of all potential common shares outstanding would have been antidilutive. The potential shares of common stock that were excluded from the computation of diluted net loss per share attributable to common stockholders for the periods presented because including them would have been antidilutive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April 30,</w:t>
            </w:r>
          </w:p>
        </w:tc>
        <w:tc>
          <w:tcPr>
            <w:tcW w:w="800" w:type="dxa"/>
            <w:vAlign w:val="bottom"/>
          </w:tcPr>
          <w:p>
            <w:pPr>
              <w:jc w:val="right"/>
              <w:ind w:right="75"/>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1860" w:type="dxa"/>
            <w:vAlign w:val="bottom"/>
            <w:gridSpan w:val="3"/>
          </w:tcPr>
          <w:p>
            <w:pPr>
              <w:jc w:val="right"/>
              <w:ind w:right="41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7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w w:val="96"/>
              </w:rPr>
              <w:t>Shares of common stock issuable upon conversion of redeemable convertible preferred stock</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131,268</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tcPr>
          <w:p>
            <w:pPr>
              <w:spacing w:after="0" w:line="201" w:lineRule="exact"/>
              <w:rPr>
                <w:sz w:val="20"/>
                <w:szCs w:val="20"/>
                <w:color w:val="auto"/>
              </w:rPr>
            </w:pPr>
            <w:r>
              <w:rPr>
                <w:rFonts w:ascii="Arial" w:cs="Arial" w:eastAsia="Arial" w:hAnsi="Arial"/>
                <w:sz w:val="18"/>
                <w:szCs w:val="18"/>
                <w:color w:val="auto"/>
                <w:w w:val="96"/>
              </w:rPr>
              <w:t>Shares of common stock issuable upon conversion of redeemable convertible preferred stock</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820" w:type="dxa"/>
            <w:vAlign w:val="bottom"/>
          </w:tcPr>
          <w:p>
            <w:pPr>
              <w:jc w:val="right"/>
              <w:spacing w:after="0"/>
              <w:rPr>
                <w:sz w:val="20"/>
                <w:szCs w:val="20"/>
                <w:color w:val="auto"/>
              </w:rPr>
            </w:pPr>
            <w:r>
              <w:rPr>
                <w:rFonts w:ascii="Arial" w:cs="Arial" w:eastAsia="Arial" w:hAnsi="Arial"/>
                <w:sz w:val="18"/>
                <w:szCs w:val="18"/>
                <w:color w:val="auto"/>
              </w:rPr>
              <w:t>336</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subject to repurchase from outstanding stock options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Shares of common stock issuable from stock options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26,200</w:t>
            </w:r>
          </w:p>
        </w:tc>
        <w:tc>
          <w:tcPr>
            <w:tcW w:w="2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Potential common shares excluded from diluted net loss per share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158,270</w:t>
            </w: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table above does not include 4,753,005 RSUs outstanding as of April 30, 2019, as these RSUs are subject to a performance-based vesting condition that had not yet been considered probable of being met. No RSUs were outstanding as of April 30,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Subsequent Events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On June 14, 2019, the Company closed its IPO, in which it sold 20,700,000 shares of Class A common stock. The shares were sold at a public offering price of $34.00 per share for net proceeds of $659.1 million, after deducting underwriters’ discounts and commissions and estimated offering expenses of $44.7 million. Immediately prior to the closing of the IPO, all outstanding shares of redeemable convertible preferred stock automatically converted into 131,267,586 shares of Class B common stock on a one-to-one basis. Additionally, in connection with the IPO, all of the Company’s outstanding common stock was reclassified into shares of Class B common stock on a one-for-one basis. Redeemable convertible preferred stock warrants also converted into 336,386 warrants to purchase Class B common stock on a one-to-one basis.</w:t>
      </w:r>
    </w:p>
    <w:p>
      <w:pPr>
        <w:spacing w:after="0" w:line="167"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In connection with the IPO, on June 14, 2019, the Company filed an Amended and Restated Certificate of Incorporation which authorizes the issuance of 2,000,000,000 shares of Class A common stock with a par value of $0.0005 per share, 300,000,000 shares of Class B common stock with a par value of $0.0005 per share, and 100,000,000 shares of undesignated preferred stock with a par value of $0.0005 per share. The rights of the holders of Class A common stock and Class B common stock are identical, except with respect to voting and conversion rights. Each share of Class A common stock is entitled to one vote per share. Each share of Class B common stock is entitled to ten votes per share and is convertible into one share of Class A common stock.</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As of April 30, 2019, there was $4.0 million of deferred offering costs which were classified as other assets on the condensed consolidated balance sheet. Upon the completion of the IPO, these costs were reclassified to stockholders’ deficit as a reduction of the net proceeds received from the IPO.</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RSU Expense</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As of April 30, 2019, the total amount of stock-based compensation expense deferred related to RSUs with a performance-based vesting condition was approximately $13.0 million. Upon the completion of the IPO on June 14, 2019, the performance-based vesting condition was met and the Company recognized all deferred expense related to RSUs as of that date in its condensed consolidated statement of operations.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2019 Equity Incentive Plan</w:t>
      </w:r>
    </w:p>
    <w:p>
      <w:pPr>
        <w:spacing w:after="0" w:line="225" w:lineRule="exact"/>
        <w:rPr>
          <w:sz w:val="20"/>
          <w:szCs w:val="20"/>
          <w:color w:val="auto"/>
        </w:rPr>
      </w:pPr>
    </w:p>
    <w:p>
      <w:pPr>
        <w:ind w:right="19" w:firstLine="648"/>
        <w:spacing w:after="0" w:line="290" w:lineRule="auto"/>
        <w:rPr>
          <w:sz w:val="20"/>
          <w:szCs w:val="20"/>
          <w:color w:val="auto"/>
        </w:rPr>
      </w:pPr>
      <w:r>
        <w:rPr>
          <w:rFonts w:ascii="Arial" w:cs="Arial" w:eastAsia="Arial" w:hAnsi="Arial"/>
          <w:sz w:val="16"/>
          <w:szCs w:val="16"/>
          <w:color w:val="auto"/>
        </w:rPr>
        <w:t>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and restricted stock units. A total of 8,750,000 shares of Class A common stock were initially available for issuance under the 2019 Plan. The Company’s compensation committee administers the 2019 Plan. The number of shares of our common stock available for issuance under the 2019 Plan is subject to an annual increase on the first day of each fiscal year beginning on February 1, 2020, equal to the lesser of: (i) two percent (2%) of outstanding shares of the Company’s capital stock as of the last day of the immediately preceding fiscal year or (ii) such other amount as our board of directors may determine.</w:t>
      </w:r>
    </w:p>
    <w:p>
      <w:pPr>
        <w:spacing w:after="0" w:line="166" w:lineRule="exact"/>
        <w:rPr>
          <w:sz w:val="20"/>
          <w:szCs w:val="20"/>
          <w:color w:val="auto"/>
        </w:rPr>
      </w:pPr>
    </w:p>
    <w:p>
      <w:pPr>
        <w:ind w:right="179" w:firstLine="648"/>
        <w:spacing w:after="0" w:line="279" w:lineRule="auto"/>
        <w:rPr>
          <w:sz w:val="20"/>
          <w:szCs w:val="20"/>
          <w:color w:val="auto"/>
        </w:rPr>
      </w:pPr>
      <w:r>
        <w:rPr>
          <w:rFonts w:ascii="Arial" w:cs="Arial" w:eastAsia="Arial" w:hAnsi="Arial"/>
          <w:sz w:val="17"/>
          <w:szCs w:val="17"/>
          <w:color w:val="auto"/>
        </w:rPr>
        <w:t>The 2011 Plan was terminated on June 10, 2019, which was the business day prior to the effectiveness of the Company's registration statement on Form S-1 used in connection with the Company's IPO, and stock-based awards are no longer granted under the 2011 Plan. Any shares underlying stock options that expire or terminate or are forfeited or repurchased under the 2011 Plan will be automatically transferred to the 2019 Plan.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59" w:firstLine="648"/>
        <w:spacing w:after="0" w:line="271" w:lineRule="auto"/>
        <w:rPr>
          <w:sz w:val="20"/>
          <w:szCs w:val="20"/>
          <w:color w:val="auto"/>
        </w:rPr>
      </w:pPr>
      <w:r>
        <w:rPr>
          <w:rFonts w:ascii="Arial" w:cs="Arial" w:eastAsia="Arial" w:hAnsi="Arial"/>
          <w:sz w:val="17"/>
          <w:szCs w:val="17"/>
          <w:color w:val="auto"/>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 of 3,500,000 shares of Class A common stock were initially reserved for issuance under the ESPP. The Company’s compensation committee administers the ESPP. The number of shares of our common stock available for issuance under the ESPP is subject to an annual increase on the first day of each fiscal year beginning on February 1, 2020, equal to the lesser of: (i) one percent (1%) of outstanding shares of our capital stock as of the last day of the immediately preceding fiscal year or (ii) such other amount as our board of directors may determine.</w:t>
      </w:r>
    </w:p>
    <w:p>
      <w:pPr>
        <w:spacing w:after="0" w:line="179" w:lineRule="exact"/>
        <w:rPr>
          <w:sz w:val="20"/>
          <w:szCs w:val="20"/>
          <w:color w:val="auto"/>
        </w:rPr>
      </w:pPr>
    </w:p>
    <w:p>
      <w:pPr>
        <w:ind w:right="79" w:firstLine="648"/>
        <w:spacing w:after="0" w:line="279" w:lineRule="auto"/>
        <w:rPr>
          <w:sz w:val="20"/>
          <w:szCs w:val="20"/>
          <w:color w:val="auto"/>
        </w:rPr>
      </w:pPr>
      <w:r>
        <w:rPr>
          <w:rFonts w:ascii="Arial" w:cs="Arial" w:eastAsia="Arial" w:hAnsi="Arial"/>
          <w:sz w:val="17"/>
          <w:szCs w:val="17"/>
          <w:color w:val="auto"/>
        </w:rPr>
        <w:t>The ESPP provides for consecutive offering periods that will typically have a duration of approximately 24 months in length and is comprised of four purchase periods of approximately six months in length. The offering periods are scheduled to start on the first trading day on or after June 11 and December 11 of each year. The first offering period commenced on June 11, 2019 and is scheduled to end on the first trading day on or before June 10, 2021.</w:t>
      </w:r>
    </w:p>
    <w:p>
      <w:pPr>
        <w:spacing w:after="0" w:line="171" w:lineRule="exact"/>
        <w:rPr>
          <w:sz w:val="20"/>
          <w:szCs w:val="20"/>
          <w:color w:val="auto"/>
        </w:rPr>
      </w:pPr>
    </w:p>
    <w:p>
      <w:pPr>
        <w:ind w:right="59" w:firstLine="648"/>
        <w:spacing w:after="0" w:line="290" w:lineRule="auto"/>
        <w:rPr>
          <w:sz w:val="20"/>
          <w:szCs w:val="20"/>
          <w:color w:val="auto"/>
        </w:rPr>
      </w:pPr>
      <w:r>
        <w:rPr>
          <w:rFonts w:ascii="Arial" w:cs="Arial" w:eastAsia="Arial" w:hAnsi="Arial"/>
          <w:sz w:val="16"/>
          <w:szCs w:val="16"/>
          <w:color w:val="auto"/>
        </w:rPr>
        <w:t>The ESPP provides eligible employees with an opportunity to purchase shares of the Company’s Class A common stock through payroll deductions of up to 15% of their eligible compensation. A participant may purchase a maximum of 2,500 shares of common stock during a purchase period. Amounts deducted and accumulated by the participant are used to purchase shares of common stock at the end of each six-month purchase period. The purchase price of the shares shall be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in conjunction with the condensed consolidated financial statements and the notes thereto included elsewhere in this Quarterly Report on Form 10-Q.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described under the heading Special Note Regarding Forward-Looking Statements following the Table of Contents of this Quarterly Report on Form 10-Q. You should review the disclosure under ITEM 1A - Risk Factors in this Quarterly Report on Form 10-Q for a discussion of important factors that could cause actual results to differ materially from the results described in or implied by the forward-looking statements contained in the following discussion and analysis. Our fiscal year end is January 31, and our fiscal quarters end on April 30, July 31, October 31, and January 31. Our fiscal years ended January 31, 2017, January 31, 2018, and January 31, 2019 are referred to herein as fiscal 2017, fiscal 2018, and fiscal 2019, respectively.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We founded CrowdStrike in 2011 to reinvent security for the cloud era. When we started the company, cyberattackers had a decided, asymmetric advantage over existing security products. We turned the tables on the adversaries by taking a fundamentally new approach that leverages the network effects of crowdsourced data applied to modern technologies such as AI, cloud computing, and graph databases. Realizing that the nature of cybersecurity problems had changed but the solutions had not, we built our CrowdStrike Falcon platform to detect threats and stop breaches.</w:t>
      </w:r>
    </w:p>
    <w:p>
      <w:pPr>
        <w:spacing w:after="0" w:line="15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believe we are defining a new category called the Security Cloud, with the power to transform the security industry much the same way the cloud has transformed the CRM, HR, and service management industries. With our Falcon platform, we created the first multi-tenant, cloud native, intelligent security solution capable of protecting workloads across on-premise, virtualized, and cloud-based environments running on a variety of endpoints such as desktops, laptops, servers, virtual machines, and IoT devices. Our Falcon platform is composed of two tightly integrated proprietary technologies: our easily deployed intelligent lightweight agent and our cloud-based, dynamic graph database called Threat Graph. Our solution benefits from crowdsourcing and economies of scale, which we believe enables our AI algorithms to be uniquely effective. We call this cloud-scale AI. We initially provided intelligence and incident response services while we developed our Falcon platform. In June 2013, we first began providing EDR capabilities as a single solution. In February 2017, as we executed on our Falcon platform expansion strategy, we began offering these and additional capabilities as separate cloud modules. This strategic move facilitated new customer adoption and allowed us to further expand within our customer base. Today, we offer 10 cloud modules on our Falcon platform via a SaaS subscription-based model that spans multiple large security markets, including endpoint security, security and IT operations (including vulnerability management), and threat intelligence.</w:t>
      </w:r>
    </w:p>
    <w:p>
      <w:pPr>
        <w:spacing w:after="0" w:line="17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On June 14, 2019 we closed our initial public offering, or IPO, in which we issued and sold 20,700,000 shares of Class A common stock. The price per share to the public was $34.00. We received aggregate proceeds of $665.1 million from the IPO, net of underwriters’ discounts and commissions and before deducting estimated offering costs of $6.0 million. Upon the closing of the IPO, all shares of our outstanding preferred stock automatically converted into 131,267,586 shares of Class B common stock. In connection with our IPO, all shares of our common stock outstanding prior to our IPO were automatically converted into shares of Class B common stock. Our condensed consolidated financial statements as of</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April 30, 2019 do not reflect the impact of our IPO.</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Go-To-Market Strategy</w:t>
      </w:r>
    </w:p>
    <w:p>
      <w:pPr>
        <w:spacing w:after="0" w:line="229"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We sell subscriptions to our Falcon platform and cloud modules to organizations across multiple industries. We primarily sell subscriptions to our Falcon platform and cloud modules through our direct sales team that leverages our network of channel partners. Our direct sales team is comprised of field sales and inside sales professionals who are segmented by a customer’s number of endpoints.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We have a low friction land-and-expand sales strategy. When customers deploy our Falcon platform, they can start with any number of cloud modules and we can activate additional cloud modules in real time on the same agent already deployed on the endpoint. This architecture has also allowed us to begin to offer a free trial of our Falcon Prevent module directly from our website or the AWS Marketplace, and we plan to extend this capability to additional modules in the future. Once customers experience the benefits of our Falcon platform, they often expand their adoption over time by adding more endpoints or purchasing additional modules. We also use our sales team to identify current customers who may be interested in free trials of additional cloud modules, which serves as a powerful driver of our land-and-expand model. By segmenting our sales teams, we can deploy a low-touch sales model that efficiently identifies prospective customers.</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began as a solution for large enterprises, but the flexibility and scalability of our Falcon platform has enabled us to offer our solution to customers of any size—from those with hundreds of thousands of endpoints to as few as three. We have expanded our sales focus to include any organization without the need to modify our Falcon platform for small and medium sized businesses.</w:t>
      </w:r>
    </w:p>
    <w:p>
      <w:pPr>
        <w:spacing w:after="0" w:line="18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 substantial majority of our customers purchase subscriptions with a term of one year. Our subscriptions are generally priced on a per-endpoint and per-module basis.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 and cloud modules.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Factors Affecting Our Performance</w:t>
      </w:r>
    </w:p>
    <w:p>
      <w:pPr>
        <w:spacing w:after="0" w:line="22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b w:val="1"/>
          <w:bCs w:val="1"/>
          <w:i w:val="1"/>
          <w:iCs w:val="1"/>
          <w:color w:val="auto"/>
        </w:rPr>
        <w:t xml:space="preserve">Adoption of Our Solutions. </w:t>
      </w:r>
      <w:r>
        <w:rPr>
          <w:rFonts w:ascii="Arial" w:cs="Arial" w:eastAsia="Arial" w:hAnsi="Arial"/>
          <w:sz w:val="17"/>
          <w:szCs w:val="17"/>
          <w:color w:val="auto"/>
        </w:rPr>
        <w:t>We believe our future success depends in large part on the growth in the market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cloud-based SaaS-delivered endpoint security solutions. Many organizations have not yet abandoned the on-premise legacy products in which they have invested substantial personnel and financial resources to design and maintain. As a result, it is difficult to predict customer adoption rates and demand for our cloud-based solutions.</w:t>
      </w:r>
    </w:p>
    <w:p>
      <w:pPr>
        <w:spacing w:after="0" w:line="17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New Customer Acquisition. </w:t>
      </w:r>
      <w:r>
        <w:rPr>
          <w:rFonts w:ascii="Arial" w:cs="Arial" w:eastAsia="Arial" w:hAnsi="Arial"/>
          <w:sz w:val="16"/>
          <w:szCs w:val="16"/>
          <w:color w:val="auto"/>
        </w:rPr>
        <w:t>Our future growth depends in large part on our ability to acquire new customers.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 that our go-to-market strategy and the flexibility and scalability of our Falcon platform have allowed us to rapidly expand our customer base. Our incident response and proactive services have also helped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spacing w:after="0" w:line="165"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b w:val="1"/>
          <w:bCs w:val="1"/>
          <w:i w:val="1"/>
          <w:iCs w:val="1"/>
          <w:color w:val="auto"/>
        </w:rPr>
        <w:t xml:space="preserve">Maintain Customer Retention and Increase Sales. </w:t>
      </w:r>
      <w:r>
        <w:rPr>
          <w:rFonts w:ascii="Arial" w:cs="Arial" w:eastAsia="Arial" w:hAnsi="Arial"/>
          <w:sz w:val="18"/>
          <w:szCs w:val="18"/>
          <w:color w:val="auto"/>
        </w:rPr>
        <w:t>Our ability to increase revenue depends in large part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ability to retain our existing customers and increase the ARR of their subscriptions. We focus on increasing sales to our existing customers by expanding their deployments to more endpoints and selling additional cloud modules for increased functionality In February 2017, we transitioned our platform from a single offering into highly-integrated offerings of multiple SKU cloud modules. We initially launched this strategy with our IT hygiene, next-generation antivirus, EDR, managed threat hunting, and intelligence modules, and added five additional modules between February 2017 and October 2018.</w:t>
      </w:r>
    </w:p>
    <w:p>
      <w:pPr>
        <w:spacing w:after="0" w:line="18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b w:val="1"/>
          <w:bCs w:val="1"/>
          <w:i w:val="1"/>
          <w:iCs w:val="1"/>
          <w:color w:val="auto"/>
        </w:rPr>
        <w:t xml:space="preserve">Invest in Growth. </w:t>
      </w:r>
      <w:r>
        <w:rPr>
          <w:rFonts w:ascii="Arial" w:cs="Arial" w:eastAsia="Arial" w:hAnsi="Arial"/>
          <w:sz w:val="17"/>
          <w:szCs w:val="17"/>
          <w:color w:val="auto"/>
        </w:rPr>
        <w:t>We believe that our market opportunity is large and requires us to continue to invest significantly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sales and marketing efforts to further grow our customer base, both domestically and internationally. Our 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become a public company.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right="519" w:firstLine="648"/>
        <w:spacing w:after="0" w:line="277" w:lineRule="auto"/>
        <w:rPr>
          <w:sz w:val="20"/>
          <w:szCs w:val="20"/>
          <w:color w:val="auto"/>
        </w:rPr>
      </w:pPr>
      <w:r>
        <w:rPr>
          <w:rFonts w:ascii="Arial" w:cs="Arial" w:eastAsia="Arial" w:hAnsi="Arial"/>
          <w:sz w:val="18"/>
          <w:szCs w:val="18"/>
          <w:color w:val="auto"/>
        </w:rPr>
        <w:t>We monitor the following key metrics to help us evaluate our business, identify trends affecting our business, formulate business plans, and make strategic decisions.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Subscription Customers</w:t>
      </w:r>
    </w:p>
    <w:p>
      <w:pPr>
        <w:spacing w:after="0" w:line="225" w:lineRule="exact"/>
        <w:rPr>
          <w:sz w:val="20"/>
          <w:szCs w:val="20"/>
          <w:color w:val="auto"/>
        </w:rPr>
      </w:pPr>
    </w:p>
    <w:p>
      <w:pPr>
        <w:ind w:right="19" w:firstLine="648"/>
        <w:spacing w:after="0" w:line="297" w:lineRule="auto"/>
        <w:rPr>
          <w:sz w:val="20"/>
          <w:szCs w:val="20"/>
          <w:color w:val="auto"/>
        </w:rPr>
      </w:pPr>
      <w:r>
        <w:rPr>
          <w:rFonts w:ascii="Arial" w:cs="Arial" w:eastAsia="Arial" w:hAnsi="Arial"/>
          <w:sz w:val="16"/>
          <w:szCs w:val="16"/>
          <w:color w:val="auto"/>
        </w:rPr>
        <w:t>We define a subscription customer as a separate legal entity that has entered into a distinct subscription agreement for access to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 While initially we focused our sales and marketing efforts on large enterprises, in recent years we have also increased our sales and marketing to small and medium sized businesses.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number of our subscription customers as of the dates presented:</w:t>
      </w: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auto"/>
        </w:rPr>
        <w:t>As of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4238625</wp:posOffset>
            </wp:positionH>
            <wp:positionV relativeFrom="paragraph">
              <wp:posOffset>6350</wp:posOffset>
            </wp:positionV>
            <wp:extent cx="8318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ind w:left="6780"/>
        <w:spacing w:after="0"/>
        <w:tabs>
          <w:tab w:leader="none" w:pos="75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4238625</wp:posOffset>
            </wp:positionH>
            <wp:positionV relativeFrom="paragraph">
              <wp:posOffset>-3175</wp:posOffset>
            </wp:positionV>
            <wp:extent cx="8318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4"/>
          <w:szCs w:val="14"/>
          <w:b w:val="1"/>
          <w:bCs w:val="1"/>
          <w:color w:val="auto"/>
        </w:rPr>
        <w:t>(in thousands)</w:t>
      </w:r>
    </w:p>
    <w:p>
      <w:pPr>
        <w:spacing w:after="0" w:line="21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Subscription customers</w:t>
            </w:r>
          </w:p>
        </w:tc>
        <w:tc>
          <w:tcPr>
            <w:tcW w:w="27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3,059</w:t>
            </w: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1,491</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Year-over-year growth</w:t>
            </w: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105 %</w:t>
            </w:r>
          </w:p>
        </w:tc>
        <w:tc>
          <w:tcPr>
            <w:tcW w:w="720" w:type="dxa"/>
            <w:vAlign w:val="bottom"/>
          </w:tcPr>
          <w:p>
            <w:pPr>
              <w:jc w:val="right"/>
              <w:spacing w:after="0"/>
              <w:rPr>
                <w:sz w:val="20"/>
                <w:szCs w:val="20"/>
                <w:color w:val="auto"/>
              </w:rPr>
            </w:pPr>
            <w:r>
              <w:rPr>
                <w:rFonts w:ascii="Arial" w:cs="Arial" w:eastAsia="Arial" w:hAnsi="Arial"/>
                <w:sz w:val="18"/>
                <w:szCs w:val="18"/>
                <w:color w:val="auto"/>
              </w:rPr>
              <w:t>178 %</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Annual Recurring Revenue (“ARR”)</w:t>
      </w:r>
    </w:p>
    <w:p>
      <w:pPr>
        <w:spacing w:after="0" w:line="225" w:lineRule="exact"/>
        <w:rPr>
          <w:sz w:val="20"/>
          <w:szCs w:val="20"/>
          <w:color w:val="auto"/>
        </w:rPr>
      </w:pPr>
    </w:p>
    <w:p>
      <w:pPr>
        <w:ind w:right="79" w:firstLine="648"/>
        <w:spacing w:after="0" w:line="257" w:lineRule="auto"/>
        <w:rPr>
          <w:sz w:val="20"/>
          <w:szCs w:val="20"/>
          <w:color w:val="auto"/>
        </w:rPr>
      </w:pPr>
      <w:r>
        <w:rPr>
          <w:rFonts w:ascii="Arial" w:cs="Arial" w:eastAsia="Arial" w:hAnsi="Arial"/>
          <w:sz w:val="18"/>
          <w:szCs w:val="18"/>
          <w:color w:val="auto"/>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an organization for a new subscription or renewal, or until such organization notifies us that it is not renewing its subscription.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ARR as of the dates presented:</w:t>
      </w:r>
    </w:p>
    <w:p>
      <w:pPr>
        <w:spacing w:after="0" w:line="230"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As of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6350</wp:posOffset>
            </wp:positionV>
            <wp:extent cx="11664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ind w:left="6400"/>
        <w:spacing w:after="0"/>
        <w:tabs>
          <w:tab w:leader="none" w:pos="74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-3175</wp:posOffset>
            </wp:positionV>
            <wp:extent cx="11664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4"/>
          <w:szCs w:val="14"/>
          <w:b w:val="1"/>
          <w:bCs w:val="1"/>
          <w:color w:val="auto"/>
        </w:rPr>
        <w:t>(in thousands)</w:t>
      </w:r>
    </w:p>
    <w:p>
      <w:pPr>
        <w:spacing w:after="0" w:line="21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Annual recurring revenue</w:t>
            </w:r>
          </w:p>
        </w:tc>
        <w:tc>
          <w:tcPr>
            <w:tcW w:w="2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$ 364,648</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4"/>
              </w:rPr>
              <w:t>$ 170,392</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Year-over-year growth</w:t>
            </w:r>
          </w:p>
        </w:tc>
        <w:tc>
          <w:tcPr>
            <w:tcW w:w="2680" w:type="dxa"/>
            <w:vAlign w:val="bottom"/>
          </w:tcPr>
          <w:p>
            <w:pPr>
              <w:jc w:val="right"/>
              <w:spacing w:after="0"/>
              <w:rPr>
                <w:sz w:val="20"/>
                <w:szCs w:val="20"/>
                <w:color w:val="auto"/>
              </w:rPr>
            </w:pPr>
            <w:r>
              <w:rPr>
                <w:rFonts w:ascii="Arial" w:cs="Arial" w:eastAsia="Arial" w:hAnsi="Arial"/>
                <w:sz w:val="18"/>
                <w:szCs w:val="18"/>
                <w:color w:val="auto"/>
              </w:rPr>
              <w:t>114 %</w:t>
            </w:r>
          </w:p>
        </w:tc>
        <w:tc>
          <w:tcPr>
            <w:tcW w:w="1020" w:type="dxa"/>
            <w:vAlign w:val="bottom"/>
          </w:tcPr>
          <w:p>
            <w:pPr>
              <w:jc w:val="right"/>
              <w:spacing w:after="0"/>
              <w:rPr>
                <w:sz w:val="20"/>
                <w:szCs w:val="20"/>
                <w:color w:val="auto"/>
              </w:rPr>
            </w:pPr>
            <w:r>
              <w:rPr>
                <w:rFonts w:ascii="Arial" w:cs="Arial" w:eastAsia="Arial" w:hAnsi="Arial"/>
                <w:sz w:val="18"/>
                <w:szCs w:val="18"/>
                <w:color w:val="auto"/>
              </w:rPr>
              <w:t>138 %</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Dollar-Based Net Retention Rate</w:t>
      </w:r>
    </w:p>
    <w:p>
      <w:pPr>
        <w:spacing w:after="0" w:line="225" w:lineRule="exact"/>
        <w:rPr>
          <w:sz w:val="20"/>
          <w:szCs w:val="20"/>
          <w:color w:val="auto"/>
        </w:rPr>
      </w:pPr>
    </w:p>
    <w:p>
      <w:pPr>
        <w:ind w:right="39" w:firstLine="648"/>
        <w:spacing w:after="0" w:line="290" w:lineRule="auto"/>
        <w:rPr>
          <w:sz w:val="20"/>
          <w:szCs w:val="20"/>
          <w:color w:val="auto"/>
        </w:rPr>
      </w:pPr>
      <w:r>
        <w:rPr>
          <w:rFonts w:ascii="Arial" w:cs="Arial" w:eastAsia="Arial" w:hAnsi="Arial"/>
          <w:sz w:val="16"/>
          <w:szCs w:val="16"/>
          <w:color w:val="auto"/>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w:t>
      </w:r>
    </w:p>
    <w:p>
      <w:pPr>
        <w:spacing w:after="0" w:line="166" w:lineRule="exact"/>
        <w:rPr>
          <w:sz w:val="20"/>
          <w:szCs w:val="20"/>
          <w:color w:val="auto"/>
        </w:rPr>
      </w:pPr>
    </w:p>
    <w:p>
      <w:pPr>
        <w:ind w:right="359" w:firstLine="648"/>
        <w:spacing w:after="0" w:line="312" w:lineRule="auto"/>
        <w:rPr>
          <w:sz w:val="20"/>
          <w:szCs w:val="20"/>
          <w:color w:val="auto"/>
        </w:rPr>
      </w:pPr>
      <w:r>
        <w:rPr>
          <w:rFonts w:ascii="Arial" w:cs="Arial" w:eastAsia="Arial" w:hAnsi="Arial"/>
          <w:sz w:val="16"/>
          <w:szCs w:val="16"/>
          <w:color w:val="auto"/>
        </w:rPr>
        <w:t>Since January 2016, our dollar-based net retention rate has consistently exceeded 100%, which is primarily attributable to an expansion of endpoints within, and cross-selling additional cloud modules to, our existing subscription customers. Our dollar-based net retention rate can fluctuate from period to period due to large customer contracts in a</w:t>
      </w:r>
    </w:p>
    <w:p>
      <w:pPr>
        <w:sectPr>
          <w:pgSz w:w="11900" w:h="16838" w:orient="portrait"/>
          <w:cols w:equalWidth="0" w:num="1">
            <w:col w:w="9039"/>
          </w:cols>
          <w:pgMar w:left="1420" w:top="517" w:right="1440" w:bottom="1440" w:gutter="0" w:footer="0" w:header="0"/>
        </w:sect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given period, which may reduce our dollar-based net retention rate in subsequent periods if the customer makes a larger upfront purchase and does not continue to increase purchases.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i w:val="1"/>
          <w:iCs w:val="1"/>
          <w:color w:val="auto"/>
        </w:rPr>
        <w:t xml:space="preserve">Subscription Revenue. </w:t>
      </w:r>
      <w:r>
        <w:rPr>
          <w:rFonts w:ascii="Arial" w:cs="Arial" w:eastAsia="Arial" w:hAnsi="Arial"/>
          <w:sz w:val="16"/>
          <w:szCs w:val="16"/>
          <w:color w:val="auto"/>
        </w:rPr>
        <w:t>Subscription revenue primarily consists of subscription fees for our Falcon platform and</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cloud modules that are supported by our cloud-based platform. Subscription revenue is driven primarily by the number of subscription customers, the number of endpoints per customer, and the number of cloud modules included in the subscription. We recognize subscription revenue ratably over the term of the agreement, which is generally one to</w:t>
      </w:r>
    </w:p>
    <w:p>
      <w:pPr>
        <w:spacing w:after="0" w:line="2" w:lineRule="exact"/>
        <w:rPr>
          <w:sz w:val="20"/>
          <w:szCs w:val="20"/>
          <w:color w:val="auto"/>
        </w:rPr>
      </w:pPr>
    </w:p>
    <w:p>
      <w:pPr>
        <w:jc w:val="both"/>
        <w:ind w:right="100"/>
        <w:spacing w:after="0" w:line="295" w:lineRule="auto"/>
        <w:rPr>
          <w:sz w:val="20"/>
          <w:szCs w:val="20"/>
          <w:color w:val="auto"/>
        </w:rPr>
      </w:pPr>
      <w:r>
        <w:rPr>
          <w:rFonts w:ascii="Arial" w:cs="Arial" w:eastAsia="Arial" w:hAnsi="Arial"/>
          <w:sz w:val="16"/>
          <w:szCs w:val="16"/>
          <w:color w:val="auto"/>
        </w:rPr>
        <w:t>three years. Because our subscription customers are generally billed upfront, we have recorded significant deferred revenue. Consequently, a substantial portion of the revenue that we report in each period is attributable to the recognition of deferred revenue relating to subscriptions that we entered into during previous periods. We typically invoice our customers annually in advance, and to a lesser extent quarterly in advance, monthly in advance or multi-year in advance.</w:t>
      </w:r>
    </w:p>
    <w:p>
      <w:pPr>
        <w:spacing w:after="0" w:line="16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Professional Services Revenue. </w:t>
      </w:r>
      <w:r>
        <w:rPr>
          <w:rFonts w:ascii="Arial" w:cs="Arial" w:eastAsia="Arial" w:hAnsi="Arial"/>
          <w:sz w:val="17"/>
          <w:szCs w:val="17"/>
          <w:color w:val="auto"/>
        </w:rPr>
        <w:t>Professional services revenue includes incident response and proactive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forensic and malware analysis, and attribution analysis. Professional services are generally sold separately from 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retainer-based arrangements, revenue is recognized as services are performed. For fixed fee contracts, we recognize revenue by applying the proportional performance method.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Subscription Cost of Revenue. </w:t>
      </w:r>
      <w:r>
        <w:rPr>
          <w:rFonts w:ascii="Arial" w:cs="Arial" w:eastAsia="Arial" w:hAnsi="Arial"/>
          <w:sz w:val="18"/>
          <w:szCs w:val="18"/>
          <w:color w:val="auto"/>
        </w:rPr>
        <w:t>Subscription cost of revenue consists primarily of costs related to hosting our cloud-based Falcon platform in data centers, amortization of our capitalized internal-use software, employee-related costs such as salaries and bonuses, stock-based compensation expense, benefits costs associated with our operations and support personnel, software license fees, property and equipment depreciation, and an allocated portion of facilities and administrative costs.</w:t>
      </w:r>
    </w:p>
    <w:p>
      <w:pPr>
        <w:spacing w:after="0" w:line="188"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 continue to invest additional resources in our cloud platform and our customer support organizations as we grow our business. The level and timing of investment in these areas could affect our cost of revenue in the future.</w:t>
      </w:r>
    </w:p>
    <w:p>
      <w:pPr>
        <w:spacing w:after="0" w:line="158"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i w:val="1"/>
          <w:iCs w:val="1"/>
          <w:color w:val="auto"/>
        </w:rPr>
        <w:t xml:space="preserve">Professional Services Cost of Revenue. </w:t>
      </w:r>
      <w:r>
        <w:rPr>
          <w:rFonts w:ascii="Arial" w:cs="Arial" w:eastAsia="Arial" w:hAnsi="Arial"/>
          <w:sz w:val="16"/>
          <w:szCs w:val="16"/>
          <w:color w:val="auto"/>
        </w:rPr>
        <w:t>Professional services cost of revenue consists primarily of employee-related</w:t>
      </w:r>
      <w:r>
        <w:rPr>
          <w:rFonts w:ascii="Arial" w:cs="Arial" w:eastAsia="Arial" w:hAnsi="Arial"/>
          <w:sz w:val="16"/>
          <w:szCs w:val="16"/>
          <w:i w:val="1"/>
          <w:iCs w:val="1"/>
          <w:color w:val="auto"/>
        </w:rPr>
        <w:t xml:space="preserve"> </w:t>
      </w:r>
      <w:r>
        <w:rPr>
          <w:rFonts w:ascii="Arial" w:cs="Arial" w:eastAsia="Arial" w:hAnsi="Arial"/>
          <w:sz w:val="16"/>
          <w:szCs w:val="16"/>
          <w:color w:val="auto"/>
        </w:rPr>
        <w:t>costs, technology, property and equipment depreciation, and an allocated portion of facilities and administrative costs.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although our gross margin could fluctuate from period to period depending on the interplay of these factors. Demand for our incident response services is driven by the number of breaches experienced by non-customers.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99"/>
        <w:spacing w:after="0" w:line="342" w:lineRule="auto"/>
        <w:rPr>
          <w:sz w:val="20"/>
          <w:szCs w:val="20"/>
          <w:color w:val="auto"/>
        </w:rPr>
      </w:pPr>
      <w:r>
        <w:rPr>
          <w:rFonts w:ascii="Arial" w:cs="Arial" w:eastAsia="Arial" w:hAnsi="Arial"/>
          <w:sz w:val="16"/>
          <w:szCs w:val="16"/>
          <w:color w:val="auto"/>
        </w:rPr>
        <w:t>Also, we view our professional services solutions in the context of our larger business and as a significant lead generator for new subscriptions. Because of these factors, our services revenue and gross margin may fluctuate over time.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79" w:firstLine="648"/>
        <w:spacing w:after="0" w:line="257" w:lineRule="auto"/>
        <w:rPr>
          <w:sz w:val="20"/>
          <w:szCs w:val="20"/>
          <w:color w:val="auto"/>
        </w:rPr>
      </w:pPr>
      <w:r>
        <w:rPr>
          <w:rFonts w:ascii="Arial" w:cs="Arial" w:eastAsia="Arial" w:hAnsi="Arial"/>
          <w:sz w:val="18"/>
          <w:szCs w:val="18"/>
          <w:color w:val="auto"/>
        </w:rPr>
        <w:t>Our operating expenses consist of sales and marketing, research and development and general administrative expenses. For each of these categories of expense, employee-related expenses are the most significant component, which include salaries, employee benefit costs, bonuses, sales commissions, travel and entertainment related expenses, and stock-based compensation expense. Operating expenses also include an allocated portion of overhead costs for facilities, IT, and depreciation expense.</w:t>
      </w:r>
    </w:p>
    <w:p>
      <w:pPr>
        <w:spacing w:after="0" w:line="188" w:lineRule="exact"/>
        <w:rPr>
          <w:sz w:val="20"/>
          <w:szCs w:val="20"/>
          <w:color w:val="auto"/>
        </w:rPr>
      </w:pPr>
    </w:p>
    <w:p>
      <w:pPr>
        <w:ind w:right="19" w:firstLine="648"/>
        <w:spacing w:after="0" w:line="270"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primarily consist of employee-related expenses such as salaries</w:t>
      </w:r>
      <w:r>
        <w:rPr>
          <w:rFonts w:ascii="Arial" w:cs="Arial" w:eastAsia="Arial" w:hAnsi="Arial"/>
          <w:sz w:val="17"/>
          <w:szCs w:val="17"/>
          <w:i w:val="1"/>
          <w:iCs w:val="1"/>
          <w:color w:val="auto"/>
        </w:rPr>
        <w:t xml:space="preserve"> </w:t>
      </w:r>
      <w:r>
        <w:rPr>
          <w:rFonts w:ascii="Arial" w:cs="Arial" w:eastAsia="Arial" w:hAnsi="Arial"/>
          <w:sz w:val="17"/>
          <w:szCs w:val="17"/>
          <w:color w:val="auto"/>
        </w:rPr>
        <w:t>and bonuses. Sales and marketing expenses also include stock-based compensation, expenses related to our Fal.con customer conference and other marketing events and an allocated portion of facilities and administrative expenses, and cloud hosting and related services costs related to proof of value efforts. Incremental expenses to obtain a subscription contract, such as sales commissions, are capitalized and amortized over the term of the subscription. Prior to February 1, 2019, we amortized sales commissions on a straight-line basis to sales and marketing expense over the term of the subscription. On February 1, 2019, we adopted ASC 606, and began amortizing sales commissions and any other incremental expenses to obtain a subscription and upsells to existing customers that are paid upon the initial acquisition of a subscription to sales and marketing expense over the estimated customer life, and amortizing any such expenses paid for the renewal of a subscription to sales and marketing expense over the term of the renewal.</w:t>
      </w:r>
    </w:p>
    <w:p>
      <w:pPr>
        <w:spacing w:after="0" w:line="178" w:lineRule="exact"/>
        <w:rPr>
          <w:sz w:val="20"/>
          <w:szCs w:val="20"/>
          <w:color w:val="auto"/>
        </w:rPr>
      </w:pPr>
    </w:p>
    <w:p>
      <w:pPr>
        <w:ind w:right="19" w:firstLine="648"/>
        <w:spacing w:after="0" w:line="264" w:lineRule="auto"/>
        <w:rPr>
          <w:sz w:val="20"/>
          <w:szCs w:val="20"/>
          <w:color w:val="auto"/>
        </w:rPr>
      </w:pPr>
      <w:r>
        <w:rPr>
          <w:rFonts w:ascii="Arial" w:cs="Arial" w:eastAsia="Arial" w:hAnsi="Arial"/>
          <w:sz w:val="18"/>
          <w:szCs w:val="18"/>
          <w:color w:val="auto"/>
        </w:rPr>
        <w:t>We expect sales and marketing expenses to increase in dollar amount as we continue to make significant investments in our sales and marketing organization to drive additional revenue, further penetrate the market, and expand our global customer base.</w:t>
      </w:r>
    </w:p>
    <w:p>
      <w:pPr>
        <w:spacing w:after="0" w:line="181" w:lineRule="exact"/>
        <w:rPr>
          <w:sz w:val="20"/>
          <w:szCs w:val="20"/>
          <w:color w:val="auto"/>
        </w:rPr>
      </w:pPr>
    </w:p>
    <w:p>
      <w:pPr>
        <w:ind w:right="39" w:firstLine="648"/>
        <w:spacing w:after="0" w:line="276"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primarily consist of employee-related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such as salaries and bonuses, stock-based compensation, consulting expenses related to the design, development, testing, and enhancements of our subscription services,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spacing w:after="0" w:line="173" w:lineRule="exact"/>
        <w:rPr>
          <w:sz w:val="20"/>
          <w:szCs w:val="20"/>
          <w:color w:val="auto"/>
        </w:rPr>
      </w:pPr>
    </w:p>
    <w:p>
      <w:pPr>
        <w:ind w:right="119" w:firstLine="648"/>
        <w:spacing w:after="0" w:line="302" w:lineRule="auto"/>
        <w:rPr>
          <w:sz w:val="20"/>
          <w:szCs w:val="20"/>
          <w:color w:val="auto"/>
        </w:rPr>
      </w:pPr>
      <w:r>
        <w:rPr>
          <w:rFonts w:ascii="Arial" w:cs="Arial" w:eastAsia="Arial" w:hAnsi="Arial"/>
          <w:sz w:val="16"/>
          <w:szCs w:val="16"/>
          <w:color w:val="auto"/>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although our research and development expenses may fluctuate as a percentage of our total revenue from period-to-period depending on the timing of these expenses.</w:t>
      </w:r>
    </w:p>
    <w:p>
      <w:pPr>
        <w:spacing w:after="0" w:line="154" w:lineRule="exact"/>
        <w:rPr>
          <w:sz w:val="20"/>
          <w:szCs w:val="20"/>
          <w:color w:val="auto"/>
        </w:rPr>
      </w:pPr>
    </w:p>
    <w:p>
      <w:pPr>
        <w:ind w:right="19" w:firstLine="648"/>
        <w:spacing w:after="0" w:line="293"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consist of employee-related expenses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salaries and bonuses, stock-based compensation, and related expenses for our executive, finance, human resources, and legal organizations. In addition, general and administrative expenses include outside legal, accounting, and other professional fees, and an allocated portion of facilities and administrative expenses. We expect to incur additional expenses as a result of operating as a public company. As a result, we expect our general and administrative expenses to increase in dollar amount. However, we anticipate general and administrative expenses to decrease as a percentage of our total revenue over time.</w:t>
      </w:r>
    </w:p>
    <w:p>
      <w:pPr>
        <w:spacing w:after="0" w:line="165" w:lineRule="exact"/>
        <w:rPr>
          <w:sz w:val="20"/>
          <w:szCs w:val="20"/>
          <w:color w:val="auto"/>
        </w:rPr>
      </w:pPr>
    </w:p>
    <w:p>
      <w:pPr>
        <w:ind w:right="139" w:firstLine="648"/>
        <w:spacing w:after="0" w:line="289" w:lineRule="auto"/>
        <w:rPr>
          <w:sz w:val="20"/>
          <w:szCs w:val="20"/>
          <w:color w:val="auto"/>
        </w:rPr>
      </w:pPr>
      <w:r>
        <w:rPr>
          <w:rFonts w:ascii="Arial" w:cs="Arial" w:eastAsia="Arial" w:hAnsi="Arial"/>
          <w:sz w:val="16"/>
          <w:szCs w:val="16"/>
          <w:color w:val="auto"/>
        </w:rPr>
        <w:t>Since September 2018 we granted RSUs that include a service-based vesting condition and a performance-based vesting condition. The service-based vesting condition is generally satisfied based on one of three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beginning on December 20, 2018, subject to continued service, or (iii) vesting in eight equal quarterly installments beginning on December 20, 2022, subject to continued service. The performance-based vesting condition is satisfied on the earlier of (i) a change in control, in which the consideration paid to holders of shares is either cash, publicly traded securities, or a combination thereof, or (ii) the first Company vest date to occur</w:t>
      </w:r>
    </w:p>
    <w:p>
      <w:pPr>
        <w:sectPr>
          <w:pgSz w:w="11900" w:h="16838" w:orient="portrait"/>
          <w:cols w:equalWidth="0" w:num="1">
            <w:col w:w="9039"/>
          </w:cols>
          <w:pgMar w:left="1420" w:top="517" w:right="1440" w:bottom="1440" w:gutter="0" w:footer="0" w:header="0"/>
        </w:sect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9"/>
        <w:spacing w:after="0" w:line="270" w:lineRule="auto"/>
        <w:rPr>
          <w:sz w:val="20"/>
          <w:szCs w:val="20"/>
          <w:color w:val="auto"/>
        </w:rPr>
      </w:pPr>
      <w:r>
        <w:rPr>
          <w:rFonts w:ascii="Arial" w:cs="Arial" w:eastAsia="Arial" w:hAnsi="Arial"/>
          <w:sz w:val="17"/>
          <w:szCs w:val="17"/>
          <w:color w:val="auto"/>
        </w:rPr>
        <w:t>following the expiration of the lock-up period upon an IPO, subject to continued service through such change in control or lock-up expiration, as applicable. None of the RSUs vest unless the performance-based vesting condition is satisfied. The performance-based vesting condition was not deemed probable of occurring as of April 30, 2019, and thus no stock-based compensation relating to these RSUs was recognized. In the quarter in which the performance-based vesting condition becomes probable, we will begin recording stock-based compensation expense using the accelerated attribution method based on the grant date fair value of the RSUs and will recognize all deferred expense related to RSUs as of that date in our condensed consolidated statement of operations. As of April 30, 2019, the total amount of stock-based compensation expense deferred related to this performance-based vesting condition was approximately $13.0 million. Upon the completion of the IPO on June 14, 2019, the performance-based vesting condition was met.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right="39" w:firstLine="648"/>
        <w:spacing w:after="0" w:line="264" w:lineRule="auto"/>
        <w:rPr>
          <w:sz w:val="20"/>
          <w:szCs w:val="20"/>
          <w:color w:val="auto"/>
        </w:rPr>
      </w:pPr>
      <w:r>
        <w:rPr>
          <w:rFonts w:ascii="Arial" w:cs="Arial" w:eastAsia="Arial" w:hAnsi="Arial"/>
          <w:sz w:val="18"/>
          <w:szCs w:val="18"/>
          <w:color w:val="auto"/>
        </w:rPr>
        <w:t>Other income (expense), net consists primarily of income earned on our cash equivalents, expense related to the fair value of warrants for our redeemable convertible preferred stock, interest expense on our bank facility, and foreign currency transaction gains and losses.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right="139" w:firstLine="648"/>
        <w:spacing w:after="0" w:line="259" w:lineRule="auto"/>
        <w:rPr>
          <w:sz w:val="20"/>
          <w:szCs w:val="20"/>
          <w:color w:val="auto"/>
        </w:rPr>
      </w:pPr>
      <w:r>
        <w:rPr>
          <w:rFonts w:ascii="Arial" w:cs="Arial" w:eastAsia="Arial" w:hAnsi="Arial"/>
          <w:sz w:val="18"/>
          <w:szCs w:val="18"/>
          <w:color w:val="auto"/>
        </w:rPr>
        <w:t>Provision for income taxes consists primarily of income taxes in certain foreign jurisdictions in which we conduct business, as well as state income taxes in the United States. We have not recorded any U.S. federal income tax expense. We maintain a full valuation allowance on our federal and state deferred tax assets as we have concluded that it is more likely than not that those deferred assets will not be utilized.</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following tables set forth our condensed consolidated statements of operations in dollar amounts and as a percentage of total revenue for each period presented: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Three Months Ended April 30, 2019 and 2018</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our results of operations for the three months ended April 30, 2019 as compared to the three months ended April 30,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5"/>
              </w:rPr>
              <w:t>Three Months Ended April 30,</w:t>
            </w:r>
          </w:p>
        </w:tc>
        <w:tc>
          <w:tcPr>
            <w:tcW w:w="160" w:type="dxa"/>
            <w:vAlign w:val="bottom"/>
          </w:tcPr>
          <w:p>
            <w:pPr>
              <w:spacing w:after="0"/>
              <w:rPr>
                <w:sz w:val="14"/>
                <w:szCs w:val="14"/>
                <w:color w:val="auto"/>
              </w:rPr>
            </w:pPr>
          </w:p>
        </w:tc>
        <w:tc>
          <w:tcPr>
            <w:tcW w:w="840" w:type="dxa"/>
            <w:vAlign w:val="bottom"/>
            <w:gridSpan w:val="3"/>
          </w:tcPr>
          <w:p>
            <w:pPr>
              <w:ind w:left="100"/>
              <w:spacing w:after="0"/>
              <w:rPr>
                <w:sz w:val="20"/>
                <w:szCs w:val="20"/>
                <w:color w:val="auto"/>
              </w:rPr>
            </w:pPr>
            <w:r>
              <w:rPr>
                <w:rFonts w:ascii="Arial" w:cs="Arial" w:eastAsia="Arial" w:hAnsi="Arial"/>
                <w:sz w:val="14"/>
                <w:szCs w:val="14"/>
                <w:b w:val="1"/>
                <w:bCs w:val="1"/>
                <w:color w:val="auto"/>
              </w:rPr>
              <w:t>Change</w:t>
            </w: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760" w:type="dxa"/>
            <w:vAlign w:val="bottom"/>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5"/>
          </w:tcPr>
          <w:p>
            <w:pPr>
              <w:jc w:val="right"/>
              <w:ind w:right="52"/>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Subscription</w:t>
            </w:r>
          </w:p>
        </w:tc>
        <w:tc>
          <w:tcPr>
            <w:tcW w:w="5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85,990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39,758</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$ 46,232</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Professional services</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10,087</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7,531</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2,556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revenue</w:t>
            </w:r>
          </w:p>
        </w:tc>
        <w:tc>
          <w:tcPr>
            <w:tcW w:w="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96,077</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47,289</w:t>
            </w:r>
          </w:p>
        </w:tc>
        <w:tc>
          <w:tcPr>
            <w:tcW w:w="86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48,788</w:t>
            </w: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Subscription</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15,171</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8,520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Professional services</w:t>
            </w:r>
          </w:p>
        </w:tc>
        <w:tc>
          <w:tcPr>
            <w:tcW w:w="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5,582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4,223</w:t>
            </w:r>
          </w:p>
        </w:tc>
        <w:tc>
          <w:tcPr>
            <w:tcW w:w="86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1,359</w:t>
            </w: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cost of revenue (1)</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29,273</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19,394</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9,879</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27,895</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38,909</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Sales and marketing (1)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56,843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36,617</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20,226</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Research and development (1)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17,615</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6,260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General and administrative (1)</w:t>
            </w:r>
          </w:p>
        </w:tc>
        <w:tc>
          <w:tcPr>
            <w:tcW w:w="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11,861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6,777</w:t>
            </w:r>
          </w:p>
        </w:tc>
        <w:tc>
          <w:tcPr>
            <w:tcW w:w="86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5,084</w:t>
            </w: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92,579</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61,009</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31,570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(33,114)</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7,339</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90"/>
              </w:rPr>
              <w:t>(192)</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expense, net</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(190)</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(25,382)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(33,496)</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8,114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Provision for income taxes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(121)</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392 %</w:t>
            </w: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18"/>
                <w:szCs w:val="18"/>
                <w:color w:val="auto"/>
              </w:rPr>
            </w:pPr>
          </w:p>
        </w:tc>
        <w:tc>
          <w:tcPr>
            <w:tcW w:w="4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(25,977)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(33,617)</w:t>
            </w:r>
          </w:p>
        </w:tc>
        <w:tc>
          <w:tcPr>
            <w:tcW w:w="860" w:type="dxa"/>
            <w:vAlign w:val="bottom"/>
            <w:tcBorders>
              <w:top w:val="single" w:sz="8" w:color="CCEEFF"/>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7,640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gridSpan w:val="2"/>
            <w:vMerge w:val="restart"/>
          </w:tcPr>
          <w:p>
            <w:pPr>
              <w:ind w:left="640"/>
              <w:spacing w:after="0"/>
              <w:rPr>
                <w:sz w:val="20"/>
                <w:szCs w:val="20"/>
                <w:color w:val="auto"/>
              </w:rPr>
            </w:pPr>
            <w:r>
              <w:rPr>
                <w:rFonts w:ascii="Arial" w:cs="Arial" w:eastAsia="Arial" w:hAnsi="Arial"/>
                <w:sz w:val="18"/>
                <w:szCs w:val="18"/>
                <w:color w:val="auto"/>
                <w:w w:val="97"/>
              </w:rPr>
              <w:t>Includes stock-based compensation expense as follows:</w:t>
            </w: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04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20" w:type="dxa"/>
            <w:vAlign w:val="bottom"/>
            <w:gridSpan w:val="11"/>
          </w:tcPr>
          <w:p>
            <w:pPr>
              <w:ind w:left="20"/>
              <w:spacing w:after="0"/>
              <w:rPr>
                <w:sz w:val="20"/>
                <w:szCs w:val="20"/>
                <w:color w:val="auto"/>
              </w:rPr>
            </w:pPr>
            <w:r>
              <w:rPr>
                <w:rFonts w:ascii="Arial" w:cs="Arial" w:eastAsia="Arial" w:hAnsi="Arial"/>
                <w:sz w:val="14"/>
                <w:szCs w:val="14"/>
                <w:b w:val="1"/>
                <w:bCs w:val="1"/>
                <w:color w:val="auto"/>
              </w:rPr>
              <w:t>Three Months Ended April 30,</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3"/>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228"/>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6"/>
          </w:tcPr>
          <w:p>
            <w:pPr>
              <w:jc w:val="right"/>
              <w:ind w:right="488"/>
              <w:spacing w:after="0"/>
              <w:rPr>
                <w:sz w:val="20"/>
                <w:szCs w:val="20"/>
                <w:color w:val="auto"/>
              </w:rPr>
            </w:pPr>
            <w:r>
              <w:rPr>
                <w:rFonts w:ascii="Arial" w:cs="Arial" w:eastAsia="Arial" w:hAnsi="Arial"/>
                <w:sz w:val="14"/>
                <w:szCs w:val="14"/>
                <w:b w:val="1"/>
                <w:bCs w:val="1"/>
                <w:color w:val="auto"/>
                <w:w w:val="93"/>
              </w:rPr>
              <w:t>(in thousands)</w:t>
            </w:r>
          </w:p>
        </w:tc>
        <w:tc>
          <w:tcPr>
            <w:tcW w:w="240" w:type="dxa"/>
            <w:vAlign w:val="bottom"/>
            <w:gridSpan w:val="2"/>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00" w:type="dxa"/>
            <w:vAlign w:val="bottom"/>
            <w:vMerge w:val="restart"/>
          </w:tcPr>
          <w:p>
            <w:pPr>
              <w:spacing w:after="0"/>
              <w:rPr>
                <w:sz w:val="15"/>
                <w:szCs w:val="15"/>
                <w:color w:val="auto"/>
              </w:rPr>
            </w:pPr>
          </w:p>
        </w:tc>
        <w:tc>
          <w:tcPr>
            <w:tcW w:w="4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368</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Sales and marketing</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1,518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681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1,185</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stock-based compensation expense</w:t>
            </w: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The following table presents the components of our condensed consolidated statements of operations as</w:t>
      </w:r>
    </w:p>
    <w:p>
      <w:pPr>
        <w:spacing w:after="0" w:line="23"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a percentage of total revenue for the three months ended April 30, 2019 as compared to the three months ended April 30, 2018: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Three Months Ended April 30,</w:t>
            </w:r>
          </w:p>
        </w:tc>
        <w:tc>
          <w:tcPr>
            <w:tcW w:w="140" w:type="dxa"/>
            <w:vAlign w:val="bottom"/>
          </w:tcPr>
          <w:p>
            <w:pPr>
              <w:spacing w:after="0"/>
              <w:rPr>
                <w:sz w:val="14"/>
                <w:szCs w:val="14"/>
                <w:color w:val="auto"/>
              </w:rPr>
            </w:pPr>
          </w:p>
        </w:tc>
        <w:tc>
          <w:tcPr>
            <w:tcW w:w="216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6"/>
              </w:rPr>
              <w:t>Three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1080" w:type="dxa"/>
            <w:vAlign w:val="bottom"/>
            <w:tcBorders>
              <w:top w:val="single" w:sz="8" w:color="auto"/>
              <w:bottom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960" w:type="dxa"/>
            <w:vAlign w:val="bottom"/>
            <w:gridSpan w:val="3"/>
          </w:tcPr>
          <w:p>
            <w:pPr>
              <w:jc w:val="right"/>
              <w:ind w:right="47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88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88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00"/>
              <w:spacing w:after="0"/>
              <w:rPr>
                <w:sz w:val="20"/>
                <w:szCs w:val="20"/>
                <w:color w:val="auto"/>
              </w:rPr>
            </w:pPr>
            <w:r>
              <w:rPr>
                <w:rFonts w:ascii="Arial" w:cs="Arial" w:eastAsia="Arial" w:hAnsi="Arial"/>
                <w:sz w:val="18"/>
                <w:szCs w:val="18"/>
                <w:color w:val="auto"/>
              </w:rPr>
              <w:t>Subscription</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85,990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39,758</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90 %</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Professional services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7,531</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10 %</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revenue</w:t>
            </w:r>
          </w:p>
        </w:tc>
        <w:tc>
          <w:tcPr>
            <w:tcW w:w="10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96,077</w:t>
            </w:r>
          </w:p>
        </w:tc>
        <w:tc>
          <w:tcPr>
            <w:tcW w:w="2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47,289</w:t>
            </w:r>
          </w:p>
        </w:tc>
        <w:tc>
          <w:tcPr>
            <w:tcW w:w="126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100 %</w:t>
            </w:r>
          </w:p>
        </w:tc>
        <w:tc>
          <w:tcPr>
            <w:tcW w:w="10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Cost of revenue</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Subscription</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23,691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15,171</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25 %</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00"/>
              <w:spacing w:after="0"/>
              <w:rPr>
                <w:sz w:val="20"/>
                <w:szCs w:val="20"/>
                <w:color w:val="auto"/>
              </w:rPr>
            </w:pPr>
            <w:r>
              <w:rPr>
                <w:rFonts w:ascii="Arial" w:cs="Arial" w:eastAsia="Arial" w:hAnsi="Arial"/>
                <w:sz w:val="18"/>
                <w:szCs w:val="18"/>
                <w:color w:val="auto"/>
              </w:rPr>
              <w:t>Professional services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5,582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4,223</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6 %</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cost of revenue</w:t>
            </w:r>
          </w:p>
        </w:tc>
        <w:tc>
          <w:tcPr>
            <w:tcW w:w="10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29,273</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19,394</w:t>
            </w:r>
          </w:p>
        </w:tc>
        <w:tc>
          <w:tcPr>
            <w:tcW w:w="1260" w:type="dxa"/>
            <w:vAlign w:val="bottom"/>
            <w:tcBorders>
              <w:top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30 %</w:t>
            </w:r>
          </w:p>
        </w:tc>
        <w:tc>
          <w:tcPr>
            <w:tcW w:w="104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66,804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27,895</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70 %</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00"/>
              <w:spacing w:after="0"/>
              <w:rPr>
                <w:sz w:val="20"/>
                <w:szCs w:val="20"/>
                <w:color w:val="auto"/>
              </w:rPr>
            </w:pPr>
            <w:r>
              <w:rPr>
                <w:rFonts w:ascii="Arial" w:cs="Arial" w:eastAsia="Arial" w:hAnsi="Arial"/>
                <w:sz w:val="18"/>
                <w:szCs w:val="18"/>
                <w:color w:val="auto"/>
              </w:rPr>
              <w:t>Sales and marketing</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56,843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36,617</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59 %</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Research and development</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23,875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17,615</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25 %</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11,861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6,777</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12 %</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92,579</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61,009</w:t>
            </w:r>
          </w:p>
        </w:tc>
        <w:tc>
          <w:tcPr>
            <w:tcW w:w="1260" w:type="dxa"/>
            <w:vAlign w:val="bottom"/>
            <w:tcBorders>
              <w:top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96 %</w:t>
            </w:r>
          </w:p>
        </w:tc>
        <w:tc>
          <w:tcPr>
            <w:tcW w:w="104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(25,775)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(33,114)</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0 %</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expense, net</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0 %</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(25,382)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(33,496)</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Provision for income taxes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(25,977)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(33,617)</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is a breakdown of total revenue from subscriptions and professional services for the three months ended April 30, 2019 as compared to the three months ended April 30,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Three Months Ended April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72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Subscription</w:t>
            </w:r>
          </w:p>
        </w:tc>
        <w:tc>
          <w:tcPr>
            <w:tcW w:w="19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85,990</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46,232</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Professional services</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10,087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2,556</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17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96,077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48,788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Total revenue increased from $47.3 million for the three months ended April 30, 2018, to $96.1 million for the three months ended April 30, 2019. Subscription revenue accounted for 84% of our total revenue for the three months ended April 30, 2018, and 90% for the three months ended April 30, 2019. Professional services revenue accounted for 16% of our total revenue for the three months ended April 30, 2018, and 10% for the three months ended April 30, 2019.</w:t>
      </w:r>
    </w:p>
    <w:p>
      <w:pPr>
        <w:sectPr>
          <w:pgSz w:w="11900" w:h="16838" w:orient="portrait"/>
          <w:cols w:equalWidth="0" w:num="1">
            <w:col w:w="9060"/>
          </w:cols>
          <w:pgMar w:left="1420" w:top="517" w:right="141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The growth in subscription revenue from $39.8 million for the three months ended April 30, 2018 to $86.0 million for the three months ended April 30, 2019, a 116% increase, was primarily attributable to the addition of new subscription customers, as we increased our customer base by 105% from 1,491 subscription customers as of April 30, 2018 to 3,059 subscription customers as of April 30, 2019. Subscription revenue from new customers, subscription revenue from the renewal of existing customers, and subscription revenue from the sale of additional endpoints and additional modules to existing customers accounted for 62%, 22%, and 16% of total subscription revenue for the three months ended April 30, 2018, respectively. Subscription revenue from new customers, subscription revenue from the renewal of existing customers, and subscription revenue from the sale of additional endpoints and additional modules to existing customers accounted for 43%, 31%, and 26% of total subscription revenue for the three months ended April 30, 2019, respectively.</w:t>
      </w:r>
    </w:p>
    <w:p>
      <w:pPr>
        <w:spacing w:after="0" w:line="167"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Professional services revenue grew from $7.5 million for the three months ended April 30, 2018, to $10.1 million for the three months ended April 30, 2019, a 34% increase, and was primarily attributable to an increase in the number of professional service hours performed.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25" w:lineRule="exact"/>
        <w:rPr>
          <w:sz w:val="20"/>
          <w:szCs w:val="20"/>
          <w:color w:val="auto"/>
        </w:rPr>
      </w:pPr>
    </w:p>
    <w:p>
      <w:pPr>
        <w:ind w:right="820" w:firstLine="648"/>
        <w:spacing w:after="0" w:line="308" w:lineRule="auto"/>
        <w:rPr>
          <w:sz w:val="20"/>
          <w:szCs w:val="20"/>
          <w:color w:val="auto"/>
        </w:rPr>
      </w:pPr>
      <w:r>
        <w:rPr>
          <w:rFonts w:ascii="Arial" w:cs="Arial" w:eastAsia="Arial" w:hAnsi="Arial"/>
          <w:sz w:val="17"/>
          <w:szCs w:val="17"/>
          <w:color w:val="auto"/>
        </w:rPr>
        <w:t>The following is a breakdown of cost of revenue related to subscriptions and professional services for the three months ended April 30, 2019 as compared to the three months ended April 30,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9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Three Months Ended April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72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Subscription</w:t>
            </w:r>
          </w:p>
        </w:tc>
        <w:tc>
          <w:tcPr>
            <w:tcW w:w="18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23,691</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7"/>
              </w:rPr>
              <w:t>8,520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Professional services</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ind w:left="260"/>
              <w:spacing w:after="0"/>
              <w:rPr>
                <w:sz w:val="20"/>
                <w:szCs w:val="20"/>
                <w:color w:val="auto"/>
              </w:rPr>
            </w:pPr>
            <w:r>
              <w:rPr>
                <w:rFonts w:ascii="Arial" w:cs="Arial" w:eastAsia="Arial" w:hAnsi="Arial"/>
                <w:sz w:val="18"/>
                <w:szCs w:val="18"/>
                <w:color w:val="auto"/>
                <w:w w:val="97"/>
              </w:rPr>
              <w:t>1,359</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cost of revenue</w:t>
            </w: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7"/>
              </w:rPr>
              <w:t>9,879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Total cost of revenue increased from $19.4 million for the three months ended April 30, 2018 to $29.3 million for the three months ended April 30, 2019. Subscription cost of revenue increased from $15.2 million for the three months ended April 30, 2018, to $23.7 million for the three months ended April 30, 2019, a 56% increase. The increase in subscription cost of revenue was primarily due to an increase in employee-related expenses of $3.3 million driven by a 170% increase in headcount which included significant hiring of technical support employees, an increase in cloud hosting and related services of $2.3 million, an increase in depreciation of data center equipment of $0.8 million, an increase in allocated overhead costs of $0.7 million, an increase in amortization of internal use software of $0.3 million, an increase in software license fees of $0.2 million, and an increase in stock-based compensation expense of $0.2 million.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Professional services cost of revenue increased from $4.2 million for the three months ended April 30, 2018,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$5.6 million for the three months ended April 30, 2019, a 32% increase. The increase in professional services cost of revenue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primarily due to an increase in employee-related expenses of $1.2 million driven by an increase in headcount of 32%,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an increase in cloud hosting and related services of $0.2 million.</w:t>
      </w:r>
    </w:p>
    <w:p>
      <w:pPr>
        <w:spacing w:after="0" w:line="21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is a breakdown of gross profit and gross margin for subscriptions and professional services for the three months ended April 30, 2019 as compared to the three months ended April 30,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Three Months Ended April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72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4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Subscription gross profit</w:t>
            </w:r>
          </w:p>
        </w:tc>
        <w:tc>
          <w:tcPr>
            <w:tcW w:w="17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62,299</w:t>
            </w:r>
          </w:p>
        </w:tc>
        <w:tc>
          <w:tcPr>
            <w:tcW w:w="4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37,712</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Professional services gross profit</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1,197</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gross profit</w:t>
            </w: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66,804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38,909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20" w:type="dxa"/>
            <w:vAlign w:val="bottom"/>
            <w:vMerge w:val="restart"/>
          </w:tcPr>
          <w:p>
            <w:pPr>
              <w:jc w:val="right"/>
              <w:ind w:right="230"/>
              <w:spacing w:after="0"/>
              <w:rPr>
                <w:sz w:val="20"/>
                <w:szCs w:val="20"/>
                <w:color w:val="auto"/>
              </w:rPr>
            </w:pPr>
            <w:r>
              <w:rPr>
                <w:rFonts w:ascii="Arial" w:cs="Arial" w:eastAsia="Arial" w:hAnsi="Arial"/>
                <w:sz w:val="18"/>
                <w:szCs w:val="18"/>
                <w:color w:val="auto"/>
              </w:rPr>
              <w:t>47</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40" w:type="dxa"/>
            <w:vAlign w:val="bottom"/>
            <w:gridSpan w:val="5"/>
          </w:tcPr>
          <w:p>
            <w:pPr>
              <w:jc w:val="right"/>
              <w:ind w:right="230"/>
              <w:spacing w:after="0"/>
              <w:rPr>
                <w:sz w:val="20"/>
                <w:szCs w:val="20"/>
                <w:color w:val="auto"/>
              </w:rPr>
            </w:pPr>
            <w:r>
              <w:rPr>
                <w:rFonts w:ascii="Arial" w:cs="Arial" w:eastAsia="Arial" w:hAnsi="Arial"/>
                <w:sz w:val="14"/>
                <w:szCs w:val="14"/>
                <w:b w:val="1"/>
                <w:bCs w:val="1"/>
                <w:color w:val="auto"/>
                <w:w w:val="96"/>
              </w:rPr>
              <w:t>Three Months Ended April 30,</w:t>
            </w:r>
          </w:p>
        </w:tc>
        <w:tc>
          <w:tcPr>
            <w:tcW w:w="8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64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Subscription gross margin</w:t>
            </w: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2"/>
              </w:rPr>
              <w:t>72 %</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Professional services gross margin</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w w:val="92"/>
              </w:rPr>
              <w:t>45 %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44 %</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gross margin</w:t>
            </w: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Subscription gross margin increased from 62% for the three months ended April 30, 2018, to 72% for the</w:t>
      </w:r>
    </w:p>
    <w:p>
      <w:pPr>
        <w:spacing w:after="0" w:line="2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three months ended April 30, 2019. This increase was a result of moving more of our operations to colocation data centers from third-party cloud service providers and renegotiating the terms of a third-party cloud service provider contract. This increase in gross margin was also due to incentivizing our sales team to drive higher margin subscriptions and efforts to optimize our channel partner programs.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is a breakdown of sales and marketing expenses for the three months ended April 30, 2019 as compared to the three months ended April 30,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Three Months Ended April 30,</w:t>
            </w:r>
          </w:p>
        </w:tc>
        <w:tc>
          <w:tcPr>
            <w:tcW w:w="20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Change</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4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2019</w:t>
            </w:r>
          </w:p>
        </w:tc>
        <w:tc>
          <w:tcPr>
            <w:tcW w:w="1020" w:type="dxa"/>
            <w:vAlign w:val="bottom"/>
          </w:tcPr>
          <w:p>
            <w:pPr>
              <w:jc w:val="right"/>
              <w:ind w:right="219"/>
              <w:spacing w:after="0" w:line="142" w:lineRule="exact"/>
              <w:rPr>
                <w:sz w:val="20"/>
                <w:szCs w:val="20"/>
                <w:color w:val="auto"/>
              </w:rPr>
            </w:pPr>
            <w:r>
              <w:rPr>
                <w:rFonts w:ascii="Arial" w:cs="Arial" w:eastAsia="Arial" w:hAnsi="Arial"/>
                <w:sz w:val="14"/>
                <w:szCs w:val="14"/>
                <w:b w:val="1"/>
                <w:bCs w:val="1"/>
                <w:color w:val="auto"/>
              </w:rPr>
              <w:t>2018</w:t>
            </w:r>
          </w:p>
        </w:tc>
        <w:tc>
          <w:tcPr>
            <w:tcW w:w="1060" w:type="dxa"/>
            <w:vAlign w:val="bottom"/>
            <w:gridSpan w:val="2"/>
          </w:tcPr>
          <w:p>
            <w:pPr>
              <w:jc w:val="right"/>
              <w:ind w:right="328"/>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72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960" w:type="dxa"/>
            <w:vAlign w:val="bottom"/>
            <w:tcBorders>
              <w:top w:val="single" w:sz="8" w:color="auto"/>
            </w:tcBorders>
            <w:gridSpan w:val="2"/>
          </w:tcPr>
          <w:p>
            <w:pPr>
              <w:jc w:val="right"/>
              <w:ind w:right="479"/>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3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   56,843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36,617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20,226</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Sales and marketing expenses increased from $36.6 million for the three months ended April 30, 2018, to</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$56.8 million for the three months ended April 30, 2019, a 55% increase. The increase in sales and marketing expenses was primarily due to an increase in employee-related expenses of $9.2 million driven by an increase in sales and marketing headcount of 62%, an increase in marketing programs of $5.5 million, an increase in travel-related costs of $1.6 million, an increase in allocated overhead costs of $1.5 million, an increase in stock-based compensation of $0.7 million, and an increase in employee health insurance costs of $0.5 million. As a result of adopting ASC 606 effective February 1, 2019, our commissions expense for the three months ended April 30, 2019 was $4.2 million lower than it would have been under ASC 605.</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is a breakdown of research and development expenses for the three months ended April 30, 2019 as compared to the three months ended April 30,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Three Months Ended April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2019</w:t>
            </w:r>
          </w:p>
        </w:tc>
        <w:tc>
          <w:tcPr>
            <w:tcW w:w="102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72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60" w:type="dxa"/>
            <w:vAlign w:val="bottom"/>
            <w:gridSpan w:val="2"/>
          </w:tcPr>
          <w:p>
            <w:pPr>
              <w:jc w:val="right"/>
              <w:ind w:right="479"/>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1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   23,875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17,615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7"/>
              </w:rPr>
              <w:t>6,260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Research and development expenses increased from $17.6 million for the three months ended April 30, 2018, to $23.9 million for the three months ended April 30, 2019, a 36% increase. This increase was primarily due to an increase in employee-related expenses of $4.3 million driven by an increase in research and development headcount of 43%. In addition, there was an increase in cloud hosting and related costs of $1.1 million, and an increase in allocated overhead costs of $0.8 million.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is a breakdown of general and administrative expenses for the three months ended April 30, 2019 as compared to the three months ended April 30,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Three Months Ended April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4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72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6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1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   11,861</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7"/>
              </w:rPr>
              <w:t>5,084</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General and administrative expenses increased from $6.8 million for the three months ended April 30, 2018, to $11.9 million for the three months ended April 30, 2019, a 75% increase. The increase in general and administrative expenses was primarily due to an increase in employee-related expenses of $2.8 million driven by an increase in general and administrative headcount of 63%. In addition, there was an increase in legal and accounting fees of $1.1 million, an increase in software license fees of $1.1 million, an increase in stock-based compensation expense of $0.8 million, an increase in facilities costs of $0.7 million, and an increase in depreciation and amortization expenses of $0.7 million, offset by an increase in overhead costs allocated to other functional areas of $3.2 million.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is a breakdown of interest and other expense, net, for the three months ended April 30, 2019 as compared to the three months ended April 30,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Three Months Ended April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72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6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(394)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(584)</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The decrease in interest expense of $0.2 million was driven primarily by a decrease in the amounts borrowed during the three months ended April 30, 2019 compared to the three months ended April 30, 2018. Other (income) expense, net, was an expense of $0.2 million for the three months ended April 30, 2018 compared to income of $0.4 million for the</w:t>
      </w:r>
    </w:p>
    <w:p>
      <w:pPr>
        <w:spacing w:after="0"/>
        <w:rPr>
          <w:sz w:val="20"/>
          <w:szCs w:val="20"/>
          <w:color w:val="auto"/>
        </w:rPr>
      </w:pPr>
      <w:r>
        <w:rPr>
          <w:rFonts w:ascii="Arial" w:cs="Arial" w:eastAsia="Arial" w:hAnsi="Arial"/>
          <w:sz w:val="17"/>
          <w:szCs w:val="17"/>
          <w:color w:val="auto"/>
        </w:rPr>
        <w:t>three months ended April 30, 2019. This $0.6 million change was driven primarily by an increase in interest income of</w:t>
      </w:r>
    </w:p>
    <w:p>
      <w:pPr>
        <w:spacing w:after="0" w:line="21"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$1.1 million, an increase in other income due to the write-off of contingent consideration of $0.5 million, and an increase in other income due to the unrealized gains on currency revaluation of $0.3 million partially offset by an increase in expense related to the fair value of the redeemable convertible preferred stock warrants of $1.2 million.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is a breakdown of the provision for income taxes for the three months ended April 30, 2019 as compared to the three months ended April 30,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Three Months Ended April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Change</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72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3"/>
          </w:tcPr>
          <w:p>
            <w:pPr>
              <w:ind w:left="3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595</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392 %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increase in the provision for income taxes of $0.5 million was driven primarily by an increase in international income tax expense due to increased activity in several countries during the three months ended April 30, 2019 compared to the three months ended April 30, 2108.</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In addition to our results determined in accordance with U.S. generally accepted accounting principles, or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In particular, free cash flow is not a substitute for cash used in operating activities. Additionally, the utility of free cash flow as a measure of our financial performance and liquidity is further limited as it does not represent the total increase or decrease in our cash balance for a given period.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rely on any single financial measure to evaluate our business.</w:t>
      </w:r>
    </w:p>
    <w:p>
      <w:pPr>
        <w:spacing w:after="0" w:line="169"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We believe that these non-GAAP financial measures as presented in the below table, when taken together with the corresponding GAAP financial measures, provide meaningful supplemental information regarding our performance by excluding certain items that may not be indicative of our business, results of operations, or outlook.</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Non-GAAP Subscription Gross Profit and Non-GAAP Subscription Gross Margin</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define non-GAAP subscription gross profit and non-GAAP subscription gross margin as GAAP subscription gross profit and GAAP subscription gross margin, respectively, excluding stock-based compensation expense and amortization of acquired intangible assets. We believe non-GAAP subscription gross profit and non-GAAP subscription gross margin provide our management and investors consistency and comparability with our past financial performance and facilitate period-to-period comparisons of operations, as these measures eliminate the effects of certain variables unrelated to our overall operating performance.</w:t>
      </w:r>
    </w:p>
    <w:p>
      <w:pPr>
        <w:spacing w:after="0" w:line="19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following table presents a reconciliation of our non-GAAP subscription gross profit to our GAAP subscription gross profit and of our non-GAAP subscription gross margin to our GAAP subscription gross margin as of the periods presented: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2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Subscription revenue</w:t>
            </w:r>
          </w:p>
        </w:tc>
        <w:tc>
          <w:tcPr>
            <w:tcW w:w="186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85,990</w:t>
            </w:r>
          </w:p>
        </w:tc>
        <w:tc>
          <w:tcPr>
            <w:tcW w:w="4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Subscription gross profit</w:t>
            </w:r>
          </w:p>
        </w:tc>
        <w:tc>
          <w:tcPr>
            <w:tcW w:w="186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62,299</w:t>
            </w:r>
          </w:p>
        </w:tc>
        <w:tc>
          <w:tcPr>
            <w:tcW w:w="4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Add: Stock-based compensation expense</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 Amortization of acquired intangible assets</w:t>
            </w:r>
          </w:p>
        </w:tc>
        <w:tc>
          <w:tcPr>
            <w:tcW w:w="1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60" w:type="dxa"/>
            <w:vAlign w:val="bottom"/>
            <w:gridSpan w:val="2"/>
          </w:tcPr>
          <w:p>
            <w:pPr>
              <w:spacing w:after="0"/>
              <w:rPr>
                <w:sz w:val="20"/>
                <w:szCs w:val="20"/>
                <w:color w:val="auto"/>
              </w:rPr>
            </w:pPr>
            <w:r>
              <w:rPr>
                <w:rFonts w:ascii="Arial" w:cs="Arial" w:eastAsia="Arial" w:hAnsi="Arial"/>
                <w:sz w:val="18"/>
                <w:szCs w:val="18"/>
                <w:color w:val="auto"/>
              </w:rPr>
              <w:t>Non-GAAP subscription gross profit</w:t>
            </w:r>
          </w:p>
        </w:tc>
        <w:tc>
          <w:tcPr>
            <w:tcW w:w="1680" w:type="dxa"/>
            <w:vAlign w:val="bottom"/>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62,673</w:t>
            </w:r>
          </w:p>
        </w:tc>
        <w:tc>
          <w:tcPr>
            <w:tcW w:w="240" w:type="dxa"/>
            <w:vAlign w:val="bottom"/>
          </w:tcPr>
          <w:p>
            <w:pPr>
              <w:spacing w:after="0"/>
              <w:rPr>
                <w:sz w:val="21"/>
                <w:szCs w:val="21"/>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Subscription gross margin</w:t>
            </w:r>
          </w:p>
        </w:tc>
        <w:tc>
          <w:tcPr>
            <w:tcW w:w="4700" w:type="dxa"/>
            <w:vAlign w:val="bottom"/>
          </w:tcPr>
          <w:p>
            <w:pPr>
              <w:jc w:val="right"/>
              <w:ind w:right="250"/>
              <w:spacing w:after="0"/>
              <w:rPr>
                <w:sz w:val="20"/>
                <w:szCs w:val="20"/>
                <w:color w:val="auto"/>
              </w:rPr>
            </w:pPr>
            <w:r>
              <w:rPr>
                <w:rFonts w:ascii="Arial" w:cs="Arial" w:eastAsia="Arial" w:hAnsi="Arial"/>
                <w:sz w:val="18"/>
                <w:szCs w:val="18"/>
                <w:color w:val="auto"/>
              </w:rPr>
              <w:t>72 %</w:t>
            </w:r>
          </w:p>
        </w:tc>
        <w:tc>
          <w:tcPr>
            <w:tcW w:w="760" w:type="dxa"/>
            <w:vAlign w:val="bottom"/>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Non-GAAP subscription gross margin</w:t>
            </w:r>
          </w:p>
        </w:tc>
        <w:tc>
          <w:tcPr>
            <w:tcW w:w="4700" w:type="dxa"/>
            <w:vAlign w:val="bottom"/>
          </w:tcPr>
          <w:p>
            <w:pPr>
              <w:jc w:val="right"/>
              <w:ind w:right="250"/>
              <w:spacing w:after="0"/>
              <w:rPr>
                <w:sz w:val="20"/>
                <w:szCs w:val="20"/>
                <w:color w:val="auto"/>
              </w:rPr>
            </w:pPr>
            <w:r>
              <w:rPr>
                <w:rFonts w:ascii="Arial" w:cs="Arial" w:eastAsia="Arial" w:hAnsi="Arial"/>
                <w:sz w:val="18"/>
                <w:szCs w:val="18"/>
                <w:color w:val="auto"/>
              </w:rPr>
              <w:t>73 %</w:t>
            </w:r>
          </w:p>
        </w:tc>
        <w:tc>
          <w:tcPr>
            <w:tcW w:w="760" w:type="dxa"/>
            <w:vAlign w:val="bottom"/>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700" w:type="dxa"/>
            <w:vAlign w:val="bottom"/>
          </w:tcPr>
          <w:p>
            <w:pPr>
              <w:jc w:val="right"/>
              <w:ind w:right="3590"/>
              <w:spacing w:after="0"/>
              <w:rPr>
                <w:sz w:val="20"/>
                <w:szCs w:val="20"/>
                <w:color w:val="auto"/>
              </w:rPr>
            </w:pPr>
            <w:r>
              <w:rPr>
                <w:rFonts w:ascii="Arial" w:cs="Arial" w:eastAsia="Arial" w:hAnsi="Arial"/>
                <w:sz w:val="18"/>
                <w:szCs w:val="18"/>
                <w:color w:val="auto"/>
              </w:rPr>
              <w:t>50</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Non-GAAP Loss from Operations and Non-GAAP Operating Margin</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define non-GAAP loss from operations and non-GAAP operating margin as GAAP loss from operations and GAAP operating margin, respectively, excluding stock-based compensation expense, amortization of acquired intangible assets, and acquisition-related expenses. We believe non-GAAP loss from operations and non-GAAP operating margin provide our management and investors consistency and comparability with our past financial performance and facilitate period-to-period comparisons of operations, as these metrics generally eliminate the effects of certain variables unrelated to our overall operating performance.</w:t>
      </w:r>
    </w:p>
    <w:p>
      <w:pPr>
        <w:spacing w:after="0" w:line="193"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The following table presents a reconciliation of our non-GAAP loss from operations to our GAAP loss from operations and our non-GAAP operating margin to our GAAP operating margin as of the periods presented: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212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April 30,</w:t>
            </w:r>
          </w:p>
        </w:tc>
      </w:tr>
      <w:tr>
        <w:trPr>
          <w:trHeight w:val="142"/>
        </w:trPr>
        <w:tc>
          <w:tcPr>
            <w:tcW w:w="69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r>
      <w:tr>
        <w:trPr>
          <w:trHeight w:val="180"/>
        </w:trPr>
        <w:tc>
          <w:tcPr>
            <w:tcW w:w="6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r>
      <w:tr>
        <w:trPr>
          <w:trHeight w:val="178"/>
        </w:trPr>
        <w:tc>
          <w:tcPr>
            <w:tcW w:w="6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47,289</w:t>
            </w:r>
          </w:p>
        </w:tc>
        <w:tc>
          <w:tcPr>
            <w:tcW w:w="18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(33,114)</w:t>
            </w:r>
          </w:p>
        </w:tc>
      </w:tr>
      <w:tr>
        <w:trPr>
          <w:trHeight w:val="216"/>
        </w:trPr>
        <w:tc>
          <w:tcPr>
            <w:tcW w:w="6940" w:type="dxa"/>
            <w:vAlign w:val="bottom"/>
          </w:tcPr>
          <w:p>
            <w:pPr>
              <w:ind w:left="120"/>
              <w:spacing w:after="0"/>
              <w:rPr>
                <w:sz w:val="20"/>
                <w:szCs w:val="20"/>
                <w:color w:val="auto"/>
              </w:rPr>
            </w:pPr>
            <w:r>
              <w:rPr>
                <w:rFonts w:ascii="Arial" w:cs="Arial" w:eastAsia="Arial" w:hAnsi="Arial"/>
                <w:sz w:val="18"/>
                <w:szCs w:val="18"/>
                <w:color w:val="auto"/>
              </w:rPr>
              <w:t>Add: Stock-based compensation expense</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1,719</w:t>
            </w:r>
          </w:p>
        </w:tc>
        <w:tc>
          <w:tcPr>
            <w:tcW w:w="180" w:type="dxa"/>
            <w:vAlign w:val="bottom"/>
          </w:tcPr>
          <w:p>
            <w:pPr>
              <w:spacing w:after="0"/>
              <w:rPr>
                <w:sz w:val="18"/>
                <w:szCs w:val="18"/>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Amortization of acquired intangible assets</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spacing w:after="0"/>
              <w:rPr>
                <w:sz w:val="18"/>
                <w:szCs w:val="18"/>
                <w:color w:val="auto"/>
              </w:rPr>
            </w:pPr>
          </w:p>
        </w:tc>
      </w:tr>
      <w:tr>
        <w:trPr>
          <w:trHeight w:val="250"/>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Non-GAAP loss from operations</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(21,877)</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(31,229)</w:t>
            </w:r>
          </w:p>
        </w:tc>
        <w:tc>
          <w:tcPr>
            <w:tcW w:w="180" w:type="dxa"/>
            <w:vAlign w:val="bottom"/>
            <w:tcBorders>
              <w:bottom w:val="single" w:sz="8" w:color="CCEEFF"/>
            </w:tcBorders>
          </w:tcPr>
          <w:p>
            <w:pPr>
              <w:spacing w:after="0"/>
              <w:rPr>
                <w:sz w:val="21"/>
                <w:szCs w:val="21"/>
                <w:color w:val="auto"/>
              </w:rPr>
            </w:pPr>
          </w:p>
        </w:tc>
      </w:tr>
      <w:tr>
        <w:trPr>
          <w:trHeight w:val="197"/>
        </w:trPr>
        <w:tc>
          <w:tcPr>
            <w:tcW w:w="6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Operating margin</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r>
      <w:tr>
        <w:trPr>
          <w:trHeight w:val="216"/>
        </w:trPr>
        <w:tc>
          <w:tcPr>
            <w:tcW w:w="6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Non-GAAP operating margin</w:t>
            </w: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Free Cash Flow and Free Cash Flow Margin</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Free cash flow is a non-GAAP financial measure that we define as net cash used in operating activities less purchases of property and equipment, capitalized internal-use software, acquisition of intangible assets, and cash used for business combinations. Free cash flow margin is calculated as free cash flow divided by total revenue. We monitor free cash flow as one measure of our overall business performance, which enables us to analyze our future performance without the effects of non-cash items and allow us to better understand the cash needs of our business. While we believe that free cash flow is useful in evaluating our business, free cash flow is a non-GAAP financial measure that has limitations as an analytical tool, and free cash flow should not be considered as an alternative to, or substitute for, net cash used in operating activities in accordance with GAAP. The utility of free cash flow as a measure of our liquidity is further limited as it does not represent the total increase or decrease in our cash balance for any given period. In addition, other companies, including companies in our industry, may calculate free cash flow differently or not at all, which reduces the usefulness of free cash flow as a tool for comparison.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table presents a reconciliation of free cash flow and free cash flow margin to net cash used in operating activities: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40" w:type="dxa"/>
            <w:vAlign w:val="bottom"/>
            <w:gridSpan w:val="7"/>
          </w:tcPr>
          <w:p>
            <w:pPr>
              <w:jc w:val="right"/>
              <w:ind w:right="230"/>
              <w:spacing w:after="0"/>
              <w:rPr>
                <w:sz w:val="20"/>
                <w:szCs w:val="20"/>
                <w:color w:val="auto"/>
              </w:rPr>
            </w:pPr>
            <w:r>
              <w:rPr>
                <w:rFonts w:ascii="Arial" w:cs="Arial" w:eastAsia="Arial" w:hAnsi="Arial"/>
                <w:sz w:val="14"/>
                <w:szCs w:val="14"/>
                <w:b w:val="1"/>
                <w:bCs w:val="1"/>
                <w:color w:val="auto"/>
                <w:w w:val="96"/>
              </w:rPr>
              <w:t>Three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5"/>
          </w:tcPr>
          <w:p>
            <w:pPr>
              <w:jc w:val="right"/>
              <w:ind w:right="471"/>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6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7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96,077</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Arial" w:cs="Arial" w:eastAsia="Arial" w:hAnsi="Arial"/>
                <w:sz w:val="18"/>
                <w:szCs w:val="18"/>
                <w:color w:val="auto"/>
              </w:rPr>
              <w:t>Less: Purchases of property and equipment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(15,541)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(8,649)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Capitalized internal-use software</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00" w:type="dxa"/>
            <w:vAlign w:val="bottom"/>
            <w:gridSpan w:val="2"/>
          </w:tcPr>
          <w:p>
            <w:pPr>
              <w:spacing w:after="0"/>
              <w:rPr>
                <w:sz w:val="20"/>
                <w:szCs w:val="20"/>
                <w:color w:val="auto"/>
              </w:rPr>
            </w:pPr>
            <w:r>
              <w:rPr>
                <w:rFonts w:ascii="Arial" w:cs="Arial" w:eastAsia="Arial" w:hAnsi="Arial"/>
                <w:sz w:val="18"/>
                <w:szCs w:val="18"/>
                <w:color w:val="auto"/>
              </w:rPr>
              <w:t>Free cash flow</w:t>
            </w:r>
          </w:p>
        </w:tc>
        <w:tc>
          <w:tcPr>
            <w:tcW w:w="62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(16,110)</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(16,749)</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1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7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4,138</w:t>
            </w:r>
          </w:p>
        </w:tc>
        <w:tc>
          <w:tcPr>
            <w:tcW w:w="200" w:type="dxa"/>
            <w:vAlign w:val="bottom"/>
          </w:tcPr>
          <w:p>
            <w:pPr>
              <w:spacing w:after="0"/>
              <w:rPr>
                <w:sz w:val="18"/>
                <w:szCs w:val="18"/>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(7,756)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7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w w:val="98"/>
              </w:rPr>
              <w:t>Net cash provided by (used in) operating activities as a percentage of revenue</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Arial" w:cs="Arial" w:eastAsia="Arial" w:hAnsi="Arial"/>
                <w:sz w:val="18"/>
                <w:szCs w:val="18"/>
                <w:color w:val="auto"/>
              </w:rPr>
              <w:t>Less: Purchases of property and equipment as a percentage of revenue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Capitalized internal-use software as a percentage of revenue</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6200" w:type="dxa"/>
            <w:vAlign w:val="bottom"/>
            <w:gridSpan w:val="2"/>
          </w:tcPr>
          <w:p>
            <w:pPr>
              <w:spacing w:after="0"/>
              <w:rPr>
                <w:sz w:val="20"/>
                <w:szCs w:val="20"/>
                <w:color w:val="auto"/>
              </w:rPr>
            </w:pPr>
            <w:r>
              <w:rPr>
                <w:rFonts w:ascii="Arial" w:cs="Arial" w:eastAsia="Arial" w:hAnsi="Arial"/>
                <w:sz w:val="18"/>
                <w:szCs w:val="18"/>
                <w:color w:val="auto"/>
              </w:rPr>
              <w:t>Free cash flow margin</w:t>
            </w:r>
          </w:p>
        </w:tc>
        <w:tc>
          <w:tcPr>
            <w:tcW w:w="6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In June 2019, upon completion of our IPO, we received net proceeds of $659.1 million, after deducting underwriters’ discounts and commissions and estimated offering expenses of $44.7 million. As of April 30, 2019, we had $4.0 million of deferred offering costs classified as other assets in our condensed consolidated balance sheet which were reclassified to stockholders’ equity as a further reduction of the net proceeds received from the IPO.</w:t>
      </w:r>
    </w:p>
    <w:p>
      <w:pPr>
        <w:spacing w:after="0" w:line="171"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Prior to our IPO, we financed our operations principally through private placements of our equity securities, payments received from customers using our Falcon platform and professional services, and borrowings under our credit facility. As of April 30, 2019, we had cash equivalents, consisting of money market funds, corporate debt securities, and US Treasuries, of $87.9 million, and marketable securities, consisting of corporate debt securities and U.S. treasury securities, of $82.1 million. Our cash and cash equivalents primarily consist of highly liquid investments. Since our inception, we have generated operating losses, as reflected in our accumulated deficit of $521.7 million as of April 30, 2019, and negative cash flows from operations. We expect to continue to incur operating losses and generate negative cash flows from operations for the foreseeable future due to the investments we intend to continue to make in sales and marketing and research and development, and due to additional general and administrative costs we expect to incur as a public company. As a result, we may require additional capital resources to execute strategic initiatives to grow our business.</w:t>
      </w:r>
    </w:p>
    <w:p>
      <w:pPr>
        <w:spacing w:after="0" w:line="16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typically invoice our subscription customers annually in advance. Therefore, a substantial source of our cash is from such prepayments, which are included on our condensed consolidated balance sheets as deferred revenue. Deferred revenue consists of billed fees for our subscriptions, prior to satisfying the criteria for revenue recognition, which are subsequently recognized as revenue in accordance with our revenue recognition policy. As of April 30, 2019, we had deferred revenue of $313.4 million, of which $242.5 million was recorded as a current liability and is expected to be recorded as revenue in the next 12 months, provided all other revenue recognition criteria have been met.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30" w:lineRule="exact"/>
        <w:rPr>
          <w:sz w:val="20"/>
          <w:szCs w:val="20"/>
          <w:color w:val="auto"/>
        </w:rPr>
      </w:pPr>
    </w:p>
    <w:p>
      <w:pPr>
        <w:ind w:left="6200"/>
        <w:spacing w:after="0"/>
        <w:rPr>
          <w:sz w:val="20"/>
          <w:szCs w:val="20"/>
          <w:color w:val="auto"/>
        </w:rPr>
      </w:pPr>
      <w:r>
        <w:rPr>
          <w:rFonts w:ascii="Arial" w:cs="Arial" w:eastAsia="Arial" w:hAnsi="Arial"/>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6350</wp:posOffset>
            </wp:positionV>
            <wp:extent cx="12522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ind w:left="6460"/>
        <w:spacing w:after="0"/>
        <w:tabs>
          <w:tab w:leader="none" w:pos="75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-3175</wp:posOffset>
            </wp:positionV>
            <wp:extent cx="12522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ind w:left="6720"/>
        <w:spacing w:after="0"/>
        <w:rPr>
          <w:sz w:val="20"/>
          <w:szCs w:val="20"/>
          <w:color w:val="auto"/>
        </w:rPr>
      </w:pPr>
      <w:r>
        <w:rPr>
          <w:rFonts w:ascii="Arial" w:cs="Arial" w:eastAsia="Arial" w:hAnsi="Arial"/>
          <w:sz w:val="14"/>
          <w:szCs w:val="14"/>
          <w:b w:val="1"/>
          <w:bCs w:val="1"/>
          <w:color w:val="auto"/>
        </w:rPr>
        <w:t>(in thousands)</w:t>
      </w:r>
    </w:p>
    <w:p>
      <w:pPr>
        <w:spacing w:after="0" w:line="210"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1,415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(6,393)</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06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4,138</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(7,756)</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(882)</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Net cash provided by operating activities during the three months ended April 30, 2019 was $1.4 million, which resulted from a net loss of $26.0 million, adjusted for non-cash charges of $16.1 million and net cash inflow of $11.3 million from changes in operating assets and liabilities. Non-cash charges primarily consisted of $7.3 million of amortization of deferred contract acquisition costs, $4.9 million of depreciation and amortization, $3.8 million in stock-based compensation expense, and $1.2 million due to the change in the fair value of our redeemable convertible preferred stock warrant liability. The net cash inflow from changes in operating assets and liabilities was primarily due to a $24.8 million increase in deferred revenue and a $5.4 million decrease in accounts receivable, partially offset by a $8.5 million increase in deferred contract acquisition costs, a $6.6 million decrease in accrued payroll and benefits, and a $4.0 million increase in prepaid expenses and other assets.</w:t>
      </w:r>
    </w:p>
    <w:p>
      <w:pPr>
        <w:spacing w:after="0" w:line="19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Net cash used in operating activities during the three months ended April 30, 2018 was $6.4 million, which resulted from a net loss of $33.6 million, adjusted for non-cash charges of $10.6 million and net cash inflow of $16.6 million from changes in operating assets and liabilities. Non-cash charges primarily consisted of $5.6 million of amortization of deferred contract acquisition costs, $3.0 million of depreciation and amortization, and $1.8 million in stock-based compensation expense. The net cash inflow from changes in operating assets and liabilities was primarily due to a $20.7 million decrease in accounts receivable and a $9.4 million increase in deferred revenue, partially offset by a decrease in accrued expenses and other current liabilities of $7.3 million, a $5.0 million increase in deferred contract acquisition costs, and a $4.3 million decrease in accrued payroll and benefits.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Net cash provided by investing activities during the three months ended April 30, 2019 of $4.1 million was primarily due to maturities of marketable securities of $69.0 million, partially offset by purchases of marketable securities of $51.8 million and purchases of property and equipment of $15.5 million</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Net cash used in investing activities during the three months ended April 30, 2018 of $7.8 million was primarily due to purchases of property and equipment of $8.6 million and capitalized internal-use software of $1.7 million, partially offset by maturities of marketable securities of $2.6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Net cash used in financing activities of $0.9 million during the three months ended April 30, 2019 was due to $2.4 million of payments of deferred offering costs partially offset by proceeds from the issuance of common stock upon exercise of stock options of $1.5 million.</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Net cash provided by financing activities of $0.4 million during the three months ended April 30, 2018 was primarily due to proceeds from the issuance of common stock upon exercise of stock options of $0.8 million partially offset by payments of indemnity holdback of $0.5 million.</w:t>
      </w:r>
    </w:p>
    <w:p>
      <w:pPr>
        <w:sectPr>
          <w:pgSz w:w="11900" w:h="16838" w:orient="portrait"/>
          <w:cols w:equalWidth="0" w:num="1">
            <w:col w:w="9040"/>
          </w:cols>
          <w:pgMar w:left="1420" w:top="517" w:right="14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Debt Obligations</w:t>
      </w:r>
    </w:p>
    <w:p>
      <w:pPr>
        <w:spacing w:after="0" w:line="225"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In April 2019, we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 We also have the option to request an incremental facility of up to an additional $75.0 million from one or more of the lenders under the Credit Agreement. The amount we may borrow under the Credit Agreement may not exceed the lesser of $150.0 million or our ordinary course recurring subscription revenue for the most recent month, as determined under the Credit Agreement, multiplied by a number that is (i) 6, for the first year after entry into the Credit Agreement; (ii) 5, for the second year after entry into the Credit Agreement; and (iii) 4, thereafter. Under the terms of the Credit Agreement, revolving loans may be either Eurodollar Loans or ABR Loans. Outstanding Eurodollar Loans incur interest at the Eurodollar Rate, which is defined in the Credit Agreement as LIBOR (or any successor thereto), plus a margin between 2.75% and 3.25%, depending on usage. Outstanding ABR Loans incur interest at the highest of (a) the Prime Rate, as published by the Wall Street Journal, (b) the federal funds rate in effect for such day plus 0.50%, and (c) the Eurodollar Rate plus 1.00%, in each case plus a margin between 1.75% and</w:t>
      </w:r>
    </w:p>
    <w:p>
      <w:pPr>
        <w:spacing w:after="0" w:line="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2.25%, depending on usage. The applicable margin for Eurodollar Loans and ABR Loans will be reduced by 0.25% upon the completion of an initial public offering of at least $100.0 million in gross proceeds. We are charged a commitment fee of 0.2% to 0.3% per year for committed but unused amounts. The Credit Agreement will terminate on April 19, 2022.</w:t>
      </w:r>
    </w:p>
    <w:p>
      <w:pPr>
        <w:spacing w:after="0" w:line="15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Credit Agreement is collateralized by substantially all of our current and future property, rights, and assets, including, but not limited to, cash, goods, equipment, contractual rights, financial assets, and intangible assets of the Company and our subsidiaries. The Credit Agreement contains covenants limiting our ability to, among other things, dispose of assets, undergo a change in control, merge or consolidate, make acquisitions, incur debt, incur liens, pay dividends, repurchase stock, and make investments, in each case subject to certain exceptions. The Credit Agreement also contains financial covenants requiring us to maintain the year-over-year growth rate of its ordinary course recurring subscription revenue above specified rates and to maintain minimum liquidity at specified levels. We were in compliance with all covenants as of April 30, 2019. The Credit Agreement contains events of default that include, among others, non-payment of principal, interest, or fees, breach of covenants, inaccuracy of representations and warranties, cross defaults to certain other indebtedness, bankruptcy and insolvency events, and material judgments.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amounts were outstanding under the Credit Agreement as of April 30,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table summarizes our contractual obligations as of April 30, 2019 and the years in which these obligations are due: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5"/>
              </w:rPr>
              <w:t>Fiscal Year Ending April 30,</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6"/>
              </w:rPr>
              <w:t>Thereafter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(in thousands)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2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w w:val="96"/>
              </w:rPr>
              <w:t>Data center commitments (2)</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207,386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35,716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67,819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86,536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8,445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7,330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w w:val="92"/>
              </w:rPr>
              <w:t>Other purchase obligations (3)</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246,515</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49,993</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77,628</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92,412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12,810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10,420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hanging="651"/>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Relates to our facilities worldwide.</w:t>
      </w:r>
    </w:p>
    <w:p>
      <w:pPr>
        <w:spacing w:after="0" w:line="225" w:lineRule="exact"/>
        <w:rPr>
          <w:rFonts w:ascii="Arial" w:cs="Arial" w:eastAsia="Arial" w:hAnsi="Arial"/>
          <w:sz w:val="18"/>
          <w:szCs w:val="18"/>
          <w:color w:val="auto"/>
        </w:rPr>
      </w:pPr>
    </w:p>
    <w:p>
      <w:pPr>
        <w:ind w:left="660" w:hanging="651"/>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Relates to non-cancelable commitments to data center vendors.</w:t>
      </w:r>
    </w:p>
    <w:p>
      <w:pPr>
        <w:spacing w:after="0" w:line="225" w:lineRule="exact"/>
        <w:rPr>
          <w:rFonts w:ascii="Arial" w:cs="Arial" w:eastAsia="Arial" w:hAnsi="Arial"/>
          <w:sz w:val="18"/>
          <w:szCs w:val="18"/>
          <w:color w:val="auto"/>
        </w:rPr>
      </w:pPr>
    </w:p>
    <w:p>
      <w:pPr>
        <w:ind w:left="660" w:right="20" w:hanging="651"/>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Relates to non-cancelable purchase commitments with various parties to purchase products and services entered into in the normal course of business.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subscription agreements contain standard indemnification obligations. Pursuant to these agreements, we will indemnify, defend, and hold the other party harmless with respect to a claim, suit, or proceeding brought against the other party by a third party alleging that our intellectual property infringes upon the intellectual property of the third party, or results from a breach of our representations and warranties or covenants, or that results from any acts of negligence or willful misconduct. The term of these indemnification agreements is generally perpetual any time after the execution of the agreement. Typically, these indemnification provisions do not provide for a maximum potential amount of future payments we could be required to make. However, in the past we have not been obligated to make significant payments for these obligations and no liabilities have been recorded for these obligations on our condensed consolidated balance sheet as of April 30, 2019 or January 31, 2019.</w:t>
      </w:r>
    </w:p>
    <w:p>
      <w:pPr>
        <w:spacing w:after="0" w:line="182"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also indemnify our officers and directors for certain events or occurrences, subject to certain limits, while the officer is or was serving at our request in such capacity. The maximum amount of potential future indemnification is unlimited. However, our director and officer insurance policy limits our exposure and enables us to recover a portion of any future amounts paid. Historically, we have not been obligated to make any payments for these obligations and no liabilities have been recorded for these obligations on our condensed consolidated balance sheet as of April 30, 2019 or January 31,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enter into both single and multi-year subscription contracts for our solutions. We generally invoice the entire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amount at contract signing prior to commencement of subscription period. Until such time as these amounts are invoiced,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they are not recorded in deferred revenue or elsewhere in our condensed consolidated financial statements, and 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considered by us to be backlog. As of April 30, 2019, we had backlog of approximately $70.4 million. Of the backlog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$70.4 million as of April 30, 2019, approximately $30.9 million is not reasonably expected to be billed in the next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twelve months. We expect backlog will change from period to period for several reasons, including the timing and duration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customer agreements, varying billing cycles of subscription agreements, and the timing and duration of customer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renewals. Because revenue for any period is a function of revenue recognized from deferred revenue under contracts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existence at the beginning of the period, as well as contract renewals and new customer contracts during the period, backlog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the beginning of any period is not necessarily indicative of future revenue performance. We do not utilize backlog as a key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management metric internally.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We do not have any relationships with unconsolidated entities or financial partnerships, such as entities often referred to as structured finance or special purpose entities. We do not have any outstanding derivative financial instruments, off-balance sheet guarantees, interest rate swap transactions, or foreign currency forward contracts.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management’s discussion and analysis of financial condition and results of operations is based upon our financial statements and notes to our financial statements, which were prepared in accordance with GAAP. The preparation of the financial statements requires our management to make estimates and assumptions that affect the amounts reported in the financial statements and accompanying notes. Our management evaluates our estimates on an ongoing basis, including those related to the allowance for doubtful accounts, the carrying value of long-lived assets, the useful lives of long-lived assets, the fair value of financial instruments, the recognition and disclosure of contingent liabilities, the provision for income taxes and related deferred taxes, stock-based compensation, the fair value of our common stock, and the fair value of our redeemable convertible preferred stock warrants.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accounting estimates we use in the preparation of our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financial statements. By their nature, these estimates and judgments are subject to an inherent degree of uncertainty and actual results could differ materially from the amounts reported based on these estimates.</w:t>
      </w:r>
    </w:p>
    <w:p>
      <w:pPr>
        <w:spacing w:after="0" w:line="16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 xml:space="preserve">Our significant accounting policies are more fully described in Note 2 of our condensed consolidated financial statements. Our critical accounting policies and our more significant judgments and estimates used in the preparation of our financial statements are discussed in “Management’s Discussion and Analysis of Financial Condition and Results of Operations” in our prospectus dated June 11, 2019 filed with the SEC pursuant to Rule 424(b) under the Securities Act of 1933, as amended, and there have been no significant changes to these policies for the three months ended April 30, 2019, except in regard to our adoption of ASU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which is discussed below.</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adopted Accounting Standards Codification ("ASC") Topic 606, Revenue From Contracts With Customers ("ASC 606") on February 1, 2019, using the modified retrospective transition method. Under this method, results for reporting periods beginning on February 1, 2019 are presented under Topic 606, while prior period amounts are not adjusted and continue to be reported in accordance with historic accounting under Topic 605.</w:t>
      </w:r>
    </w:p>
    <w:p>
      <w:pPr>
        <w:spacing w:after="0" w:line="171"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 recorded a cumulative effect adjustment to opening accumulated deficit of $23.4 million, net of tax, as of the date of adoption. The change resulted from a $23.7 million reduction in commissions expense offset by a $0.3 million reduction in revenue.</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adoption of Topic 606 had no impact on net cash provided by or used in operating, investing, or financing activities in our consolidated statements of cash flows for the three months ended April 30, 2019. As a result of adopting ASC 606 effective February 1, 2019, our commissions expense for the three months ended April 30, 2019 was $4.2 million lower than it would have been under ASC 605.</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ASC 606, we report our revenues in two categories: (i) subscriptions and (ii) professional services.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Revenues are recognized when control of these services is transferred to our customers, in an amount that reflects the consideration we expect to be entitled to in exchange for those services.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225" w:lineRule="exact"/>
        <w:rPr>
          <w:sz w:val="20"/>
          <w:szCs w:val="20"/>
          <w:color w:val="auto"/>
        </w:rPr>
      </w:pPr>
    </w:p>
    <w:p>
      <w:pPr>
        <w:ind w:left="1000" w:hanging="316"/>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25" w:lineRule="exact"/>
        <w:rPr>
          <w:sz w:val="20"/>
          <w:szCs w:val="20"/>
          <w:color w:val="auto"/>
        </w:rPr>
      </w:pPr>
    </w:p>
    <w:p>
      <w:pPr>
        <w:ind w:left="980" w:right="100"/>
        <w:spacing w:after="0" w:line="291" w:lineRule="auto"/>
        <w:rPr>
          <w:sz w:val="20"/>
          <w:szCs w:val="20"/>
          <w:color w:val="auto"/>
        </w:rPr>
      </w:pPr>
      <w:r>
        <w:rPr>
          <w:rFonts w:ascii="Arial" w:cs="Arial" w:eastAsia="Arial" w:hAnsi="Arial"/>
          <w:sz w:val="16"/>
          <w:szCs w:val="16"/>
          <w:color w:val="auto"/>
        </w:rPr>
        <w:t>We consider the terms and conditions of contracts with customers and our customary business practices in identifying contracts under ASC 606. We determine we have a contract with a customer when the contract is approved, each party’s rights regarding the services to be transferred can be identified, payment terms for the services can be identified, it has been determined that the customer has the ability and intent to pay, and the contract has commercial substance.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167" w:lineRule="exact"/>
        <w:rPr>
          <w:sz w:val="20"/>
          <w:szCs w:val="20"/>
          <w:color w:val="auto"/>
        </w:rPr>
      </w:pPr>
    </w:p>
    <w:p>
      <w:pPr>
        <w:ind w:left="1000" w:hanging="316"/>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25" w:lineRule="exact"/>
        <w:rPr>
          <w:sz w:val="20"/>
          <w:szCs w:val="20"/>
          <w:color w:val="auto"/>
        </w:rPr>
      </w:pPr>
    </w:p>
    <w:p>
      <w:pPr>
        <w:ind w:left="980"/>
        <w:spacing w:after="0" w:line="279" w:lineRule="auto"/>
        <w:rPr>
          <w:sz w:val="20"/>
          <w:szCs w:val="20"/>
          <w:color w:val="auto"/>
        </w:rPr>
      </w:pPr>
      <w:r>
        <w:rPr>
          <w:rFonts w:ascii="Arial" w:cs="Arial" w:eastAsia="Arial" w:hAnsi="Arial"/>
          <w:sz w:val="17"/>
          <w:szCs w:val="17"/>
          <w:color w:val="auto"/>
        </w:rPr>
        <w:t>Performance obligations promised in a contract are identified based on the services that will be transferred to the customer that are both capable of being distinct, meaning that the customer can benefit from the service either on its own or together with other resources that are readily available from us or from third parties, and are distinct in the context of the contract, meaning that the transfer of the services is separately</w:t>
      </w:r>
    </w:p>
    <w:p>
      <w:pPr>
        <w:sectPr>
          <w:pgSz w:w="11900" w:h="16838" w:orient="portrait"/>
          <w:cols w:equalWidth="0" w:num="1">
            <w:col w:w="9060"/>
          </w:cols>
          <w:pgMar w:left="1420" w:top="517" w:right="141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80" w:right="179"/>
        <w:spacing w:after="0" w:line="277" w:lineRule="auto"/>
        <w:rPr>
          <w:sz w:val="20"/>
          <w:szCs w:val="20"/>
          <w:color w:val="auto"/>
        </w:rPr>
      </w:pPr>
      <w:r>
        <w:rPr>
          <w:rFonts w:ascii="Arial" w:cs="Arial" w:eastAsia="Arial" w:hAnsi="Arial"/>
          <w:sz w:val="18"/>
          <w:szCs w:val="18"/>
          <w:color w:val="auto"/>
        </w:rPr>
        <w:t>identifiable from other promises in the contract. Our performance obligations in our contracts with customers consist of (i) subscription and support services and (ii) professional services.</w:t>
      </w:r>
    </w:p>
    <w:p>
      <w:pPr>
        <w:spacing w:after="0" w:line="170" w:lineRule="exact"/>
        <w:rPr>
          <w:sz w:val="20"/>
          <w:szCs w:val="20"/>
          <w:color w:val="auto"/>
        </w:rPr>
      </w:pPr>
    </w:p>
    <w:p>
      <w:pPr>
        <w:ind w:left="1000" w:hanging="316"/>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25" w:lineRule="exact"/>
        <w:rPr>
          <w:sz w:val="20"/>
          <w:szCs w:val="20"/>
          <w:color w:val="auto"/>
        </w:rPr>
      </w:pPr>
    </w:p>
    <w:p>
      <w:pPr>
        <w:ind w:left="980" w:right="79"/>
        <w:spacing w:after="0" w:line="259" w:lineRule="auto"/>
        <w:rPr>
          <w:sz w:val="20"/>
          <w:szCs w:val="20"/>
          <w:color w:val="auto"/>
        </w:rPr>
      </w:pPr>
      <w:r>
        <w:rPr>
          <w:rFonts w:ascii="Arial" w:cs="Arial" w:eastAsia="Arial" w:hAnsi="Arial"/>
          <w:sz w:val="18"/>
          <w:szCs w:val="18"/>
          <w:color w:val="auto"/>
        </w:rPr>
        <w:t>The transaction price is determined based on the consideration to which we are expected to be entitled in exchange for transferring services to the customer. Variable consideration is included in the transaction price if it is probable that a significant future reversal of cumulative revenue under the contract will not occur. None of our contracts contains a significant financing component.</w:t>
      </w:r>
    </w:p>
    <w:p>
      <w:pPr>
        <w:spacing w:after="0" w:line="187" w:lineRule="exact"/>
        <w:rPr>
          <w:sz w:val="20"/>
          <w:szCs w:val="20"/>
          <w:color w:val="auto"/>
        </w:rPr>
      </w:pPr>
    </w:p>
    <w:p>
      <w:pPr>
        <w:ind w:left="1000" w:hanging="316"/>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225" w:lineRule="exact"/>
        <w:rPr>
          <w:sz w:val="20"/>
          <w:szCs w:val="20"/>
          <w:color w:val="auto"/>
        </w:rPr>
      </w:pPr>
    </w:p>
    <w:p>
      <w:pPr>
        <w:jc w:val="both"/>
        <w:ind w:left="980" w:right="279"/>
        <w:spacing w:after="0" w:line="264" w:lineRule="auto"/>
        <w:rPr>
          <w:sz w:val="20"/>
          <w:szCs w:val="20"/>
          <w:color w:val="auto"/>
        </w:rPr>
      </w:pPr>
      <w:r>
        <w:rPr>
          <w:rFonts w:ascii="Arial" w:cs="Arial" w:eastAsia="Arial" w:hAnsi="Arial"/>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SSP.</w:t>
      </w:r>
    </w:p>
    <w:p>
      <w:pPr>
        <w:spacing w:after="0" w:line="181" w:lineRule="exact"/>
        <w:rPr>
          <w:sz w:val="20"/>
          <w:szCs w:val="20"/>
          <w:color w:val="auto"/>
        </w:rPr>
      </w:pPr>
    </w:p>
    <w:p>
      <w:pPr>
        <w:ind w:left="1000" w:hanging="316"/>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25" w:lineRule="exact"/>
        <w:rPr>
          <w:sz w:val="20"/>
          <w:szCs w:val="20"/>
          <w:color w:val="auto"/>
        </w:rPr>
      </w:pPr>
    </w:p>
    <w:p>
      <w:pPr>
        <w:ind w:left="980" w:right="19"/>
        <w:spacing w:after="0" w:line="259" w:lineRule="auto"/>
        <w:rPr>
          <w:sz w:val="20"/>
          <w:szCs w:val="20"/>
          <w:color w:val="auto"/>
        </w:rPr>
      </w:pPr>
      <w:r>
        <w:rPr>
          <w:rFonts w:ascii="Arial" w:cs="Arial" w:eastAsia="Arial" w:hAnsi="Arial"/>
          <w:sz w:val="18"/>
          <w:szCs w:val="18"/>
          <w:color w:val="auto"/>
        </w:rPr>
        <w:t>Revenue is recognized at the time the related performance obligation is satisfied by transferring the promised service to the customer. Revenue is recognized when control of the services is transferred to the customer, in an amount that reflects the consideration expected to be received in exchange for those services. We generate all our revenue from contracts with customers.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Subscription Revenue</w:t>
      </w:r>
    </w:p>
    <w:p>
      <w:pPr>
        <w:spacing w:after="0" w:line="225" w:lineRule="exact"/>
        <w:rPr>
          <w:sz w:val="20"/>
          <w:szCs w:val="20"/>
          <w:color w:val="auto"/>
        </w:rPr>
      </w:pPr>
    </w:p>
    <w:p>
      <w:pPr>
        <w:ind w:right="79" w:firstLine="648"/>
        <w:spacing w:after="0" w:line="273" w:lineRule="auto"/>
        <w:rPr>
          <w:sz w:val="20"/>
          <w:szCs w:val="20"/>
          <w:color w:val="auto"/>
        </w:rPr>
      </w:pPr>
      <w:r>
        <w:rPr>
          <w:rFonts w:ascii="Arial" w:cs="Arial" w:eastAsia="Arial" w:hAnsi="Arial"/>
          <w:sz w:val="17"/>
          <w:szCs w:val="17"/>
          <w:color w:val="auto"/>
        </w:rPr>
        <w:t>Our Falcon Platform technology solutions are SaaS offerings designed to continuously monitor, share, and mitigate risks from determined attackers. Customers do not have the right to take possession of the cloud-based software platform. Fees are based on several factors, including the solutions subscribed for by the customer and the number of endpoints purchased by the customer. The subscription fees are typically payable within 30 to 60 days after the execution of the arrangement, and thereafter upon renewal or subsequent installment. We initially record the subscription fees as deferred revenue and recognize revenue on a straight-line basis over the term of the agreement.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Professional Services Revenue</w:t>
      </w:r>
    </w:p>
    <w:p>
      <w:pPr>
        <w:spacing w:after="0" w:line="225" w:lineRule="exact"/>
        <w:rPr>
          <w:sz w:val="20"/>
          <w:szCs w:val="20"/>
          <w:color w:val="auto"/>
        </w:rPr>
      </w:pPr>
    </w:p>
    <w:p>
      <w:pPr>
        <w:ind w:right="39" w:firstLine="648"/>
        <w:spacing w:after="0" w:line="255" w:lineRule="auto"/>
        <w:rPr>
          <w:sz w:val="20"/>
          <w:szCs w:val="20"/>
          <w:color w:val="auto"/>
        </w:rPr>
      </w:pPr>
      <w:r>
        <w:rPr>
          <w:rFonts w:ascii="Arial" w:cs="Arial" w:eastAsia="Arial" w:hAnsi="Arial"/>
          <w:sz w:val="18"/>
          <w:szCs w:val="18"/>
          <w:color w:val="auto"/>
        </w:rPr>
        <w:t>We offer several types of professional services including incident response and forensic services, surge forensic and malware analysis, and attribution analysis, which are focused on responding to imminent and direct threats, assessing vulnerabilities, and recommending solutions. The professional services are available through hourly rate and fixed fee contracts, one-time and ongoing engagements, and retainer-based agreements. Revenue for time and materials arrangements is recognized as services are performed and revenue for fixed fees is recognized on a proportional performance basis as the services are performed.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Contracts with Multiple Performance Obligations</w:t>
      </w:r>
    </w:p>
    <w:p>
      <w:pPr>
        <w:spacing w:after="0" w:line="225" w:lineRule="exact"/>
        <w:rPr>
          <w:sz w:val="20"/>
          <w:szCs w:val="20"/>
          <w:color w:val="auto"/>
        </w:rPr>
      </w:pPr>
    </w:p>
    <w:p>
      <w:pPr>
        <w:ind w:right="259" w:firstLine="648"/>
        <w:spacing w:after="0" w:line="255" w:lineRule="auto"/>
        <w:rPr>
          <w:sz w:val="20"/>
          <w:szCs w:val="20"/>
          <w:color w:val="auto"/>
        </w:rPr>
      </w:pPr>
      <w:r>
        <w:rPr>
          <w:rFonts w:ascii="Arial" w:cs="Arial" w:eastAsia="Arial" w:hAnsi="Arial"/>
          <w:sz w:val="18"/>
          <w:szCs w:val="18"/>
          <w:color w:val="auto"/>
        </w:rPr>
        <w:t>Some contracts with customers contain multiple promised services consisting of subscription and professional services that are distinct and accounted for separately. The transaction price is allocated to the separate performance obligations on a relative SSP basis. The SSP is the price at which we would sell promised subscription or professional services separately to a customer. Judgment is required to determine the SSP for each distinct performance obligation. We determine SSP based on our overall pricing objectives, taking into consideration the type of subscription or professional service and the number of endpoints.</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Variable Consideration</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Revenue from sales is recorded at the net sales price, which is the transaction price, and includes estimates of variable consideration. The amount of variable consideration that is included in the transaction price is constrained and is included in the net sales price only to the extent that it is probable that a significant reversal in the amount of the cumulative revenue will not occur when the uncertainty is resolved.</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If subscriptions do not meet certain service level commitments, our customers are entitled to receive service credits, and in certain cases, refunds, each representing a form of variable consideration. We have historically not experienced any significant incidents affecting the defined levels of reliability and performance as required by its subscription contracts. Accordingly, any estimated refunds related to these agreements in the condensed consolidated financial statements is not material during the periods presented.</w:t>
      </w:r>
    </w:p>
    <w:p>
      <w:pPr>
        <w:spacing w:after="0" w:line="188"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We provide rebates and other credits within our contracts with certain resellers, which are estimated based on the most likely amounts expected to be earned or claimed on the related sales transaction. Overall, the transaction price is reduced to reflect our estimate of the amount of consideration to which it is entitled based on the terms of the contract. Estimated rebates and other credits were not material during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We are an emerging growth company, as defined in the JOBS Act. Under the JOBS Act, emerging growth companies can delay adopting new or revised accounting standards issued after the enactment of the JOBS Act until those standards apply to private companies. We have elected to use this extended transition period under the JOBS Act.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See Note 2 to our condensed consolidated financial statements included elsewhere in this Quarterly Report on Form 10-Q, for more information about the impact of certain recent accounting pronouncements on our condensed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We have operations in the United States and internationally, and we are exposed to market risk in the ordinary course of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Inflation Rate Risk</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cash and cash equivalents primarily consist of cash on hand and highly liquid investments in corporate debt securities and money market funds, including overnight investments. Our investments are exposed to market risk due to fluctuations in interest rates, which may affect our interest income and the fair market value of our investments. As of April 30, 2019, we had cash and cash equivalents of $93.0 million and marketable securities of $82.1 million.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However, due to the short-term nature of our investment portfolio, we do not believe an immediate 10% increase or decrease in interest rates would have a material effect on the fair market value of our portfolio. We</w:t>
      </w:r>
    </w:p>
    <w:p>
      <w:pPr>
        <w:sectPr>
          <w:pgSz w:w="11900" w:h="16838" w:orient="portrait"/>
          <w:cols w:equalWidth="0" w:num="1">
            <w:col w:w="9040"/>
          </w:cols>
          <w:pgMar w:left="1420" w:top="517" w:right="14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therefore do not expect our results of operations or cash flows to be materially affected by a sudden change in market interest rates.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To date, all of our sales contracts have been denominated in U.S. dollars. A portion of our operating expenses are incurred outside the United States, denominated in foreign currencies and subject to fluctuations due to changes in foreign currency exchange rates, particularly changes in the British Pound, Australian Dollar, and Euro. The functional currency of our foreign subsidiaries is that country’s local currency.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Other income (expense), net.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78"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April 30, 2019. Based on the evaluation of our disclosure controls and procedures as of April 30, 2019, our Chief Executive Officer and Chief Financial Officer concluded that, as of such date, our disclosure controls and procedures were effective at the reasonable assurance level.</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Inherent limitations in all control systems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are currently involved in proceedings before the Trademark Trial and Appeal Board, or TTAB,at the U.S. Patent and Trademark Office, or USPTO, regarding our U.S. trademark registrations for “CrowdStrike Falcon” and our U.S. application to register our “Falcon OverWatch” trademark. On November 23, 2016, Fair Isaac Corporation, or FICO, filed a Petition for Cancellation of our “CrowdStrike Falcon” trademark registrations and a Notice of Opposition against our “Falcon OverWatch” trademark application before the TTAB. On January 3, 2017, we filed answers to both the cancellation and opposition proceedings, and the proceedings thereafter were consolidated. On November 21, 2018, we filed a Petition for Partial Cancellation or Amendment of one of FICO’s “Falcon” trademark registrations, and on December 10, 2018, the parties filed a joint request to consolidate the proceedings and adjust the schedule. On January 16, 2019, FICO moved to dismiss our petition, and the TTAB thereafter suspended all proceedings pending its ruling on the motions. On July 2, 2019, the TTAB issued an order granting the request to consolidate the proceedings, and granting the motion to dismiss with leave to file an amended petition by July 22, 2019. The order also set a schedule with trial proceedings to close no earlier than 2021. We are vigorously defending the case, but given the early stage, we are unable to predict the likelihood of success of Fair Isaac's claims. If we do not ultimately prevail in these proceedings and in any subsequent appeal or civil action, we could ultimately be required to change the names of our solutions, which may entail significant expense and adversely affect our brand recognition.</w:t>
      </w:r>
    </w:p>
    <w:p>
      <w:pPr>
        <w:spacing w:after="0" w:line="18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From time to time, we may be subject to legal proceedings arising in the ordinary course of business. In addition, from time to time, third parties may assert intellectual property infringement claims against us in the form of letters and other forms of communication. We are not currently a party to any litigation the outcome of which, if determined adversely to us, would individually or in the aggregate be reasonably expected to have a material adverse effect on our results of operations, prospects, cash flows, financial position, or brand.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 description of the risks and uncertainties associated with our business is set forth below. You should carefully consider the risks and uncertainties described below,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could decline, and you could lose all or part of your investment.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19"/>
        <w:spacing w:after="0" w:line="277" w:lineRule="auto"/>
        <w:rPr>
          <w:sz w:val="20"/>
          <w:szCs w:val="20"/>
          <w:color w:val="auto"/>
        </w:rPr>
      </w:pPr>
      <w:r>
        <w:rPr>
          <w:rFonts w:ascii="Arial" w:cs="Arial" w:eastAsia="Arial" w:hAnsi="Arial"/>
          <w:sz w:val="18"/>
          <w:szCs w:val="18"/>
          <w:b w:val="1"/>
          <w:bCs w:val="1"/>
          <w:i w:val="1"/>
          <w:iCs w:val="1"/>
          <w:color w:val="auto"/>
        </w:rPr>
        <w:t>We have experienced rapid growth in recent periods, and if we do not manage our future growth, our business and results of operations will be adversely affected.</w:t>
      </w:r>
    </w:p>
    <w:p>
      <w:pPr>
        <w:spacing w:after="0" w:line="170" w:lineRule="exact"/>
        <w:rPr>
          <w:sz w:val="20"/>
          <w:szCs w:val="20"/>
          <w:color w:val="auto"/>
        </w:rPr>
      </w:pPr>
    </w:p>
    <w:p>
      <w:pPr>
        <w:ind w:right="59" w:firstLine="648"/>
        <w:spacing w:after="0" w:line="288" w:lineRule="auto"/>
        <w:rPr>
          <w:sz w:val="20"/>
          <w:szCs w:val="20"/>
          <w:color w:val="auto"/>
        </w:rPr>
      </w:pPr>
      <w:r>
        <w:rPr>
          <w:rFonts w:ascii="Arial" w:cs="Arial" w:eastAsia="Arial" w:hAnsi="Arial"/>
          <w:sz w:val="16"/>
          <w:szCs w:val="16"/>
          <w:color w:val="auto"/>
        </w:rPr>
        <w:t>We have experienced rapid revenue growth in recent periods and we expect to continue to invest broadly across our organization to support our growth. For example, our headcount grew from 324 employees as of January 31, 2016, to 550 employees as of January 31, 2017, to 910 employees as of January 31, 2018, to 1,455 employees as of January 31, 2019 and to 1,683 employees as of April 30, 2019. Although we have experienced rapid growth historically, we may not sustain our current growth rates, nor can we assure you that our investments to support our growth will be successful. The growth and expansion of our business will require us to invest significant financial and operational resources and the continuous dedication of our management team. We have encountered and will continue to encounter risks and difficulties frequently experienced by rapidly growing companies in evolving industries, including market acceptance of our Falcon platform, adding new customers, intense competition, and our ability to manage our costs and operating expenses. Our future success will depend in part on our ability to manage our growth effectively, which will require us to, among other things:</w:t>
      </w:r>
    </w:p>
    <w:p>
      <w:pPr>
        <w:spacing w:after="0" w:line="169" w:lineRule="exact"/>
        <w:rPr>
          <w:sz w:val="20"/>
          <w:szCs w:val="20"/>
          <w:color w:val="auto"/>
        </w:rPr>
      </w:pPr>
    </w:p>
    <w:p>
      <w:pPr>
        <w:ind w:left="1000" w:right="279" w:hanging="316"/>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attract, integrate, and retain a large number of new employees, particularly members of our sales and marketing and research and development teams;</w:t>
      </w:r>
    </w:p>
    <w:p>
      <w:pPr>
        <w:spacing w:after="0" w:line="170" w:lineRule="exact"/>
        <w:rPr>
          <w:rFonts w:ascii="Arial" w:cs="Arial" w:eastAsia="Arial" w:hAnsi="Arial"/>
          <w:sz w:val="18"/>
          <w:szCs w:val="18"/>
          <w:color w:val="auto"/>
        </w:rPr>
      </w:pPr>
    </w:p>
    <w:p>
      <w:pPr>
        <w:ind w:left="1000" w:right="119" w:hanging="316"/>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further improve our Falcon platform, including our cloud modules, and IT infrastructure, including expanding and optimizing our data centers, to support our business needs;</w:t>
      </w:r>
    </w:p>
    <w:p>
      <w:pPr>
        <w:spacing w:after="0" w:line="170" w:lineRule="exact"/>
        <w:rPr>
          <w:rFonts w:ascii="Arial" w:cs="Arial" w:eastAsia="Arial" w:hAnsi="Arial"/>
          <w:sz w:val="18"/>
          <w:szCs w:val="18"/>
          <w:color w:val="auto"/>
        </w:rPr>
      </w:pPr>
    </w:p>
    <w:p>
      <w:pPr>
        <w:ind w:left="1000" w:right="119" w:hanging="316"/>
        <w:spacing w:after="0" w:line="264"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enhance our information and communication systems to ensure that our employees and offices around the world are well coordinated and can effectively communicate with each other and our growing base of channel partners and customers; and</w:t>
      </w:r>
    </w:p>
    <w:p>
      <w:pPr>
        <w:spacing w:after="0" w:line="181" w:lineRule="exact"/>
        <w:rPr>
          <w:rFonts w:ascii="Arial" w:cs="Arial" w:eastAsia="Arial" w:hAnsi="Arial"/>
          <w:sz w:val="18"/>
          <w:szCs w:val="18"/>
          <w:color w:val="auto"/>
        </w:rPr>
      </w:pPr>
    </w:p>
    <w:p>
      <w:pPr>
        <w:ind w:left="1000" w:hanging="316"/>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improve our financial, management, and compliance systems and controls.</w:t>
      </w:r>
    </w:p>
    <w:p>
      <w:pPr>
        <w:spacing w:after="0" w:line="225" w:lineRule="exact"/>
        <w:rPr>
          <w:sz w:val="20"/>
          <w:szCs w:val="20"/>
          <w:color w:val="auto"/>
        </w:rPr>
      </w:pPr>
    </w:p>
    <w:p>
      <w:pPr>
        <w:ind w:right="199" w:firstLine="648"/>
        <w:spacing w:after="0" w:line="257" w:lineRule="auto"/>
        <w:rPr>
          <w:sz w:val="20"/>
          <w:szCs w:val="20"/>
          <w:color w:val="auto"/>
        </w:rPr>
      </w:pPr>
      <w:r>
        <w:rPr>
          <w:rFonts w:ascii="Arial" w:cs="Arial" w:eastAsia="Arial" w:hAnsi="Arial"/>
          <w:sz w:val="18"/>
          <w:szCs w:val="18"/>
          <w:color w:val="auto"/>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may not be able to achieve or sustain profitability in the future.</w:t>
      </w:r>
    </w:p>
    <w:p>
      <w:pPr>
        <w:spacing w:after="0" w:line="225" w:lineRule="exact"/>
        <w:rPr>
          <w:sz w:val="20"/>
          <w:szCs w:val="20"/>
          <w:color w:val="auto"/>
        </w:rPr>
      </w:pPr>
    </w:p>
    <w:p>
      <w:pPr>
        <w:ind w:right="39" w:firstLine="648"/>
        <w:spacing w:after="0" w:line="270" w:lineRule="auto"/>
        <w:rPr>
          <w:sz w:val="20"/>
          <w:szCs w:val="20"/>
          <w:color w:val="auto"/>
        </w:rPr>
      </w:pPr>
      <w:r>
        <w:rPr>
          <w:rFonts w:ascii="Arial" w:cs="Arial" w:eastAsia="Arial" w:hAnsi="Arial"/>
          <w:sz w:val="17"/>
          <w:szCs w:val="17"/>
          <w:color w:val="auto"/>
        </w:rPr>
        <w:t>We have incurred net losses in all periods since our inception, and we may not achieve or maintain profitability in the future. We experienced net losses of $91.3 million, $135.5 million, $140.1 million for fiscal 2017, fiscal 2018, and fiscal 2019, respectively. As of April 30, 2019, we had an accumulated deficit of $521.7 million. While we have experienced significant growth in revenue in recent periods, we cannot predict when or whether we will reach or maintain profitability. We also expect our operating expenses to increase in the future as we continue to invest for our future growth, which will negatively affect our results of operations if our total revenue does not increase. We cannot assure you that these investments will result in substantial increases in our total revenue or improvements in our results of operations. In addition to the anticipated costs to grow our business, we also expect to incur significant additional legal, accounting, and other expenses as a newly public company. Any failure to increase our revenue as we invest in our business or to manage our costs could prevent us from achieving or maintaining profitability or positive cash flow.</w:t>
      </w:r>
    </w:p>
    <w:p>
      <w:pPr>
        <w:spacing w:after="0" w:line="178" w:lineRule="exact"/>
        <w:rPr>
          <w:sz w:val="20"/>
          <w:szCs w:val="20"/>
          <w:color w:val="auto"/>
        </w:rPr>
      </w:pPr>
    </w:p>
    <w:p>
      <w:pPr>
        <w:ind w:right="199"/>
        <w:spacing w:after="0" w:line="277"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 and may increase the risk of your investment.</w:t>
      </w:r>
    </w:p>
    <w:p>
      <w:pPr>
        <w:spacing w:after="0" w:line="170" w:lineRule="exact"/>
        <w:rPr>
          <w:sz w:val="20"/>
          <w:szCs w:val="20"/>
          <w:color w:val="auto"/>
        </w:rPr>
      </w:pPr>
    </w:p>
    <w:p>
      <w:pPr>
        <w:ind w:right="159" w:firstLine="648"/>
        <w:spacing w:after="0" w:line="312" w:lineRule="auto"/>
        <w:rPr>
          <w:sz w:val="20"/>
          <w:szCs w:val="20"/>
          <w:color w:val="auto"/>
        </w:rPr>
      </w:pPr>
      <w:r>
        <w:rPr>
          <w:rFonts w:ascii="Arial" w:cs="Arial" w:eastAsia="Arial" w:hAnsi="Arial"/>
          <w:sz w:val="16"/>
          <w:szCs w:val="16"/>
          <w:color w:val="auto"/>
        </w:rPr>
        <w:t>We were founded in November 2011 and launched our first endpoint security solution in 2013. Our limited operating history makes it difficult to evaluate our current business, future prospects, and other trends, including our ability to plan for and model future growth. We have encountered and will continue to encounter risks, uncertainties, and</w:t>
      </w:r>
    </w:p>
    <w:p>
      <w:pPr>
        <w:sectPr>
          <w:pgSz w:w="11900" w:h="16838" w:orient="portrait"/>
          <w:cols w:equalWidth="0" w:num="1">
            <w:col w:w="9039"/>
          </w:cols>
          <w:pgMar w:left="1420" w:top="517" w:right="1440" w:bottom="1440" w:gutter="0" w:footer="0" w:header="0"/>
        </w:sect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difficulties frequently experienced by rapidly growing companies in evolving industries, including our ability to achieve broad market acceptance of cloud-based, SaaS-delivered endpoint security solutions and our Falcon platform, attract additional customers, grow partnerships, compete effectively, build and maintain effective compliance programs, and manage increasing expenses as we continue to invest in our business. If we do not address these risks, uncertainties, and difficulties successfully, our business, and results of operations will be harmed. Further, we have limited historical financial data, and we operate in a rapidly evolving market. As a result, any predictions about our future revenue and expenses may not be as accurate as they would be if we had a longer operating history or operated in a more predictable market.</w:t>
      </w:r>
    </w:p>
    <w:p>
      <w:pPr>
        <w:spacing w:after="0" w:line="1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organizations do not adopt cloud-based SaaS-delivered endpoint security solutions, our ability to grow our business and results of operations may be adversely affected.</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if we or other SaaS security providers experience security incidents, loss or disclosure of customer data, disruptions in delivery, or other problems, the market for SaaS solutions as a whole, including our security solutions, will be negatively affected. You should consider our business and prospects in light of the risks and difficulties we encounter in this new and evolving market.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new customers, our future results of operations could be harmed.</w:t>
      </w:r>
    </w:p>
    <w:p>
      <w:pPr>
        <w:spacing w:after="0" w:line="225"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future deterioration in general economic conditions may cause our customers to cut their overall security and IT operations spending, and such cuts may fall disproportionately on cloud-based security solutions like ours. Economic weakness, customer financial difficulties, and constrained spending on security and IT operations may result in decreased revenue and adversely affect our results of operations and financial conditions. Additionally, if the incidence of cyberattacks were to decline, or enterprises or governments perceive that the general level of cyberattacks has declined,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spacing w:after="0" w:line="175"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b w:val="1"/>
          <w:bCs w:val="1"/>
          <w:i w:val="1"/>
          <w:iCs w:val="1"/>
          <w:color w:val="auto"/>
        </w:rPr>
        <w:t>If our customers do not renew their subscriptions for our products and add additional cloud modules to their subscriptions, our future results of operations could be harmed.</w:t>
      </w:r>
    </w:p>
    <w:p>
      <w:pPr>
        <w:spacing w:after="0" w:line="170"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In order for us to maintain or improve our results of operations, it is important that our customers renew their subscriptions for our Falcon platform when existing contract terms expire, and that we expand our commercial</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year, and in the normal course of business, some customers have elected not to renew. In addition, our customers may renew for shorter contract subscription lengths or cease using certain cloud modules. Our customer retention and expansion may decline or fluctuate as a result of a number of factors, including our customers’ satisfaction with our services, our pricing, customer security and networking issues and requirements, our customers’ spending levels, decreases in the number of endpoints to which our customers deploy our solutions, mergers and acquisitions involving our customers, industry developments, competition and general economic conditions. If our efforts to maintain and expand our relationships with our existing customers are not successful, our business, results of operations, and financial condition may materially suffer.</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face intense competition and could lose market share to our competitors, which could adversely affect our business, financial condition, and results of operations.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spacing w:after="0" w:line="167" w:lineRule="exact"/>
        <w:rPr>
          <w:sz w:val="20"/>
          <w:szCs w:val="20"/>
          <w:color w:val="auto"/>
        </w:rPr>
      </w:pPr>
    </w:p>
    <w:p>
      <w:pPr>
        <w:ind w:left="1000" w:right="660" w:hanging="316"/>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capabilities, including performance and reliability, of our Falcon platform, including our cloud modules, services, and features compared to those of our competitors;</w:t>
      </w:r>
    </w:p>
    <w:p>
      <w:pPr>
        <w:spacing w:after="0" w:line="170" w:lineRule="exact"/>
        <w:rPr>
          <w:rFonts w:ascii="Arial" w:cs="Arial" w:eastAsia="Arial" w:hAnsi="Arial"/>
          <w:sz w:val="18"/>
          <w:szCs w:val="18"/>
          <w:color w:val="auto"/>
        </w:rPr>
      </w:pPr>
    </w:p>
    <w:p>
      <w:pPr>
        <w:ind w:left="1000" w:right="600" w:hanging="316"/>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and the ability of our competitors, to improve existing products, services, and features, or to develop new ones to address evolving customer needs;</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attract, retain, and motivate talented employees;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establish and maintain relationships with channel partners;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strength of our sales and marketing efforts; and</w:t>
      </w:r>
    </w:p>
    <w:p>
      <w:pPr>
        <w:spacing w:after="0" w:line="225" w:lineRule="exact"/>
        <w:rPr>
          <w:rFonts w:ascii="Arial" w:cs="Arial" w:eastAsia="Arial" w:hAnsi="Arial"/>
          <w:sz w:val="18"/>
          <w:szCs w:val="18"/>
          <w:color w:val="auto"/>
        </w:rPr>
      </w:pPr>
    </w:p>
    <w:p>
      <w:pPr>
        <w:ind w:left="660" w:right="860" w:firstLine="24"/>
        <w:spacing w:after="0" w:line="501" w:lineRule="auto"/>
        <w:tabs>
          <w:tab w:leader="none" w:pos="10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acquisitions or consolidation within our industry, which may result in more formidable competitors. Our competitors include the following by general category:</w:t>
      </w:r>
    </w:p>
    <w:p>
      <w:pPr>
        <w:ind w:left="1000" w:right="180" w:hanging="316"/>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legacy antivirus product providers, such as McAfee, Inc. and Symantec Corporation, who offer a broad range of approaches and solutions with traditional antivirus and signature-based protection;</w:t>
      </w:r>
    </w:p>
    <w:p>
      <w:pPr>
        <w:spacing w:after="0" w:line="170" w:lineRule="exact"/>
        <w:rPr>
          <w:rFonts w:ascii="Arial" w:cs="Arial" w:eastAsia="Arial" w:hAnsi="Arial"/>
          <w:sz w:val="18"/>
          <w:szCs w:val="18"/>
          <w:color w:val="auto"/>
        </w:rPr>
      </w:pPr>
    </w:p>
    <w:p>
      <w:pPr>
        <w:ind w:left="1000" w:right="260" w:hanging="316"/>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alternative endpoint security providers, such as Blackberry Cylance and Carbon Black, Inc., who offer point products based on malware-only or application whitelisting techniques; and</w:t>
      </w:r>
    </w:p>
    <w:p>
      <w:pPr>
        <w:spacing w:after="0" w:line="170" w:lineRule="exact"/>
        <w:rPr>
          <w:rFonts w:ascii="Arial" w:cs="Arial" w:eastAsia="Arial" w:hAnsi="Arial"/>
          <w:sz w:val="18"/>
          <w:szCs w:val="18"/>
          <w:color w:val="auto"/>
        </w:rPr>
      </w:pPr>
    </w:p>
    <w:p>
      <w:pPr>
        <w:ind w:left="1000" w:right="340" w:hanging="316"/>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network security vendors, such as Palo Alto Networks, Inc. and FireEye, Inc., who are supplementing their core perimeter-based offerings with endpoint security solutions.</w:t>
      </w:r>
    </w:p>
    <w:p>
      <w:pPr>
        <w:spacing w:after="0" w:line="170" w:lineRule="exact"/>
        <w:rPr>
          <w:sz w:val="20"/>
          <w:szCs w:val="20"/>
          <w:color w:val="auto"/>
        </w:rPr>
      </w:pPr>
    </w:p>
    <w:p>
      <w:pPr>
        <w:ind w:right="360" w:firstLine="648"/>
        <w:spacing w:after="0" w:line="297" w:lineRule="auto"/>
        <w:rPr>
          <w:sz w:val="20"/>
          <w:szCs w:val="20"/>
          <w:color w:val="auto"/>
        </w:rPr>
      </w:pPr>
      <w:r>
        <w:rPr>
          <w:rFonts w:ascii="Arial" w:cs="Arial" w:eastAsia="Arial" w:hAnsi="Arial"/>
          <w:sz w:val="16"/>
          <w:szCs w:val="16"/>
          <w:color w:val="auto"/>
        </w:rPr>
        <w:t>Many of these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or they may have other financial, technical, or other resource advantages. Our</w:t>
      </w:r>
    </w:p>
    <w:p>
      <w:pPr>
        <w:sectPr>
          <w:pgSz w:w="11900" w:h="16838" w:orient="portrait"/>
          <w:cols w:equalWidth="0" w:num="1">
            <w:col w:w="9060"/>
          </w:cols>
          <w:pgMar w:left="1420" w:top="517" w:right="1419"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larger competitors have substantially broader and more diverse product and services offerings as well as routes to market, which may allow them to leverage their relationships based on other products or incorporate functionality into existing products to gain business in a manner that discourages users from purchasing our platform, including our cloud modules. Conditions in our market could change rapidly and significantly as a result of technological advancements, partnering or acquisitions by our competitors or continuing market consolidation. Some of our current or potential competitors have made or could make acquisitions of businesses or establish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many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platform. Furthermore, even if the functionality offered by other security and IT operations providers is different and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pricing pressure may reduce our gross profits and adversely affect our financial results.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Competition continues to increase in the market segments in which we operate, and we expect competition to further increase in the future. Larger competitors with more diverse product and service offerings may reduce the price of products or subscriptions that compete with ours or may bundle them with other products and subscriptions.</w:t>
      </w:r>
    </w:p>
    <w:p>
      <w:pPr>
        <w:spacing w:after="0" w:line="19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may contain defects or errors that are not detected until after deployment. We cannot assure you that our products will detect all cyberattacks, especially in light of the rapidly changing security threat landscape that our solution seeks to address. Due to a variety of both internal and external factors, including, without limitation, defects or misconfigurations of our solutions, our solutions could become vulnerable to security incidents (both from intentional attacks and accidental causes) that cause them to fail to secure endpoints and detect and block attacks.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spacing w:after="0" w:line="17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Moreover, as our cloud native security platform is adopted by an increasing number of enterprises and governments, it is possible that the individuals and organizations behind advanced cyberattacks will begin to focus on finding ways to defeat our security platform. If this happens, our systems and subscription customers could be specifically targeted by attackers and could result in vulnerabilities in our platform or undermine the market acceptance</w:t>
      </w:r>
    </w:p>
    <w:p>
      <w:pPr>
        <w:sectPr>
          <w:pgSz w:w="11900" w:h="16838" w:orient="portrait"/>
          <w:cols w:equalWidth="0" w:num="1">
            <w:col w:w="9040"/>
          </w:cols>
          <w:pgMar w:left="1420" w:top="517" w:right="143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could result in personally-identifiable information and other customer data being accessible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spacing w:after="0" w:line="18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or were implicated in failing to block such attack.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spacing w:after="0" w:line="17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As a cybersecurity provider, we have been, and expect to continue to be, a target of cyberattacks. If our internal networks, systems, or data are or are perceived to have been compromised, our reputation may be damaged and our financial results may be negatively affected.</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As a provider of security solutions, our Falcon platform has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We are also susceptible to inadvertent compromises of our systems and data, including those arising from process, coding, or human errors. A successful attack or other incident that compromises our or our customers’ data or results in an interruption of service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w:t>
      </w:r>
    </w:p>
    <w:p>
      <w:pPr>
        <w:spacing w:after="0" w:line="18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It is virtually impossible for us to entirely eliminate the risk of such compromises, interruptions in service, or other security incidents affecting our internal systems or data. Organizations are subject to a wide variety of attacks on their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could damage our relationships with our existing customers and could have a negative effect on our ability to attract and retain new customers. We have expended, and anticipate continuing to expend, significant amounts and resources in an effort to prevent security breaches and other security incidents impacting our systems and data. Since our business is focused on providing reliable security services to our customers, we believe that an actual or perceived security incident affecting, our internal systems</w:t>
      </w:r>
    </w:p>
    <w:p>
      <w:pPr>
        <w:sectPr>
          <w:pgSz w:w="11900" w:h="16838" w:orient="portrait"/>
          <w:cols w:equalWidth="0" w:num="1">
            <w:col w:w="9060"/>
          </w:cols>
          <w:pgMar w:left="1420" w:top="517" w:right="141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or data or data of our customers would be especially detrimental to our reputation, customer confidence in our solution, and our business.</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 and reputation.</w:t>
      </w:r>
    </w:p>
    <w:p>
      <w:pPr>
        <w:spacing w:after="0" w:line="189" w:lineRule="exact"/>
        <w:rPr>
          <w:sz w:val="20"/>
          <w:szCs w:val="20"/>
          <w:color w:val="auto"/>
        </w:rPr>
      </w:pPr>
    </w:p>
    <w:p>
      <w:pPr>
        <w:ind w:right="160"/>
        <w:spacing w:after="0" w:line="340" w:lineRule="auto"/>
        <w:rPr>
          <w:sz w:val="20"/>
          <w:szCs w:val="20"/>
          <w:color w:val="auto"/>
        </w:rPr>
      </w:pPr>
      <w:r>
        <w:rPr>
          <w:rFonts w:ascii="Arial" w:cs="Arial" w:eastAsia="Arial" w:hAnsi="Arial"/>
          <w:sz w:val="15"/>
          <w:szCs w:val="15"/>
          <w:b w:val="1"/>
          <w:bCs w:val="1"/>
          <w:i w:val="1"/>
          <w:iCs w:val="1"/>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3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165"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The following factors, many of which are beyond our control, can affect the delivery, availability, and the performance of our Falcon platform:</w:t>
      </w:r>
    </w:p>
    <w:p>
      <w:pPr>
        <w:spacing w:after="0" w:line="170" w:lineRule="exact"/>
        <w:rPr>
          <w:sz w:val="20"/>
          <w:szCs w:val="20"/>
          <w:color w:val="auto"/>
        </w:rPr>
      </w:pPr>
    </w:p>
    <w:p>
      <w:pPr>
        <w:ind w:left="1000" w:hanging="316"/>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development and maintenance of the infrastructure of the internet;</w:t>
      </w:r>
    </w:p>
    <w:p>
      <w:pPr>
        <w:spacing w:after="0" w:line="225" w:lineRule="exact"/>
        <w:rPr>
          <w:rFonts w:ascii="Arial" w:cs="Arial" w:eastAsia="Arial" w:hAnsi="Arial"/>
          <w:sz w:val="18"/>
          <w:szCs w:val="18"/>
          <w:color w:val="auto"/>
        </w:rPr>
      </w:pPr>
    </w:p>
    <w:p>
      <w:pPr>
        <w:ind w:left="1000" w:right="220" w:hanging="316"/>
        <w:spacing w:after="0" w:line="308"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performance and availability of third-party providers of cloud infrastructure services, such as AWS, with the necessary speed, data capacity and security for providing reliable internet access and services;</w:t>
      </w:r>
    </w:p>
    <w:p>
      <w:pPr>
        <w:spacing w:after="0" w:line="146" w:lineRule="exact"/>
        <w:rPr>
          <w:rFonts w:ascii="Arial" w:cs="Arial" w:eastAsia="Arial" w:hAnsi="Arial"/>
          <w:sz w:val="17"/>
          <w:szCs w:val="17"/>
          <w:color w:val="auto"/>
        </w:rPr>
      </w:pPr>
    </w:p>
    <w:p>
      <w:pPr>
        <w:ind w:left="1000" w:right="200" w:hanging="316"/>
        <w:spacing w:after="0" w:line="286"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165" w:lineRule="exact"/>
        <w:rPr>
          <w:rFonts w:ascii="Arial" w:cs="Arial" w:eastAsia="Arial" w:hAnsi="Arial"/>
          <w:sz w:val="17"/>
          <w:szCs w:val="17"/>
          <w:color w:val="auto"/>
        </w:rPr>
      </w:pPr>
    </w:p>
    <w:p>
      <w:pPr>
        <w:ind w:left="1000" w:right="40" w:hanging="316"/>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physical or electronic break-ins, acts of war or terrorism, human error or interference (including by disgruntled employees, former employees or contractors) and other catastrophic events;</w:t>
      </w:r>
    </w:p>
    <w:p>
      <w:pPr>
        <w:spacing w:after="0" w:line="170" w:lineRule="exact"/>
        <w:rPr>
          <w:rFonts w:ascii="Arial" w:cs="Arial" w:eastAsia="Arial" w:hAnsi="Arial"/>
          <w:sz w:val="18"/>
          <w:szCs w:val="18"/>
          <w:color w:val="auto"/>
        </w:rPr>
      </w:pPr>
    </w:p>
    <w:p>
      <w:pPr>
        <w:ind w:left="1000" w:right="320" w:hanging="316"/>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cyberattacks, including denial of service attacks, targeted at us, our data centers, or the infrastructure of the internet;</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by us to maintain and update our cloud infrastructure to meet our data capacity requirements;</w:t>
      </w:r>
    </w:p>
    <w:p>
      <w:pPr>
        <w:spacing w:after="0" w:line="225" w:lineRule="exact"/>
        <w:rPr>
          <w:rFonts w:ascii="Arial" w:cs="Arial" w:eastAsia="Arial" w:hAnsi="Arial"/>
          <w:sz w:val="18"/>
          <w:szCs w:val="18"/>
          <w:color w:val="auto"/>
        </w:rPr>
      </w:pPr>
    </w:p>
    <w:p>
      <w:pPr>
        <w:ind w:left="1000" w:right="340" w:hanging="316"/>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errors, defects or performance problems in our software, including third-party software incorporated in our software;</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improper deployment or configuration of our solutions;</w:t>
      </w:r>
    </w:p>
    <w:p>
      <w:pPr>
        <w:spacing w:after="0" w:line="225" w:lineRule="exact"/>
        <w:rPr>
          <w:rFonts w:ascii="Arial" w:cs="Arial" w:eastAsia="Arial" w:hAnsi="Arial"/>
          <w:sz w:val="18"/>
          <w:szCs w:val="18"/>
          <w:color w:val="auto"/>
        </w:rPr>
      </w:pPr>
    </w:p>
    <w:p>
      <w:pPr>
        <w:ind w:left="1000" w:right="60" w:hanging="316"/>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failure of our redundancy systems, in the event of a service disruption at one of our data centers, to provide failover to other data centers in our data center network; and</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failure of our disaster recovery and business continuity arrangements.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 solution is unreliable. While we do not consider them to have been material,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spacing w:after="0" w:line="1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do not effectively expand and train our direct sales force, we may be unable to add new customers or increase sales to our existing customers, and our business will be adversely affected.</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depend on our direct sales force to obtain new customers and increase sales with existing customers. Our ability to achieve significant revenue growth will depend, in large part, on our success in recruiting, training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recognize revenue from subscriptions to our platform over the term of the subscription, downturns or upturns in new business will not be immediately reflected in our results of operations.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generally recognize revenue from customers ratably over the terms of their subscription, which is generally one year.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Accordingly, the effect of downturns or upturns in new sales and potential changes in our rate of renewals may not be fully reflected in our results of operations until future periods. We may also be unable to timely reduce our cost structure in line with a significant deterioration in sales or renewals that would adversely affect our results of operations and financial condition.</w:t>
      </w:r>
    </w:p>
    <w:p>
      <w:pPr>
        <w:spacing w:after="0" w:line="1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spacing w:after="0" w:line="187" w:lineRule="exact"/>
        <w:rPr>
          <w:sz w:val="20"/>
          <w:szCs w:val="20"/>
          <w:color w:val="auto"/>
        </w:rPr>
      </w:pPr>
    </w:p>
    <w:p>
      <w:pPr>
        <w:ind w:left="1000" w:hanging="316"/>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attract new and retain existing customers;</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hanging="316"/>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budgeting cycles, seasonal buying patterns, and purchasing practices of customers;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and length of our sales cycles;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customer or channel partner requirements or market needs;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growth rate of the cloud-based SaaS-delivered endpoint security solutions market;</w:t>
      </w:r>
    </w:p>
    <w:p>
      <w:pPr>
        <w:spacing w:after="0" w:line="225" w:lineRule="exact"/>
        <w:rPr>
          <w:rFonts w:ascii="Arial" w:cs="Arial" w:eastAsia="Arial" w:hAnsi="Arial"/>
          <w:sz w:val="18"/>
          <w:szCs w:val="18"/>
          <w:color w:val="auto"/>
        </w:rPr>
      </w:pPr>
    </w:p>
    <w:p>
      <w:pPr>
        <w:ind w:left="1000" w:right="699" w:hanging="316"/>
        <w:spacing w:after="0" w:line="308"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timing and success of new product and service introductions by us or our competitors or any other competitive developments, including consolidation among our customers or competitors;</w:t>
      </w:r>
    </w:p>
    <w:p>
      <w:pPr>
        <w:spacing w:after="0" w:line="146" w:lineRule="exact"/>
        <w:rPr>
          <w:rFonts w:ascii="Arial" w:cs="Arial" w:eastAsia="Arial" w:hAnsi="Arial"/>
          <w:sz w:val="17"/>
          <w:szCs w:val="17"/>
          <w:color w:val="auto"/>
        </w:rPr>
      </w:pPr>
    </w:p>
    <w:p>
      <w:pPr>
        <w:ind w:left="1000" w:right="79" w:hanging="316"/>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 of awareness of cybersecurity threats, particularly advanced cyberattacks, and the market adoption of our Falcon platform;</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successfully expand our business domestically and internationally;</w:t>
      </w:r>
    </w:p>
    <w:p>
      <w:pPr>
        <w:spacing w:after="0" w:line="225" w:lineRule="exact"/>
        <w:rPr>
          <w:rFonts w:ascii="Arial" w:cs="Arial" w:eastAsia="Arial" w:hAnsi="Arial"/>
          <w:sz w:val="18"/>
          <w:szCs w:val="18"/>
          <w:color w:val="auto"/>
        </w:rPr>
      </w:pPr>
    </w:p>
    <w:p>
      <w:pPr>
        <w:ind w:left="1000" w:right="359" w:hanging="316"/>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decisions by organizations to purchase security solutions from larger, more established security vendors or from their primary IT equipment vendors;</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disruption in our relationship with channel partners;</w:t>
      </w:r>
    </w:p>
    <w:p>
      <w:pPr>
        <w:spacing w:after="0" w:line="225" w:lineRule="exact"/>
        <w:rPr>
          <w:rFonts w:ascii="Arial" w:cs="Arial" w:eastAsia="Arial" w:hAnsi="Arial"/>
          <w:sz w:val="18"/>
          <w:szCs w:val="18"/>
          <w:color w:val="auto"/>
        </w:rPr>
      </w:pPr>
    </w:p>
    <w:p>
      <w:pPr>
        <w:ind w:left="1000" w:right="319" w:hanging="316"/>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significant security breaches of, technical difficulties with or interruptions to, the use of our Falcon platform;</w:t>
      </w:r>
    </w:p>
    <w:p>
      <w:pPr>
        <w:spacing w:after="0" w:line="236" w:lineRule="exact"/>
        <w:rPr>
          <w:rFonts w:ascii="Arial" w:cs="Arial" w:eastAsia="Arial" w:hAnsi="Arial"/>
          <w:sz w:val="17"/>
          <w:szCs w:val="17"/>
          <w:color w:val="auto"/>
        </w:rPr>
      </w:pPr>
    </w:p>
    <w:p>
      <w:pPr>
        <w:ind w:left="1000" w:hanging="316"/>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extraordinary expenses such as litigation or other dispute-related settlement payments or outcomes;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both domestic and in our foreign markets;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or practices;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 and timing of operating costs and capital expenditures related to the expansion of our business; and</w:t>
      </w:r>
    </w:p>
    <w:p>
      <w:pPr>
        <w:spacing w:after="0" w:line="248" w:lineRule="exact"/>
        <w:rPr>
          <w:rFonts w:ascii="Arial" w:cs="Arial" w:eastAsia="Arial" w:hAnsi="Arial"/>
          <w:sz w:val="16"/>
          <w:szCs w:val="16"/>
          <w:color w:val="auto"/>
        </w:rPr>
      </w:pPr>
    </w:p>
    <w:p>
      <w:pPr>
        <w:ind w:left="1000" w:hanging="316"/>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or decreases in our expenses caused by fluctuations in foreign currency exchange rates.</w:t>
      </w:r>
    </w:p>
    <w:p>
      <w:pPr>
        <w:spacing w:after="0" w:line="225" w:lineRule="exact"/>
        <w:rPr>
          <w:sz w:val="20"/>
          <w:szCs w:val="20"/>
          <w:color w:val="auto"/>
        </w:rPr>
      </w:pPr>
    </w:p>
    <w:p>
      <w:pPr>
        <w:ind w:right="19" w:firstLine="648"/>
        <w:spacing w:after="0" w:line="290" w:lineRule="auto"/>
        <w:rPr>
          <w:sz w:val="20"/>
          <w:szCs w:val="20"/>
          <w:color w:val="auto"/>
        </w:rPr>
      </w:pPr>
      <w:r>
        <w:rPr>
          <w:rFonts w:ascii="Arial" w:cs="Arial" w:eastAsia="Arial" w:hAnsi="Arial"/>
          <w:sz w:val="16"/>
          <w:szCs w:val="16"/>
          <w:color w:val="auto"/>
        </w:rPr>
        <w:t>In addition, we experience seasonal fluctuations in our financial results as we typically receive a higher percentage of our annual orders from new customers, as well as renewal orders from existing customers, in our fourth fiscal quarter as compared to other quarters due to the annual budget approval process of many of our customers.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sales cycles can be long and unpredictable, and our sales efforts require considerable time and expense.</w:t>
      </w:r>
    </w:p>
    <w:p>
      <w:pPr>
        <w:spacing w:after="0" w:line="23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revenue recognition is difficult to predict because of the length and unpredictability of the sales cycle for our Falcon platform, particularly with respect to large organizations and government entities.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our sales cycle.</w:t>
      </w:r>
    </w:p>
    <w:p>
      <w:pPr>
        <w:spacing w:after="0" w:line="158"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spacing w:after="0" w:line="16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rely on our key technical, sales and management personnel to grow our business, and the loss of one or more key employees could harm our business.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Our future success is substantially dependent on our ability to attract, retain, and motivate the members of our management team and other key employees throughout our organization. In particular, we are highly dependent on the services of George Kurtz, our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If Mr. Kurtz, or one or more of our key employees, or members of our management team resigns or otherwise ceases to provide us with their service, our business could be harmed.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and retain qualified personnel, our business could be harmed.</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There is also significant competition for personnel with the skills and technical knowledge that we require across our technology, cyber, sales, professional services, and administrative support functions. Competition for these personnel in the San Francisco Bay Area, where our headquarters are located, and in other locations where we maintain offices,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17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addition, job candidates and existing employees often consider the value of the equity awards they receive in connection with their employment. Volatility or lack of performance in our stock price may also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not they continue to work for us. Any failure to successfully attract, integrate or retain qualified personnel to fulfill our current or future needs could adversely affect our business, results of operations and financial condition.</w:t>
      </w:r>
    </w:p>
    <w:p>
      <w:pPr>
        <w:spacing w:after="0" w:line="14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If we are not able to maintain and enhance our CrowdStrike and Falcon brand and our reputation as a provider of high-efficacy security solutions, our business and results of operations may be adversely affected.</w:t>
      </w:r>
    </w:p>
    <w:p>
      <w:pPr>
        <w:spacing w:after="0" w:line="147"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We believe that maintaining and enhancing our CrowdStrike and Falcon brand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 will depend on a number of factors, including our marketing efforts, our ability to continue to develop additional cloud modules and features for our Falcon platform, our ability to successfully differentiate our Falcon platform from competitive cloud-based or legacy security solutions and, ultimately, our ability to detect and stop breaches. Although we believe it is important for our growth, our brand promotion activities may not be successful or yield increased revenue.</w:t>
      </w:r>
    </w:p>
    <w:p>
      <w:pPr>
        <w:spacing w:after="0" w:line="16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 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customers as well as assist in analyzing and remediating high profile cyberattacks. Our work with such customers and cyberattacks may expose us to negative publicity and media coverage. Negative publicity about us, including about the efficacy and reliability of our Falcon platform, our products offerings, our professional services, and the customers we work with, even if inaccurate, could adversely affect our reputation and brand.</w:t>
      </w:r>
    </w:p>
    <w:p>
      <w:pPr>
        <w:spacing w:after="0" w:line="17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b w:val="1"/>
          <w:bCs w:val="1"/>
          <w:i w:val="1"/>
          <w:iCs w:val="1"/>
          <w:color w:val="auto"/>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spacing w:after="0" w:line="14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addition to our direct sales force, we rely on our channel partners to sell and support our Falcon platform. A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 arrangements with, and retain a sufficient number of, high quality channel partners in each of the regions in which we sell solutions and keep them motivated to sell our products, our ability to sell our products and results of operations will be harmed.</w:t>
      </w:r>
    </w:p>
    <w:p>
      <w:pPr>
        <w:spacing w:after="0" w:line="183"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Our business depends, in part, on sales to government organizations, and significant changes in the contracting or fiscal policies of such government organizations could have an adverse effect on our business and results of operations.</w:t>
      </w:r>
    </w:p>
    <w:p>
      <w:pPr>
        <w:spacing w:after="0" w:line="101"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successful, or that we will be able to maintain or grow our revenue from the government sector. Although we anticipate that they may increase in the future, sales to U.S. federal, state, and local governmental agencies have not accounted for, and may never account for, a significant portion of our revenue. U.S. federal, state and local government sales are subject to a number of challenges and risks that may adversely impact our business. Sales to such government entities include the following risks:</w:t>
      </w:r>
    </w:p>
    <w:p>
      <w:pPr>
        <w:spacing w:after="0" w:line="154" w:lineRule="exact"/>
        <w:rPr>
          <w:sz w:val="20"/>
          <w:szCs w:val="20"/>
          <w:color w:val="auto"/>
        </w:rPr>
      </w:pPr>
    </w:p>
    <w:p>
      <w:pPr>
        <w:ind w:left="1000" w:right="300" w:hanging="316"/>
        <w:spacing w:after="0" w:line="342"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selling to governmental agencies can be highly competitive, expensive and time consuming, often requiring significant upfront time and expense without any assurance that such efforts will generate a sale;</w:t>
      </w:r>
    </w:p>
    <w:p>
      <w:pPr>
        <w:spacing w:after="0" w:line="123" w:lineRule="exact"/>
        <w:rPr>
          <w:rFonts w:ascii="Arial" w:cs="Arial" w:eastAsia="Arial" w:hAnsi="Arial"/>
          <w:sz w:val="16"/>
          <w:szCs w:val="16"/>
          <w:color w:val="auto"/>
        </w:rPr>
      </w:pPr>
    </w:p>
    <w:p>
      <w:pPr>
        <w:ind w:left="1000" w:right="140" w:hanging="316"/>
        <w:spacing w:after="0" w:line="25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 certification requirements applicable to our products may change and, in doing so, restrict our ability to sell into the U.S. federal government sector until we have attained the revised certification. For example, although we are currently certified under the Federal Risk and Authorization Management Program, or FedRAMP, such certification is costly to maintain and if we lost our certification in the future it would restrict our ability to sell to government customers;</w:t>
      </w:r>
    </w:p>
    <w:p>
      <w:pPr>
        <w:spacing w:after="0" w:line="188" w:lineRule="exact"/>
        <w:rPr>
          <w:rFonts w:ascii="Arial" w:cs="Arial" w:eastAsia="Arial" w:hAnsi="Arial"/>
          <w:sz w:val="18"/>
          <w:szCs w:val="18"/>
          <w:color w:val="auto"/>
        </w:rPr>
      </w:pPr>
    </w:p>
    <w:p>
      <w:pPr>
        <w:ind w:left="1000" w:right="80" w:hanging="316"/>
        <w:spacing w:after="0" w:line="264"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 demand and payment for our Falcon platform may be impacted by public sector budgetary cycles and funding authorizations, with funding reductions or delays adversely affecting public sector demand for our Falcon platform;</w:t>
      </w:r>
    </w:p>
    <w:p>
      <w:pPr>
        <w:spacing w:after="0" w:line="181" w:lineRule="exact"/>
        <w:rPr>
          <w:rFonts w:ascii="Arial" w:cs="Arial" w:eastAsia="Arial" w:hAnsi="Arial"/>
          <w:sz w:val="18"/>
          <w:szCs w:val="18"/>
          <w:color w:val="auto"/>
        </w:rPr>
      </w:pPr>
    </w:p>
    <w:p>
      <w:pPr>
        <w:ind w:left="1000" w:hanging="316"/>
        <w:spacing w:after="0" w:line="259"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spacing w:after="0" w:line="186" w:lineRule="exact"/>
        <w:rPr>
          <w:rFonts w:ascii="Arial" w:cs="Arial" w:eastAsia="Arial" w:hAnsi="Arial"/>
          <w:sz w:val="18"/>
          <w:szCs w:val="18"/>
          <w:color w:val="auto"/>
        </w:rPr>
      </w:pPr>
    </w:p>
    <w:p>
      <w:pPr>
        <w:ind w:left="1000" w:right="100" w:hanging="316"/>
        <w:spacing w:after="0" w:line="312"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spacing w:after="0" w:line="147" w:lineRule="exact"/>
        <w:rPr>
          <w:sz w:val="20"/>
          <w:szCs w:val="20"/>
          <w:color w:val="auto"/>
        </w:rPr>
      </w:pPr>
    </w:p>
    <w:p>
      <w:pPr>
        <w:jc w:val="both"/>
        <w:ind w:right="360" w:firstLine="648"/>
        <w:spacing w:after="0" w:line="342" w:lineRule="auto"/>
        <w:rPr>
          <w:sz w:val="20"/>
          <w:szCs w:val="20"/>
          <w:color w:val="auto"/>
        </w:rPr>
      </w:pPr>
      <w:r>
        <w:rPr>
          <w:rFonts w:ascii="Arial" w:cs="Arial" w:eastAsia="Arial" w:hAnsi="Arial"/>
          <w:sz w:val="16"/>
          <w:szCs w:val="16"/>
          <w:color w:val="auto"/>
        </w:rPr>
        <w:t>The occurrence of any of the foregoing could cause governments and governmental agencies to delay or refrain from purchasing our solutions in the future or otherwise have an adverse effect on our business and results of operations.</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not timely and cost-effectively scale and adapt our existing technology to meet our customers’ performance and other requirements.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it takes a significant amount of time to plan, develop and test improvements to our technologies and infrastructure, and we may not be able to accurately forecast demand or predict the results we will realize from such improvements. To the extent that we do not effectively scale our operations to meet the needs of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spacing w:after="0" w:line="172"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w:t>
      </w:r>
    </w:p>
    <w:p>
      <w:pPr>
        <w:sectPr>
          <w:pgSz w:w="11900" w:h="16838" w:orient="portrait"/>
          <w:cols w:equalWidth="0" w:num="1">
            <w:col w:w="9060"/>
          </w:cols>
          <w:pgMar w:left="1420" w:top="517" w:right="141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 arranging alternative cloud infrastructure services. Ongoing improvements to cloud infrastructure may be more expensive than we 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success of our business depends in part on our ability to protect and enforce our intellectual property rights.</w:t>
      </w:r>
    </w:p>
    <w:p>
      <w:pPr>
        <w:spacing w:after="0" w:line="24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w:t>
      </w:r>
    </w:p>
    <w:p>
      <w:pPr>
        <w:spacing w:after="0" w:line="17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may not be effective in policing unauthorized use of our intellectual property, and even if we do detect violations, litigation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spacing w:after="0" w:line="180" w:lineRule="exact"/>
        <w:rPr>
          <w:sz w:val="20"/>
          <w:szCs w:val="20"/>
          <w:color w:val="auto"/>
        </w:rPr>
      </w:pPr>
    </w:p>
    <w:p>
      <w:pPr>
        <w:ind w:right="700"/>
        <w:spacing w:after="0" w:line="381" w:lineRule="auto"/>
        <w:rPr>
          <w:sz w:val="20"/>
          <w:szCs w:val="20"/>
          <w:color w:val="auto"/>
        </w:rPr>
      </w:pPr>
      <w:r>
        <w:rPr>
          <w:rFonts w:ascii="Arial" w:cs="Arial" w:eastAsia="Arial" w:hAnsi="Arial"/>
          <w:sz w:val="15"/>
          <w:szCs w:val="15"/>
          <w:b w:val="1"/>
          <w:bCs w:val="1"/>
          <w:i w:val="1"/>
          <w:iCs w:val="1"/>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0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w:t>
      </w:r>
    </w:p>
    <w:p>
      <w:pPr>
        <w:sectPr>
          <w:pgSz w:w="11900" w:h="16838" w:orient="portrait"/>
          <w:cols w:equalWidth="0" w:num="1">
            <w:col w:w="9060"/>
          </w:cols>
          <w:pgMar w:left="1420" w:top="517" w:right="141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assert claims of infringement of intellectual property rights against us. For example, we are currently involved in proceedings before the Trademark Trial and Appeal Board at the U.S. Patent and Trademark Office regarding our U.S. trademark registrations for CrowdStrike Falcon and our U.S. application to register our Falcon OverWatch trademark. Fair Isaac Corporation, or FICO, petitioned to cancel our trademark registrations and opposed our application. If the appeal board were to find against us, it would cancel our trademark registrations for CrowdStrike Falcon and reject our application to register Falcon OverWatch. If FICO were to file an infringement action in court and if we do not prevail in that action, we could ultimately be required to change the names of our solutions, which would force us to incur significant marketing expense in establishing an alternative brand to our existing Falcon brand. We cannot assure you that we will be successful in these rebranding efforts.</w:t>
      </w:r>
    </w:p>
    <w:p>
      <w:pPr>
        <w:spacing w:after="0" w:line="197" w:lineRule="exact"/>
        <w:rPr>
          <w:sz w:val="20"/>
          <w:szCs w:val="20"/>
          <w:color w:val="auto"/>
        </w:rPr>
      </w:pPr>
    </w:p>
    <w:p>
      <w:pPr>
        <w:ind w:right="180" w:firstLine="648"/>
        <w:spacing w:after="0" w:line="288" w:lineRule="auto"/>
        <w:rPr>
          <w:sz w:val="20"/>
          <w:szCs w:val="20"/>
          <w:color w:val="auto"/>
        </w:rPr>
      </w:pPr>
      <w:r>
        <w:rPr>
          <w:rFonts w:ascii="Arial" w:cs="Arial" w:eastAsia="Arial" w:hAnsi="Arial"/>
          <w:sz w:val="16"/>
          <w:szCs w:val="16"/>
          <w:color w:val="auto"/>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 of infringement, misappropriation, and other violations of intellectual property rights may increase. While we intend to increase the 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spacing w:after="0" w:line="16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during which we could be unable to continue to offer our affected services or features, effort and expense and may ultimately not be successful.</w:t>
      </w:r>
    </w:p>
    <w:p>
      <w:pPr>
        <w:spacing w:after="0" w:line="17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during which we could be unable to continue to offer our affected products, subscriptions or services, effort, and expense and may ultimately not be successful. Furthermore, a successful claimant could secure a judgment or we may agree to a settlement that prevents us from distributing certain products, providing certain subscriptions or performing certain services or that requires us to pay substantial damages, royalties or other fees. Any of these events could harm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license technology from third parties, and our inability to maintain those licenses could harm our business.</w:t>
      </w:r>
    </w:p>
    <w:p>
      <w:pPr>
        <w:spacing w:after="0" w:line="237"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that technology would be limited, and our business could be harmed. Additionally, if we are unable to license technology from third parties, we may be forced</w:t>
      </w:r>
    </w:p>
    <w:p>
      <w:pPr>
        <w:sectPr>
          <w:pgSz w:w="11900" w:h="16838" w:orient="portrait"/>
          <w:cols w:equalWidth="0" w:num="1">
            <w:col w:w="9060"/>
          </w:cols>
          <w:pgMar w:left="1420" w:top="517" w:right="141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spacing w:after="0" w:line="18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If we are not able to satisfy data protection, security, privacy, and other government- and industry-specific requirements or regulations, our business, results of operations, and financial condition could be harmed.</w:t>
      </w:r>
    </w:p>
    <w:p>
      <w:pPr>
        <w:spacing w:after="0" w:line="14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Personal privacy, data protection, information security, telecommunications regulations, and other laws applicable to specific categories of information are significant issues in the United States, Europe and in other jurisdictions where we offer our solutions. The data that we collect, analyze, and store is subject to a variety of laws and regulations, including regulation by various government agencies. The U.S. federal government, and various state and foreign governments, have adopted or proposed limitations on the collection, distribution, use, and storage of certain categories of information, such as personally identifiable information of individuals, health information, and other sector-specific types of data, including the Federal Trade Commission, the Electronic Communication Privacy Act, Computer Fraud and Abuse Act, HIPAA, and the Gramm Leach Bliley Act. Laws and regulations outside the United States, and particularly in Europe, often are more restrictive than those in the United States. Such laws and regulations may require companies to implement privacy and security policies, permit customers to access, correct, and delete personal information stored or maintained by such companies, inform individuals of security breaches that affect their personal information, and, in some cases, obtain individuals’ consent to use personally identifiable information for certain purposes. In addition, some foreign governments require that any information of certain categories, such as financial or personally identifiable information collected in a country not be disseminated outside of that country. We also may find it necessary or desirable to join industry or other self-regulatory bodies or other information security or data protection-related organizations that require compliance with their rules pertaining to information security and data protection. We also may be bound by additional, more stringent contractual obligations relating to our collection, use and disclosure of personal, financial, and other data.</w:t>
      </w:r>
    </w:p>
    <w:p>
      <w:pPr>
        <w:spacing w:after="0" w:line="175"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We also expect that there will continue to be new proposed laws, regulations, and industry standards concerning privacy, data protection, information security, specific categories of data, electronic, and telecommunications services in the United States, the European Union and other jurisdictions in which we operate or may operate, and we cannot yet determine the impact such future laws, regulations, standards, or perception of their requirements may have on our business. For example, the European Commission recently adopted the European General Data Protection Regulation, or GDPR, that became fully effective in May 2018, and applies to the processing (which includes the collection and use) of certain personal data. As compared to previously-effective data protection law in the European Union, the GDPR imposes additional obligations and risk upon our business and increases substantially the penalties to which we could be subject in the event of any non-compliance. Administrative fines under the GDPR can amount up to 20 million Euros or four percent of our worldwide annual revenue for the prior fiscal year, whichever is higher. We have incurred substantial expense in complying with the obligations imposed by the GDPR and we may be required to do so in the future, potentially making significant changes in our business operations, which may adversely affect our revenue and our business overall. Additionally, because there have been very few GDPR actions enforced against companies, we are unable to predict how they will be applied to us or our customers. Despite our efforts to attempt to comply with the GDPR, a regulator may determine that we have not done so and subject us to fines and public censure, which could harm our company. Among other requirements, the GDPR regulates transfers of personal data subject to the GDPR to third countries that have not been found to provide adequate protection to such personal data, including the United States. We have undertaken certain efforts to conform transfers of personal data from the European Economic Area, or EEA, to the United States and other jurisdictions based on our understanding of current regulatory obligations and the guidance of data protection authorities. Despite this, we may be unsuccessful in establishing or maintaining conforming means of transferring such data from the EEA, in particular as a result of continued legal and legislative activity within the European Union that has challenged or called into question the legal basis for existing means of data transfers to countries that have not been found to provide adequate protection for personal data.</w:t>
      </w:r>
    </w:p>
    <w:p>
      <w:pPr>
        <w:spacing w:after="0" w:line="396"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The implementation of the GDPR has led other jurisdictions to either amend, or propose legislation to amend their existing data privacy and cybersecurity laws to resemble all or a portion of the requirements of the GDPR (e.g., for purposes of having an adequate level of data protection to facilitate data transfers from the EU) or enact new laws to do</w:t>
      </w:r>
    </w:p>
    <w:p>
      <w:pPr>
        <w:sectPr>
          <w:pgSz w:w="11900" w:h="16838" w:orient="portrait"/>
          <w:cols w:equalWidth="0" w:num="1">
            <w:col w:w="9060"/>
          </w:cols>
          <w:pgMar w:left="1420" w:top="517" w:right="141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same. Accordingly, the challenges we face in the EU will likely also apply to other jurisdictions outside the EU that adopt laws similar in construction to the GDPR or regulatory frameworks of equivalent complexity. For example, on June 28, 2018, California adopted the California Consumer Privacy Act of 2018, or CCPA. The CCPA has been characterized as the first “GDPR-like” privacy statute to be enacted in the United States because it contains a number of provisions similar to certain provisions of the GDPR. Because of this, we may need to engage in data mapping to identify any consumer information that we may be collecting from our customers through our Falcon platform. In addition, we will need to ensure that our policies permit our customers to recognize the rights granted to consumers by the CCPA. All of this will need to be done before the effective date of the CCPA on January 1, 2020.</w:t>
      </w:r>
    </w:p>
    <w:p>
      <w:pPr>
        <w:spacing w:after="0" w:line="17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Evolving and changing definitions of personal data and personal information within the European Union, the United States, and elsewhere, especially relating to classification of IP addresses, machine identification, location data and other information, may limit or inhibit our ability to operate or expand our business, including limiting technology alliance partnerships that may involve the sharing of data. Even the perception of privacy concerns, whether or not valid, may harm our reputation, inhibit adoption of our products by current and future customers, or adversely impact our ability to attract and retain workforce talent. In addition, changes in laws or regulations that adversely affect the use of the internet, including laws impacting net neutrality, could impact our business. We expect that existing laws, regulations and standards may be interpreted in new manners in the future. Future laws, regulations, standards and other obligations, and changes in the interpretation of existing laws, regulations, standards and other obligations could require us to modify our solutions, restrict our business operations, increase our costs and impair our ability to maintain and grow our customer base and increase our revenue.</w:t>
      </w:r>
    </w:p>
    <w:p>
      <w:pPr>
        <w:spacing w:after="0" w:line="18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Beyond broader data processing regulations affecting our business, the cybersecurity industry may face direct regulation. In 2018, Singapore introduced what is believed to be the world’s first cybersecurity licensing requirement, mandating that providers of specific types of incident response services receive a government license before providing such services. License requirements such as these may impose upon CrowdStrike significant organizational costs and high barriers of entry into new markets.</w:t>
      </w:r>
    </w:p>
    <w:p>
      <w:pPr>
        <w:spacing w:after="0" w:line="188"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Although we work to comply with applicable laws and regulations, certain applicable industry standards with which we represent compliance, and our contractual obligations and other legal obligations, those laws, regulations, standards and obligations are evolving and may be modified, interpreted and applied in an inconsistent manner from one jurisdiction to another, and may conflict with one another. In addition, they may conflict with other requirements or legal obligations that apply to our business or the security features and services that our customers expect from our solutions. As such, we cannot assure ongoing compliance with all such laws, regulations, standards and obligations. Any failure or perceived failure by us or our employees, representatives, contractors, channel partners, agents, intermediaries, or other third parties to comply with applicable laws and regulations, or applicable industry standards that we represent compliance with or that may be asserted to apply to us, or to comply with employee, customer, partner, and other data privacy and data security requirements pursuant to contract and our stated notices or policies, could result in enforcement actions against us, including fines, imprisonment of company officials and public censure, claims for damages by customers and other affected individuals, damage to our reputation and loss of goodwill (both in relation to existing customers and prospective customers), any of which could have a material adverse effect on our operations, financial performance and business. Any inability of us or our employees, representatives, contractors, channel partners, agents, intermediaries, or other third parties to adequately address privacy and security concerns, even if unfounded, or comply with applicable laws, regulations, standards and obligations, could result in additional cost and liability to us, damage our reputation, inhibit sales, and adversely affect our business and results of operations.</w:t>
      </w:r>
    </w:p>
    <w:p>
      <w:pPr>
        <w:spacing w:after="0" w:line="193" w:lineRule="exact"/>
        <w:rPr>
          <w:sz w:val="20"/>
          <w:szCs w:val="20"/>
          <w:color w:val="auto"/>
        </w:rPr>
      </w:pPr>
    </w:p>
    <w:p>
      <w:pPr>
        <w:jc w:val="both"/>
        <w:ind w:right="180"/>
        <w:spacing w:after="0" w:line="381" w:lineRule="auto"/>
        <w:rPr>
          <w:sz w:val="20"/>
          <w:szCs w:val="20"/>
          <w:color w:val="auto"/>
        </w:rPr>
      </w:pPr>
      <w:r>
        <w:rPr>
          <w:rFonts w:ascii="Arial" w:cs="Arial" w:eastAsia="Arial" w:hAnsi="Arial"/>
          <w:sz w:val="15"/>
          <w:szCs w:val="15"/>
          <w:b w:val="1"/>
          <w:bCs w:val="1"/>
          <w:i w:val="1"/>
          <w:iCs w:val="1"/>
          <w:color w:val="auto"/>
        </w:rPr>
        <w:t>Failure to comply with laws and regulations applicable to our business could subject us to fines and penalties and could also cause us to lose customers in the public sector or negatively impact our ability to contract with the public sector.</w:t>
      </w:r>
    </w:p>
    <w:p>
      <w:pPr>
        <w:spacing w:after="0" w:line="101" w:lineRule="exact"/>
        <w:rPr>
          <w:sz w:val="20"/>
          <w:szCs w:val="20"/>
          <w:color w:val="auto"/>
        </w:rPr>
      </w:pPr>
    </w:p>
    <w:p>
      <w:pPr>
        <w:jc w:val="both"/>
        <w:ind w:right="180" w:firstLine="648"/>
        <w:spacing w:after="0" w:line="276" w:lineRule="auto"/>
        <w:rPr>
          <w:sz w:val="20"/>
          <w:szCs w:val="20"/>
          <w:color w:val="auto"/>
        </w:rPr>
      </w:pPr>
      <w:r>
        <w:rPr>
          <w:rFonts w:ascii="Arial" w:cs="Arial" w:eastAsia="Arial" w:hAnsi="Arial"/>
          <w:sz w:val="17"/>
          <w:szCs w:val="17"/>
          <w:color w:val="auto"/>
        </w:rPr>
        <w:t>Our business is subject to regulation by various federal, state, local and foreign governmental agencies, including agencies responsible for monitoring and enforcing privacy and data protection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Noncompliance by us, our</w:t>
      </w:r>
    </w:p>
    <w:p>
      <w:pPr>
        <w:sectPr>
          <w:pgSz w:w="11900" w:h="16838" w:orient="portrait"/>
          <w:cols w:equalWidth="0" w:num="1">
            <w:col w:w="9060"/>
          </w:cols>
          <w:pgMar w:left="1420" w:top="517" w:right="141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employees, representatives, contractors, channel partners, agents, intermediaries, or other third parties with applicable regulations or requirements could subject us to:</w:t>
      </w:r>
    </w:p>
    <w:p>
      <w:pPr>
        <w:spacing w:after="0" w:line="170" w:lineRule="exact"/>
        <w:rPr>
          <w:sz w:val="20"/>
          <w:szCs w:val="20"/>
          <w:color w:val="auto"/>
        </w:rPr>
      </w:pPr>
    </w:p>
    <w:p>
      <w:pPr>
        <w:ind w:left="1000" w:hanging="316"/>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investigations, enforcement actions and sanctions;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mandatory changes to our Falcon platform;</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disgorgement of profits, fines and damages;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civil and criminal penalties or injunctions;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claims for damages by our customers or channel partners;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termination of contracts;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intellectual property rights; and</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temporary or permanent debarment from sales to government organizations.</w:t>
      </w:r>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spacing w:after="0" w:line="15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spacing w:after="0" w:line="18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the public sector could result in reduced sales of our products, substantial product inventory write-offs, reputational damage, penalties, and other sanctions, any of which could harm our business, reputation, and results of operations.</w:t>
      </w:r>
    </w:p>
    <w:p>
      <w:pPr>
        <w:spacing w:after="0" w:line="17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i w:val="1"/>
          <w:iCs w:val="1"/>
          <w:color w:val="auto"/>
        </w:rPr>
        <w:t>We are subject to laws and regulations, including governmental export and import controls, sanctions, and anti-corruption laws, that could impair our ability to compete in our markets and subject us to liability if we are not in full compliance with applicable laws.</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are subject to laws and regulations, including governmental export controls, that could subject us to liability or impair our ability to compete in our markets. Our products are subject to U.S. export controls, including the U.S. Department of Commerce’s Export Administration Regulations, and we and our employees, representatives, contractors, agents, intermediaries, and other third parties are also subject to various economic and trade sanctions regulations administered by the U.S. Treasury Department’s Office of Foreign Assets Control. We incorporate standard encryption algorithms into our products, which, along with the underlying technology, may be exported outside of the U.S. only with the required export authorizations, including by license, license exception or other appropriate government authorizations, which may require the filing of an encryption registration and classification request. Furthermore, U.S. export control laws and economic sanctions prohibit the shipment of certain cloud-based solutions to countries, governments, and persons targeted by U.S. sanctions. We also collect information about cyber threats from open sources, intermediaries, and third parties that we make available to our customers in our threat industry publications. While we</w:t>
      </w:r>
    </w:p>
    <w:p>
      <w:pPr>
        <w:sectPr>
          <w:pgSz w:w="11900" w:h="16838" w:orient="portrait"/>
          <w:cols w:equalWidth="0" w:num="1">
            <w:col w:w="9060"/>
          </w:cols>
          <w:pgMar w:left="1420" w:top="517" w:right="141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have implemented certain procedures to facilitate compliance with applicable laws and regulations in connection with the collection of this information, we cannot assure you that these procedures have been effective or that we, or third parties, many of whom we do not control, have complied with all laws or regulations in this regard. Failure by our employees, representatives, contractors, channel partners, agents, intermediaries, or other third parties to comply with applicable laws and regulations in the collection of this information also could have negative consequences to us, including reputational harm, government investigations and penalties.</w:t>
      </w:r>
    </w:p>
    <w:p>
      <w:pPr>
        <w:spacing w:after="0" w:line="178"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Although we take precautions to prevent our information collection practices and services from being provided in violation of such laws, our information collection practices and services may have been in the past, and could in the future be, provided in violation of such laws. If we or our employees, representatives, contractors, channel partners, agents, intermediaries, or other third parties fail to comply with these laws and regulations, we could be subject to civil or criminal penalties, including the possible loss of export privileges and fines. We may also be adversely affected through reputational harm, loss of access to certain markets, or otherwise. Obtaining the necessary authorizations, including any required license, for a particular transaction may be time-consuming, is not guaranteed and may result in the delay or loss of sales opportunities.</w:t>
      </w:r>
    </w:p>
    <w:p>
      <w:pPr>
        <w:spacing w:after="0" w:line="192"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Various countries regulate the import of certain encryption technology, including through import permit and license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into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results of operations, and financial condition.</w:t>
      </w:r>
    </w:p>
    <w:p>
      <w:pPr>
        <w:spacing w:after="0" w:line="183"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are also subject to the U.S. Foreign Corrupt Practices Act of 1977, or FCPA, the UK Bribery Act 2010, or Bribery Act, and other anti-corruption, sanctions, anti-bribery, anti-money laundering and similar laws in the United States and other countries in which we conduct activities. Anti-corruption and anti-bribery laws, which have been enforced aggressively and are interpreted broadly, prohibit companies and their employees, agents, intermediaries, and other third parties from promising, authorizing, making or offering improper payments or other benefits to government officials and others in the private sector. We leverage third parties, including intermediaries, agents, and channel partners, to conduct our business in the U.S. and abroad, to sell subscriptions to our Falcon platform and to collect information about cyber threats. We and these third-parties may have direct or indirect interactions with officials and employees of government agencies or state-owned or affiliated entities and we may be held liable for the corrupt or other illegal activities of these third-party business partners and intermediaries, our employees, representatives, contractors, channel partners, agents, intermediaries, and other third parties, even if we do not explicitly authorize such activities. While we have policies and procedures to address compliance with FCPA, Bribery Act and other anti-corruption, sanctions, anti-bribery, anti-money laundering and similar laws, we cannot assure you that they will be effective, or that all of our employees, representatives, contractors, channel partners, agents, intermediaries, or other third parties have taken, or will not take actions, in violation of our policies and applicable law, for which we may be ultimately held responsible. As we increase our international sales and business, our risks under these laws may increase. Noncompliance with these laws could subject us to investigations, severe criminal or civil sanctions, settlements, prosecution, loss of export privileges, suspension or debarment from U.S. government contracts, other enforcement actions, disgorgement of profits, significant fines, damages, other civil and criminal penalties or injunctions, whistleblower complaints, adverse media coverage and other consequences. Any investigations, actions or sanctions could harm our reputation, business, results of operations and financial condition.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Some of our technology incorporates “open source” software, which could negatively affect our ability to sell our Falcon platform and subject us to possible litigation.</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licensors generally do not provide warranties or other contractual protections regarding infringement claims or the quality of the code. Many of the risks associated with use of open source software cannot be eliminated and could negatively affect our business. In addition, the wide availability of source code used in our solutions could expose us to security vulnerabilities.</w:t>
      </w:r>
    </w:p>
    <w:p>
      <w:pPr>
        <w:spacing w:after="0" w:line="18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 eliminate the value of our services. This would allow our competitors to create similar products with lower development effort and time and ultimately could result in a loss of sales for us.</w:t>
      </w:r>
    </w:p>
    <w:p>
      <w:pPr>
        <w:spacing w:after="0" w:line="166"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spacing w:after="0" w:line="180" w:lineRule="exact"/>
        <w:rPr>
          <w:sz w:val="20"/>
          <w:szCs w:val="20"/>
          <w:color w:val="auto"/>
        </w:rPr>
      </w:pPr>
    </w:p>
    <w:p>
      <w:pPr>
        <w:ind w:left="1000" w:hanging="316"/>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resulting in time-consuming and costly litigation;</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diverting management’s time and attention from developing our business;</w:t>
      </w:r>
    </w:p>
    <w:p>
      <w:pPr>
        <w:spacing w:after="0" w:line="225" w:lineRule="exact"/>
        <w:rPr>
          <w:rFonts w:ascii="Arial" w:cs="Arial" w:eastAsia="Arial" w:hAnsi="Arial"/>
          <w:sz w:val="18"/>
          <w:szCs w:val="18"/>
          <w:color w:val="auto"/>
        </w:rPr>
      </w:pPr>
    </w:p>
    <w:p>
      <w:pPr>
        <w:ind w:left="1000" w:right="600" w:hanging="316"/>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requiring us to pay monetary damages or enter into royalty and licensing agreements that we would not normally find acceptable;</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causing delays in the deployment of our Falcon platform or service offerings to our customers;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requiring us to stop offering certain services or features of our Falcon platform;</w:t>
      </w:r>
    </w:p>
    <w:p>
      <w:pPr>
        <w:spacing w:after="0" w:line="225" w:lineRule="exact"/>
        <w:rPr>
          <w:rFonts w:ascii="Arial" w:cs="Arial" w:eastAsia="Arial" w:hAnsi="Arial"/>
          <w:sz w:val="18"/>
          <w:szCs w:val="18"/>
          <w:color w:val="auto"/>
        </w:rPr>
      </w:pPr>
    </w:p>
    <w:p>
      <w:pPr>
        <w:ind w:left="1000" w:right="300" w:hanging="316"/>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requiring us to redesign certain components of our Falcon platform using alternative non-infringing or non-open source technology, which could require significant effort and expense;</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requiring us to disclose our software source code and the detailed program commands for our software; and</w:t>
      </w:r>
    </w:p>
    <w:p>
      <w:pPr>
        <w:spacing w:after="0" w:line="248" w:lineRule="exact"/>
        <w:rPr>
          <w:rFonts w:ascii="Arial" w:cs="Arial" w:eastAsia="Arial" w:hAnsi="Arial"/>
          <w:sz w:val="16"/>
          <w:szCs w:val="16"/>
          <w:color w:val="auto"/>
        </w:rPr>
      </w:pPr>
    </w:p>
    <w:p>
      <w:pPr>
        <w:ind w:left="1000" w:hanging="316"/>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requiring us to satisfy indemnification obligations to our customers.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720"/>
        <w:spacing w:after="0" w:line="381" w:lineRule="auto"/>
        <w:rPr>
          <w:sz w:val="20"/>
          <w:szCs w:val="20"/>
          <w:color w:val="auto"/>
        </w:rPr>
      </w:pPr>
      <w:r>
        <w:rPr>
          <w:rFonts w:ascii="Arial" w:cs="Arial" w:eastAsia="Arial" w:hAnsi="Arial"/>
          <w:sz w:val="15"/>
          <w:szCs w:val="15"/>
          <w:b w:val="1"/>
          <w:bCs w:val="1"/>
          <w:i w:val="1"/>
          <w:iCs w:val="1"/>
          <w:color w:val="auto"/>
        </w:rPr>
        <w:t>We provide service level commitments under some of our customer contracts. If we fail to meet these contractual commitments, we could be obligated to provide credits for future service and our business could suffer.</w:t>
      </w:r>
    </w:p>
    <w:p>
      <w:pPr>
        <w:spacing w:after="0" w:line="10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If we are unable to meet our stated service level commitments or if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 for such commitments. Our revenue, other results of operations and financial condition could be harmed if we suffer performance issues or downtime that exceeds the service level commitments under our agreements with our customers.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litigation that may adversely affect us.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We are regularly subject to claims, suits, and government investigations and other proceedings including patent, product liability, class action, whistleblower, personal injury, property damage, labor and employment, commercial disputes, compliance with laws and regulatory requirements and other matters, and we may become subject to additional types of claims, suits, investigations and proceedings as our business develops. For example, we, along with certain other cybersecurity providers, currently are subject to a civil investigation regarding participation in cybersecurity testing standard-setting and allegations that this standard-setting facilitated a concerted refusal to deal with cybersecurity testing organizations that did not adhere to those standards. While we believe that we have acted in compliance in all material respects with applicable antitrust laws, such investigation, as well as any other claims, suits, and government investigations and proceedings that may be asserted against us in the future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maintain customer satisfaction depends in part on the quality of our customer support.</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Once our Falcon platform is deployed within our customers’ networks, our customers depend on our customer support services to resolve any issues relating to the implementation and maintenance of our Falcon platform. If we do not provide effective ongoing support, our ability to sell additional modules as part of our Falcon platform to existing customers would be adversely affected and our reputation with potential customers could be damaged. Many larger organizations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spacing w:after="0" w:line="178"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We may need to raise additional capital to expand our operations and invest in new solutions, which capital may not be available on terms acceptable to us, or at all, and which could reduce our ability to compete and could harm our business.</w:t>
      </w:r>
    </w:p>
    <w:p>
      <w:pPr>
        <w:spacing w:after="0" w:line="101"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We expect that our existing cash and cash equivalents and marketable securities will be sufficient to meet our anticipated cash needs for working capital and capital expenditures for at least the next 12 months. Retaining or</w:t>
      </w:r>
    </w:p>
    <w:p>
      <w:pPr>
        <w:sectPr>
          <w:pgSz w:w="11900" w:h="16838" w:orient="portrait"/>
          <w:cols w:equalWidth="0" w:num="1">
            <w:col w:w="9040"/>
          </w:cols>
          <w:pgMar w:left="1420" w:top="517" w:right="143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expanding our current levels of personnel and products offerings may require additional funds to respond to business challenges, including the need to develop new products and enhancements to our Falcon platform, improve our operating infrastructure, or acquire complementary businesses and technologies. Our failure to raise additional capital or generate the significant capital necessary to expand our operations and invest in new products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Class A common stock could decline. If we engage in debt financing, the holders of debt would have priority over the holders of our Class A common stock, and we may be required to accept terms that restrict our operations or our ability to incur additional indebtedness or to take other actions that would otherwise be in the interests of the debt holders. Any of the above could harm our business, results of operations, and financial condition.</w:t>
      </w:r>
    </w:p>
    <w:p>
      <w:pPr>
        <w:spacing w:after="0" w:line="169" w:lineRule="exact"/>
        <w:rPr>
          <w:sz w:val="20"/>
          <w:szCs w:val="20"/>
          <w:color w:val="auto"/>
        </w:rPr>
      </w:pPr>
    </w:p>
    <w:p>
      <w:pPr>
        <w:ind w:right="60"/>
        <w:spacing w:after="0" w:line="340" w:lineRule="auto"/>
        <w:rPr>
          <w:sz w:val="20"/>
          <w:szCs w:val="20"/>
          <w:color w:val="auto"/>
        </w:rPr>
      </w:pPr>
      <w:r>
        <w:rPr>
          <w:rFonts w:ascii="Arial" w:cs="Arial" w:eastAsia="Arial" w:hAnsi="Arial"/>
          <w:sz w:val="15"/>
          <w:szCs w:val="15"/>
          <w:b w:val="1"/>
          <w:bCs w:val="1"/>
          <w:i w:val="1"/>
          <w:iCs w:val="1"/>
          <w:color w:val="auto"/>
        </w:rPr>
        <w:t>Our business is subject to the risks of warranty claims, product returns,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3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may be subject to liability claims for damages related to errors or defects in our solutions.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do not cover our indemnification obligations as described in the section titled “Management’s Discussion and Analysis of Financial Condition and Results of Operations—Indemnification” and they may not fully or effectively protect us from claims as a result of federal, state, or local laws or ordinances, or unfavorable judicial decisions in the United States or other countries. The sale and support of our products also entails the risk of product liability claims.</w:t>
      </w:r>
    </w:p>
    <w:p>
      <w:pPr>
        <w:spacing w:after="0" w:line="16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not to date received any indemnification claims from third parties. However, as we continue to grow, the possibility of these claims against us will increase.</w:t>
      </w:r>
    </w:p>
    <w:p>
      <w:pPr>
        <w:spacing w:after="0" w:line="16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 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spacing w:after="0" w:line="166"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course of performing certain solution-related services and our professional services, our teams may have significant access to our customers’ networks. We cannot be sure that a disgruntled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divert management’s time and other resources, and harm our business and reputation. We offer our customers a limited warranty, subject to certain conditions, with our Falcon Complete cloud module and our potential liability under this warranty is provided by our insurance carrier to us.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 customers, negatively impact our sales and marketing efforts, and have an adverse effect on our business, financial condition and results of operations.</w:t>
      </w:r>
    </w:p>
    <w:p>
      <w:pPr>
        <w:spacing w:after="0" w:line="16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Our credit agreement contains restrictive covenants that limit our ability to borrow more money, to make distributions to our stockholders, and to engage in certain other activities, as well as financial covenants that may limit our operating flexibility.</w:t>
      </w:r>
    </w:p>
    <w:p>
      <w:pPr>
        <w:spacing w:after="0" w:line="181"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existing credit agreement contains a number of covenants that limit our ability and our subsidiaries’ ability to, among other things, transfer or dispose of assets, pay dividends or make distributions, incur additional indebtedness, create liens, make investments, loans and acquisitions, engage in transactions with affiliates, merge or consolidate with other companies, or sell substantially all of our assets. Our credit agreement is guaranteed by us and certain of our subsidiaries and secured by substantially all of the assets of the borrower subsidiary, us, and the guarantor subsidiaries. The terms of our credit agreement may restrict our current and future operations and could adversely affect our ability to finance our future operations or capital needs or to execute preferred business strategies. In addition, complying with these covenants may make it more difficult for us to successfully execute our business strategy and compete against companies who are not subject to such restrictions. Additionally, our credit agreement includes financial covenants that require us to maintain minimum growth rates of our recurring subscription revenue, and to maintain minimum liquidity at specified levels. We may not be able to generate sufficient cash flow or sales to meet the financial covenants or pay the principal or interest under the credit facility.</w:t>
      </w:r>
    </w:p>
    <w:p>
      <w:pPr>
        <w:spacing w:after="0" w:line="180"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If we are unable to comply with our payment requirements, our lender may accelerate our obligations under our credit agreement and foreclose upon the collateral, or we may be forced to sell assets, restructure our indebtedness or seek additional equity capital, which would dilute our stockholders’ interests. If we fail to comply with any covenant it could result in an event of default under the agreement and our lender could make the entire debt immediately due and payable. If this occurs, we might not be able to repay our debt or borrow sufficient funds to refinance it. Even if new financing is available, it may not be on terms that are acceptable to us.</w:t>
      </w:r>
    </w:p>
    <w:p>
      <w:pPr>
        <w:spacing w:after="0" w:line="17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if we fail to maintain an effective system of internal controls, our ability to produce timely and accurate financial statements or comply with applicable regulations could be impaired.</w:t>
      </w:r>
    </w:p>
    <w:p>
      <w:pPr>
        <w:spacing w:after="0" w:line="18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As a new public company, we recently became subject to the reporting requirements of the Securities Exchange Act of 1934, as amended, or the Exchange Act, the Sarbanes-Oxley Act of 2002, or the Sarbanes-Oxley Act, and the rules and regulations of Nasdaq. We expect that the requirements of these rules and regulations will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spacing w:after="0" w:line="16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results of operations, may result in a restatement of our financial statements for prior periods, cause us to fail to</w:t>
      </w:r>
    </w:p>
    <w:p>
      <w:pPr>
        <w:sectPr>
          <w:pgSz w:w="11900" w:h="16838" w:orient="portrait"/>
          <w:cols w:equalWidth="0" w:num="1">
            <w:col w:w="9060"/>
          </w:cols>
          <w:pgMar w:left="1420" w:top="517" w:right="141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are required to file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As a result of becoming a public company, our management if required, pursuant to Section 404 of the Sarbanes-Oxley Act, to certify financial and other information in our quarterly and annual reports and provide an annual management report on the effectiveness of our internal control over financial reporting commencing with our second Annual Report on Form 10-K. In order to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financial condition, and results of operations.</w:t>
      </w:r>
    </w:p>
    <w:p>
      <w:pPr>
        <w:spacing w:after="0" w:line="18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At such time, our independent registered public accounting firm may issue a report that is adverse in the event it is not satisfied with the level at which our controls are documented, designed or operating. Any failure to maintain effective disclosure controls and internal control over financial reporting could have a material and adverse effect on our business and results of operations and could cause a decline in the price of our stock.</w:t>
      </w:r>
    </w:p>
    <w:p>
      <w:pPr>
        <w:spacing w:after="0" w:line="19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Future acquisitions, strategic investments, partnerships, or alliances could be difficult to identify and integrate, divert the attention of key management personnel, disrupt our business, dilute stockholder value and adversely affect our results of operations and financial condition.</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part of our business strategy, we have in the past and are likely to continue to make investments in and/or acquire complementary companies, services or technologies, such as our acquisition of Payload Security, UG. Our ability as an organization to acquire and integrate other companies, services or technologies in a successful manner in the future is not guaranteed. We may not be able to find suitable acquisition candidates,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end-customers or investors. In addition,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and the market price of our Class A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risks we may face in connection with acquisitions include:</w:t>
      </w:r>
    </w:p>
    <w:p>
      <w:pPr>
        <w:spacing w:after="0" w:line="225" w:lineRule="exact"/>
        <w:rPr>
          <w:sz w:val="20"/>
          <w:szCs w:val="20"/>
          <w:color w:val="auto"/>
        </w:rPr>
      </w:pPr>
    </w:p>
    <w:p>
      <w:pPr>
        <w:ind w:left="1000" w:right="400" w:hanging="316"/>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coordination of research and development and sales and marketing functions;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integration of product and service offerings;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retention of key employees from the acquired company;</w:t>
      </w:r>
    </w:p>
    <w:p>
      <w:pPr>
        <w:spacing w:after="0" w:line="225" w:lineRule="exact"/>
        <w:rPr>
          <w:rFonts w:ascii="Arial" w:cs="Arial" w:eastAsia="Arial" w:hAnsi="Arial"/>
          <w:sz w:val="18"/>
          <w:szCs w:val="18"/>
          <w:color w:val="auto"/>
        </w:rPr>
      </w:pPr>
    </w:p>
    <w:p>
      <w:pPr>
        <w:ind w:left="1000" w:right="520" w:hanging="316"/>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relationships with strategic partners as a result of product acquisitions or strategic positioning resulting from the acquisition;</w:t>
      </w:r>
    </w:p>
    <w:p>
      <w:pPr>
        <w:sectPr>
          <w:pgSz w:w="11900" w:h="16838" w:orient="portrait"/>
          <w:cols w:equalWidth="0" w:num="1">
            <w:col w:w="9060"/>
          </w:cols>
          <w:pgMar w:left="1420" w:top="517" w:right="141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hanging="316"/>
        <w:spacing w:after="0"/>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cultural challenges associated with integrating employees from the acquired company into our organization;</w:t>
      </w:r>
    </w:p>
    <w:p>
      <w:pPr>
        <w:spacing w:after="0" w:line="248" w:lineRule="exact"/>
        <w:rPr>
          <w:rFonts w:ascii="Arial" w:cs="Arial" w:eastAsia="Arial" w:hAnsi="Arial"/>
          <w:sz w:val="16"/>
          <w:szCs w:val="16"/>
          <w:color w:val="auto"/>
        </w:rPr>
      </w:pPr>
    </w:p>
    <w:p>
      <w:pPr>
        <w:ind w:left="1000" w:right="539" w:hanging="316"/>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integration of the acquired company’s accounting, management information, human resources and other administrative systems;</w:t>
      </w:r>
    </w:p>
    <w:p>
      <w:pPr>
        <w:spacing w:after="0" w:line="170" w:lineRule="exact"/>
        <w:rPr>
          <w:rFonts w:ascii="Arial" w:cs="Arial" w:eastAsia="Arial" w:hAnsi="Arial"/>
          <w:sz w:val="18"/>
          <w:szCs w:val="18"/>
          <w:color w:val="auto"/>
        </w:rPr>
      </w:pPr>
    </w:p>
    <w:p>
      <w:pPr>
        <w:ind w:left="1000" w:right="179" w:hanging="316"/>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sufficiently effective controls, procedures and policies;</w:t>
      </w:r>
    </w:p>
    <w:p>
      <w:pPr>
        <w:spacing w:after="0" w:line="170" w:lineRule="exact"/>
        <w:rPr>
          <w:rFonts w:ascii="Arial" w:cs="Arial" w:eastAsia="Arial" w:hAnsi="Arial"/>
          <w:sz w:val="18"/>
          <w:szCs w:val="18"/>
          <w:color w:val="auto"/>
        </w:rPr>
      </w:pPr>
    </w:p>
    <w:p>
      <w:pPr>
        <w:ind w:left="1000" w:right="79" w:hanging="316"/>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reporting, revenue recognition or other financial or control deficiencies of the acquired company that we don’t adequately address and that cause our reported results to be incorrect;</w:t>
      </w:r>
    </w:p>
    <w:p>
      <w:pPr>
        <w:spacing w:after="0" w:line="170" w:lineRule="exact"/>
        <w:rPr>
          <w:rFonts w:ascii="Arial" w:cs="Arial" w:eastAsia="Arial" w:hAnsi="Arial"/>
          <w:sz w:val="18"/>
          <w:szCs w:val="18"/>
          <w:color w:val="auto"/>
        </w:rPr>
      </w:pPr>
    </w:p>
    <w:p>
      <w:pPr>
        <w:ind w:left="1000" w:right="339" w:hanging="316"/>
        <w:spacing w:after="0" w:line="264"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intellectual property infringement claims, violations of laws, commercial disputes, tax liabilities and other known and unknown liabilities;</w:t>
      </w:r>
    </w:p>
    <w:p>
      <w:pPr>
        <w:spacing w:after="0" w:line="181" w:lineRule="exact"/>
        <w:rPr>
          <w:rFonts w:ascii="Arial" w:cs="Arial" w:eastAsia="Arial" w:hAnsi="Arial"/>
          <w:sz w:val="18"/>
          <w:szCs w:val="18"/>
          <w:color w:val="auto"/>
        </w:rPr>
      </w:pPr>
    </w:p>
    <w:p>
      <w:pPr>
        <w:ind w:left="1000" w:hanging="316"/>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unanticipated write-offs or charges; and</w:t>
      </w:r>
    </w:p>
    <w:p>
      <w:pPr>
        <w:spacing w:after="0" w:line="225" w:lineRule="exact"/>
        <w:rPr>
          <w:rFonts w:ascii="Arial" w:cs="Arial" w:eastAsia="Arial" w:hAnsi="Arial"/>
          <w:sz w:val="18"/>
          <w:szCs w:val="18"/>
          <w:color w:val="auto"/>
        </w:rPr>
      </w:pPr>
    </w:p>
    <w:p>
      <w:pPr>
        <w:ind w:left="1000" w:right="759" w:hanging="316"/>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70" w:lineRule="exact"/>
        <w:rPr>
          <w:sz w:val="20"/>
          <w:szCs w:val="20"/>
          <w:color w:val="auto"/>
        </w:rPr>
      </w:pPr>
    </w:p>
    <w:p>
      <w:pPr>
        <w:ind w:right="159" w:firstLine="648"/>
        <w:spacing w:after="0" w:line="264" w:lineRule="auto"/>
        <w:rPr>
          <w:sz w:val="20"/>
          <w:szCs w:val="20"/>
          <w:color w:val="auto"/>
        </w:rPr>
      </w:pPr>
      <w:r>
        <w:rPr>
          <w:rFonts w:ascii="Arial" w:cs="Arial" w:eastAsia="Arial" w:hAnsi="Arial"/>
          <w:sz w:val="18"/>
          <w:szCs w:val="18"/>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181" w:lineRule="exact"/>
        <w:rPr>
          <w:sz w:val="20"/>
          <w:szCs w:val="20"/>
          <w:color w:val="auto"/>
        </w:rPr>
      </w:pPr>
    </w:p>
    <w:p>
      <w:pPr>
        <w:ind w:right="219"/>
        <w:spacing w:after="0" w:line="308" w:lineRule="auto"/>
        <w:rPr>
          <w:sz w:val="20"/>
          <w:szCs w:val="20"/>
          <w:color w:val="auto"/>
        </w:rPr>
      </w:pPr>
      <w:r>
        <w:rPr>
          <w:rFonts w:ascii="Arial" w:cs="Arial" w:eastAsia="Arial" w:hAnsi="Arial"/>
          <w:sz w:val="17"/>
          <w:szCs w:val="17"/>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147" w:lineRule="exact"/>
        <w:rPr>
          <w:sz w:val="20"/>
          <w:szCs w:val="20"/>
          <w:color w:val="auto"/>
        </w:rPr>
      </w:pPr>
    </w:p>
    <w:p>
      <w:pPr>
        <w:ind w:right="119" w:firstLine="648"/>
        <w:spacing w:after="0" w:line="271" w:lineRule="auto"/>
        <w:rPr>
          <w:sz w:val="20"/>
          <w:szCs w:val="20"/>
          <w:color w:val="auto"/>
        </w:rPr>
      </w:pPr>
      <w:r>
        <w:rPr>
          <w:rFonts w:ascii="Arial" w:cs="Arial" w:eastAsia="Arial" w:hAnsi="Arial"/>
          <w:sz w:val="17"/>
          <w:szCs w:val="17"/>
          <w:color w:val="auto"/>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spacing w:after="0" w:line="179" w:lineRule="exact"/>
        <w:rPr>
          <w:sz w:val="20"/>
          <w:szCs w:val="20"/>
          <w:color w:val="auto"/>
        </w:rPr>
      </w:pPr>
    </w:p>
    <w:p>
      <w:pPr>
        <w:ind w:right="259"/>
        <w:spacing w:after="0" w:line="277" w:lineRule="auto"/>
        <w:rPr>
          <w:sz w:val="20"/>
          <w:szCs w:val="20"/>
          <w:color w:val="auto"/>
        </w:rPr>
      </w:pPr>
      <w:r>
        <w:rPr>
          <w:rFonts w:ascii="Arial" w:cs="Arial" w:eastAsia="Arial" w:hAnsi="Arial"/>
          <w:sz w:val="18"/>
          <w:szCs w:val="18"/>
          <w:b w:val="1"/>
          <w:bCs w:val="1"/>
          <w:i w:val="1"/>
          <w:iCs w:val="1"/>
          <w:color w:val="auto"/>
        </w:rPr>
        <w:t>Our international operations and plans for future international expansion expose us to significant risks, and failure to manage those risks could adversely impact our business.</w:t>
      </w:r>
    </w:p>
    <w:p>
      <w:pPr>
        <w:spacing w:after="0" w:line="170" w:lineRule="exact"/>
        <w:rPr>
          <w:sz w:val="20"/>
          <w:szCs w:val="20"/>
          <w:color w:val="auto"/>
        </w:rPr>
      </w:pPr>
    </w:p>
    <w:p>
      <w:pPr>
        <w:ind w:right="59" w:firstLine="648"/>
        <w:spacing w:after="0" w:line="293" w:lineRule="auto"/>
        <w:rPr>
          <w:sz w:val="20"/>
          <w:szCs w:val="20"/>
          <w:color w:val="auto"/>
        </w:rPr>
      </w:pPr>
      <w:r>
        <w:rPr>
          <w:rFonts w:ascii="Arial" w:cs="Arial" w:eastAsia="Arial" w:hAnsi="Arial"/>
          <w:sz w:val="16"/>
          <w:szCs w:val="16"/>
          <w:color w:val="auto"/>
        </w:rPr>
        <w:t>We derived approximately 13%, 16%, 23%, and 25% of our total revenue from our international customers for fiscal 2017, fiscal 2018, fiscal 2019, and the three months ended April 30, 2019,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spacing w:after="0" w:line="165" w:lineRule="exact"/>
        <w:rPr>
          <w:sz w:val="20"/>
          <w:szCs w:val="20"/>
          <w:color w:val="auto"/>
        </w:rPr>
      </w:pPr>
    </w:p>
    <w:p>
      <w:pPr>
        <w:ind w:left="1000" w:right="219" w:hanging="316"/>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greater difficulty in negotiating contracts with standard terms, enforcing contracts and managing collections, and longer collection periods;</w:t>
      </w:r>
    </w:p>
    <w:p>
      <w:pPr>
        <w:spacing w:after="0" w:line="170" w:lineRule="exact"/>
        <w:rPr>
          <w:rFonts w:ascii="Arial" w:cs="Arial" w:eastAsia="Arial" w:hAnsi="Arial"/>
          <w:sz w:val="18"/>
          <w:szCs w:val="18"/>
          <w:color w:val="auto"/>
        </w:rPr>
      </w:pPr>
    </w:p>
    <w:p>
      <w:pPr>
        <w:ind w:left="1000" w:right="199" w:hanging="316"/>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costs incurred in establishing and maintaining office space and equipment for our international operations;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hanging="316"/>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management communication and integration problems resulting from cultural and geographic dispersion;</w:t>
      </w:r>
    </w:p>
    <w:p>
      <w:pPr>
        <w:spacing w:after="0" w:line="236" w:lineRule="exact"/>
        <w:rPr>
          <w:rFonts w:ascii="Arial" w:cs="Arial" w:eastAsia="Arial" w:hAnsi="Arial"/>
          <w:sz w:val="17"/>
          <w:szCs w:val="17"/>
          <w:color w:val="auto"/>
        </w:rPr>
      </w:pPr>
    </w:p>
    <w:p>
      <w:pPr>
        <w:ind w:left="1000" w:right="100" w:hanging="316"/>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associated with trade restrictions and foreign legal requirements, including any importation, certification, and localization of our Falcon platform that may be required in foreign countries;</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greater risk of unexpected changes in regulatory practices, tariffs, and tax laws and treaties;</w:t>
      </w:r>
    </w:p>
    <w:p>
      <w:pPr>
        <w:spacing w:after="0" w:line="225" w:lineRule="exact"/>
        <w:rPr>
          <w:rFonts w:ascii="Arial" w:cs="Arial" w:eastAsia="Arial" w:hAnsi="Arial"/>
          <w:sz w:val="18"/>
          <w:szCs w:val="18"/>
          <w:color w:val="auto"/>
        </w:rPr>
      </w:pPr>
    </w:p>
    <w:p>
      <w:pPr>
        <w:ind w:left="1000" w:right="300" w:hanging="316"/>
        <w:spacing w:after="0" w:line="312"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compliance with anti-bribery laws, including, without limitation, compliance with the U.S. Foreign Corrupt Practices Act of 1977, as amended, the U.S. Travel Act and the UK Bribery Act 2010, violations of which could lead to significant fines, penalties, and collateral consequences for our company;</w:t>
      </w:r>
    </w:p>
    <w:p>
      <w:pPr>
        <w:spacing w:after="0" w:line="146" w:lineRule="exact"/>
        <w:rPr>
          <w:rFonts w:ascii="Arial" w:cs="Arial" w:eastAsia="Arial" w:hAnsi="Arial"/>
          <w:sz w:val="16"/>
          <w:szCs w:val="16"/>
          <w:color w:val="auto"/>
        </w:rPr>
      </w:pPr>
    </w:p>
    <w:p>
      <w:pPr>
        <w:ind w:left="1000" w:right="100" w:hanging="316"/>
        <w:spacing w:after="0" w:line="264"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heightened risk of unfair or corrupt business practices in certain geographies and of improper or fraudulent sales arrangements that may impact financial results and result in restatements of, or irregularities in, financial statements;</w:t>
      </w:r>
    </w:p>
    <w:p>
      <w:pPr>
        <w:spacing w:after="0" w:line="181" w:lineRule="exact"/>
        <w:rPr>
          <w:rFonts w:ascii="Arial" w:cs="Arial" w:eastAsia="Arial" w:hAnsi="Arial"/>
          <w:sz w:val="18"/>
          <w:szCs w:val="18"/>
          <w:color w:val="auto"/>
        </w:rPr>
      </w:pPr>
    </w:p>
    <w:p>
      <w:pPr>
        <w:ind w:left="1000" w:hanging="316"/>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and political conditions in these foreign markets;</w:t>
      </w:r>
    </w:p>
    <w:p>
      <w:pPr>
        <w:spacing w:after="0" w:line="225" w:lineRule="exact"/>
        <w:rPr>
          <w:rFonts w:ascii="Arial" w:cs="Arial" w:eastAsia="Arial" w:hAnsi="Arial"/>
          <w:sz w:val="18"/>
          <w:szCs w:val="18"/>
          <w:color w:val="auto"/>
        </w:rPr>
      </w:pPr>
    </w:p>
    <w:p>
      <w:pPr>
        <w:ind w:left="1000" w:right="320" w:hanging="316"/>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foreign exchange controls or tax regulations that might prevent us from repatriating cash earned outside the United States;</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political and economic instability in some countries;</w:t>
      </w:r>
    </w:p>
    <w:p>
      <w:pPr>
        <w:spacing w:after="0" w:line="225" w:lineRule="exact"/>
        <w:rPr>
          <w:rFonts w:ascii="Arial" w:cs="Arial" w:eastAsia="Arial" w:hAnsi="Arial"/>
          <w:sz w:val="18"/>
          <w:szCs w:val="18"/>
          <w:color w:val="auto"/>
        </w:rPr>
      </w:pPr>
    </w:p>
    <w:p>
      <w:pPr>
        <w:ind w:left="1000" w:hanging="316"/>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tax laws of the United States or the foreign jurisdictions in which we operate;</w:t>
      </w:r>
    </w:p>
    <w:p>
      <w:pPr>
        <w:spacing w:after="0" w:line="170" w:lineRule="exact"/>
        <w:rPr>
          <w:rFonts w:ascii="Arial" w:cs="Arial" w:eastAsia="Arial" w:hAnsi="Arial"/>
          <w:sz w:val="18"/>
          <w:szCs w:val="18"/>
          <w:color w:val="auto"/>
        </w:rPr>
      </w:pPr>
    </w:p>
    <w:p>
      <w:pPr>
        <w:ind w:left="1000" w:right="780" w:hanging="316"/>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unexpected costs for the localization of our services, including translation into foreign languages and adaptation for local practices and regulatory requirements;</w:t>
      </w:r>
    </w:p>
    <w:p>
      <w:pPr>
        <w:spacing w:after="0" w:line="170" w:lineRule="exact"/>
        <w:rPr>
          <w:rFonts w:ascii="Arial" w:cs="Arial" w:eastAsia="Arial" w:hAnsi="Arial"/>
          <w:sz w:val="18"/>
          <w:szCs w:val="18"/>
          <w:color w:val="auto"/>
        </w:rPr>
      </w:pPr>
    </w:p>
    <w:p>
      <w:pPr>
        <w:ind w:left="1000" w:right="300" w:hanging="316"/>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requirements to comply with foreign privacy, data protection, and information security laws and regulations and the risks and costs of noncompliance;</w:t>
      </w:r>
    </w:p>
    <w:p>
      <w:pPr>
        <w:spacing w:after="0" w:line="170" w:lineRule="exact"/>
        <w:rPr>
          <w:rFonts w:ascii="Arial" w:cs="Arial" w:eastAsia="Arial" w:hAnsi="Arial"/>
          <w:sz w:val="18"/>
          <w:szCs w:val="18"/>
          <w:color w:val="auto"/>
        </w:rPr>
      </w:pPr>
    </w:p>
    <w:p>
      <w:pPr>
        <w:ind w:left="1000" w:right="220" w:hanging="316"/>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greater difficulty in identifying, attracting and retaining local qualified personnel, and the costs and expenses associated with such activities;</w:t>
      </w:r>
    </w:p>
    <w:p>
      <w:pPr>
        <w:spacing w:after="0" w:line="170" w:lineRule="exact"/>
        <w:rPr>
          <w:rFonts w:ascii="Arial" w:cs="Arial" w:eastAsia="Arial" w:hAnsi="Arial"/>
          <w:sz w:val="18"/>
          <w:szCs w:val="18"/>
          <w:color w:val="auto"/>
        </w:rPr>
      </w:pPr>
    </w:p>
    <w:p>
      <w:pPr>
        <w:ind w:left="1000" w:right="400" w:hanging="316"/>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greater difficulty identifying qualified channel partners and maintaining successful relationships with such partners;</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 issues; and</w:t>
      </w:r>
    </w:p>
    <w:p>
      <w:pPr>
        <w:spacing w:after="0" w:line="225" w:lineRule="exact"/>
        <w:rPr>
          <w:rFonts w:ascii="Arial" w:cs="Arial" w:eastAsia="Arial" w:hAnsi="Arial"/>
          <w:sz w:val="18"/>
          <w:szCs w:val="18"/>
          <w:color w:val="auto"/>
        </w:rPr>
      </w:pPr>
    </w:p>
    <w:p>
      <w:pPr>
        <w:ind w:left="1000" w:right="660" w:hanging="316"/>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offices and increased travel, infrastructure, and legal compliance costs associated with multiple international locations.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Additionally,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British Pound, Indian Rupee, and Euro, and is 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requirements of being a public company may strain our resources and divert management’s attention.</w:t>
      </w:r>
    </w:p>
    <w:p>
      <w:pPr>
        <w:spacing w:after="0" w:line="23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a public company, we are subject to the reporting and corporate governance requirements of the Exchange Act, the listing requirements of the Nasdaq Global Select Market and other securities rules and regulations, including the Sarbanes-Oxley Act and the Dodd-Frank Wall Street Reform and Consumer Protection Act. Compliance with these rules and regulations will increase our legal and financial compliance costs, make some activities more difficult, time-consuming, or costly and increase demand on our systems and resources, the effects of which will be magnified after we are no longer an “emerging growth company” as defined in the JOBS Act. Among other things, the Exchange Act requires that we file annual, quarterly and current reports with respect to our business and results of operations and maintain effective disclosure controls and procedures and internal control over financial reporting. In order to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could adversely affect us.</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December 2017, the United States adopted new tax law legislation commonly referred to as the Tax Cuts and Jobs Act of 2017, or the Tax Act, which significantly reforms the Internal Revenue Code of 1986, as amended, or the Internal Revenue Code. The Tax Act, among other things, includes changes to U.S. federal tax rates, imposes significant additional limitations on the deductibility of interest and the use of net operating losses generated in tax years beginning after December 31, 2017, allows for the expensing of certain capital expenditures, and puts into effect the migration from a “worldwide” system of taxation to a territorial system. Further changes to U.S. tax laws, including limitations on the ability of taxpayers to claim and utilize foreign tax credits, as well as changes to U.S. tax laws that may be enacted in the future, could impact the tax treatment of our foreign earnings. Due to expansion of our international business activities, any changes in the U.S. taxation of such activities may increase our worldwide effective tax rate and adversely affect our financial condition and results of operations. The enactment of legislation implementing changes in the U.S. taxation of international business activities or the adoption of other tax reform policies could adversely impact our financial position and results of operations.</w:t>
      </w:r>
    </w:p>
    <w:p>
      <w:pPr>
        <w:spacing w:after="0" w:line="18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Tax Act did not have a material impact on our financial statements for fiscal 2019, other than disclosures in our year-end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As of January 31, 2019, we had aggregate U.S. federal and state net operating loss carryforwards of $376.0 million and $287.8 million, respectively, which may be available to offset future taxable income for income tax purposes. If not utilized, the federal net operating loss carryforwards will begin to expire in 2031, and the state net operating loss carryforwards will begin to expire in 2021. As of January 31, 2019, we had federal and California research and development credit carryforwards of $7.4 million and $3.7 million, respectively. The federal research and development credit carryforwards begin to expire in 2031, and the California carryforwards are carried forward indefinitely. Realization of these net operating loss and research and development credit carryforwards depends on future income, and there is a risk that our existing carryforwards could expire unused and be unavailable to offset future income tax liabilities, which could adversely affect our results of operations.</w:t>
      </w:r>
    </w:p>
    <w:p>
      <w:pPr>
        <w:spacing w:after="0" w:line="197"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research and development credits, to offset its post-change income or taxes may be limited. We may experience ownership changes in the future as a result of shifts in our stock</w:t>
      </w:r>
    </w:p>
    <w:p>
      <w:pPr>
        <w:sectPr>
          <w:pgSz w:w="11900" w:h="16838" w:orient="portrait"/>
          <w:cols w:equalWidth="0" w:num="1">
            <w:col w:w="9060"/>
          </w:cols>
          <w:pgMar w:left="1420" w:top="517" w:right="141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ownership. As a result, if we earn net taxable income, our ability to use our pre-change net operating loss carryforwards to offset U.S. federal taxable income may be subject to limitations, which could potentially result in increased future tax liability to us.</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8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w:t>
      </w:r>
    </w:p>
    <w:p>
      <w:pPr>
        <w:spacing w:after="0" w:line="16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4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7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spacing w:after="0" w:line="16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i w:val="1"/>
          <w:iCs w:val="1"/>
          <w:color w:val="auto"/>
        </w:rPr>
        <w:t>Our reported financial results may be affected by changes in accounting principles generally accepted in the United States, such as the adoption of ASC 606, and difficulties in implementing these changes could cause us to fail to meet our financial reporting obligations, which could result in regulatory discipline and harm investors’ confidence in us.</w:t>
      </w:r>
    </w:p>
    <w:p>
      <w:pPr>
        <w:spacing w:after="0" w:line="147"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Accounting principles generally accepted in the United States, or U.S. GAAP, are subject to interpretation by the Financial Accounting Standards Board, or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79"/>
        <w:spacing w:after="0" w:line="270" w:lineRule="auto"/>
        <w:rPr>
          <w:sz w:val="20"/>
          <w:szCs w:val="20"/>
          <w:color w:val="auto"/>
        </w:rPr>
      </w:pPr>
      <w:r>
        <w:rPr>
          <w:rFonts w:ascii="Arial" w:cs="Arial" w:eastAsia="Arial" w:hAnsi="Arial"/>
          <w:sz w:val="17"/>
          <w:szCs w:val="17"/>
          <w:color w:val="auto"/>
        </w:rPr>
        <w:t>In particular, in May 2014, the FASB issued ASC 606, Revenue from Contracts with Customers, which supersedes the revenue recognition requirements in ASC 605, Revenue Recognition. The core principle of ASC 606 is that an entity should recognize revenue to depict the transfer of promised goods or services to customers in an amount that reflects the consideration to which the entity expects to be entitled in exchange for those goods or services. As an ‘‘emerging growth company,’’ we are allowed under the JOBS Act to delay adoption of new or revised accounting pronouncements applicable to public companies until such pronouncements are made applicable to private companies. We elected to take advantage of this extended transition period under the JOBS Act, which resulted in ASC 606 becoming effective for us beginning on February 1, 2019. We have adopted using the modified retrospective transition method. Any difficulties in implementing these pronouncements could cause us to fail to meet our financial reporting obligations, which could result in regulatory discipline and harm investors’ confidence in us.</w:t>
      </w:r>
    </w:p>
    <w:p>
      <w:pPr>
        <w:spacing w:after="0" w:line="178" w:lineRule="exact"/>
        <w:rPr>
          <w:sz w:val="20"/>
          <w:szCs w:val="20"/>
          <w:color w:val="auto"/>
        </w:rPr>
      </w:pPr>
    </w:p>
    <w:p>
      <w:pPr>
        <w:ind w:right="459"/>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47" w:lineRule="exact"/>
        <w:rPr>
          <w:sz w:val="20"/>
          <w:szCs w:val="20"/>
          <w:color w:val="auto"/>
        </w:rPr>
      </w:pPr>
    </w:p>
    <w:p>
      <w:pPr>
        <w:ind w:right="39" w:firstLine="648"/>
        <w:spacing w:after="0" w:line="268"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our condensed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revenue recognition; allowance for doubtful accounts; valuation of common stock and redeemable convertible preferred stock warrants; carrying value and useful lives of long-lived assets; loss contingencies; and the provision for income taxes and related deferred taxes.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Class A common stock.</w:t>
      </w:r>
    </w:p>
    <w:p>
      <w:pPr>
        <w:spacing w:after="0" w:line="188" w:lineRule="exact"/>
        <w:rPr>
          <w:sz w:val="20"/>
          <w:szCs w:val="20"/>
          <w:color w:val="auto"/>
        </w:rPr>
      </w:pPr>
    </w:p>
    <w:p>
      <w:pPr>
        <w:ind w:right="79" w:firstLine="648"/>
        <w:spacing w:after="0" w:line="291" w:lineRule="auto"/>
        <w:rPr>
          <w:sz w:val="20"/>
          <w:szCs w:val="20"/>
          <w:color w:val="auto"/>
        </w:rPr>
      </w:pPr>
      <w:r>
        <w:rPr>
          <w:rFonts w:ascii="Arial" w:cs="Arial" w:eastAsia="Arial" w:hAnsi="Arial"/>
          <w:sz w:val="16"/>
          <w:szCs w:val="16"/>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67" w:lineRule="exact"/>
        <w:rPr>
          <w:sz w:val="20"/>
          <w:szCs w:val="20"/>
          <w:color w:val="auto"/>
        </w:rPr>
      </w:pPr>
    </w:p>
    <w:p>
      <w:pPr>
        <w:ind w:right="59"/>
        <w:spacing w:after="0" w:line="381" w:lineRule="auto"/>
        <w:rPr>
          <w:sz w:val="20"/>
          <w:szCs w:val="20"/>
          <w:color w:val="auto"/>
        </w:rPr>
      </w:pPr>
      <w:r>
        <w:rPr>
          <w:rFonts w:ascii="Arial" w:cs="Arial" w:eastAsia="Arial" w:hAnsi="Arial"/>
          <w:sz w:val="15"/>
          <w:szCs w:val="15"/>
          <w:b w:val="1"/>
          <w:bCs w:val="1"/>
          <w:i w:val="1"/>
          <w:iCs w:val="1"/>
          <w:color w:val="auto"/>
        </w:rPr>
        <w:t>Our business is subject to the risks of earthquakes, fire, floods, and other natural catastrophic events, and to interruption by man-made problems such as power disruptions, computer viruses, data security breaches or terrorism.</w:t>
      </w:r>
    </w:p>
    <w:p>
      <w:pPr>
        <w:spacing w:after="0" w:line="101" w:lineRule="exact"/>
        <w:rPr>
          <w:sz w:val="20"/>
          <w:szCs w:val="20"/>
          <w:color w:val="auto"/>
        </w:rPr>
      </w:pPr>
    </w:p>
    <w:p>
      <w:pPr>
        <w:ind w:right="19" w:firstLine="648"/>
        <w:spacing w:after="0" w:line="286" w:lineRule="auto"/>
        <w:rPr>
          <w:sz w:val="20"/>
          <w:szCs w:val="20"/>
          <w:color w:val="auto"/>
        </w:rPr>
      </w:pPr>
      <w:r>
        <w:rPr>
          <w:rFonts w:ascii="Arial" w:cs="Arial" w:eastAsia="Arial" w:hAnsi="Arial"/>
          <w:sz w:val="16"/>
          <w:szCs w:val="16"/>
          <w:color w:val="auto"/>
        </w:rPr>
        <w:t>Our corporate headquarters are located in the San Francisco Bay Area, a region known for seismic activity. A significant natural disaster, such as an earthquake, a fire, a flood, or significant power outage could have a material adverse impact on our business, results of operations, and financial condition. Natural disasters could affect our personnel,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In the event that our or our service providers’ information technology 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our internal systems may be victimized by such attacks.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w:t>
      </w:r>
    </w:p>
    <w:p>
      <w:pPr>
        <w:sectPr>
          <w:pgSz w:w="11900" w:h="16838" w:orient="portrait"/>
          <w:cols w:equalWidth="0" w:num="1">
            <w:col w:w="9039"/>
          </w:cols>
          <w:pgMar w:left="1420" w:top="517" w:right="1440" w:bottom="1440" w:gutter="0" w:footer="0" w:header="0"/>
        </w:sect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79"/>
        <w:spacing w:after="0" w:line="271" w:lineRule="auto"/>
        <w:rPr>
          <w:sz w:val="20"/>
          <w:szCs w:val="20"/>
          <w:color w:val="auto"/>
        </w:rPr>
      </w:pPr>
      <w:r>
        <w:rPr>
          <w:rFonts w:ascii="Arial" w:cs="Arial" w:eastAsia="Arial" w:hAnsi="Arial"/>
          <w:sz w:val="17"/>
          <w:szCs w:val="17"/>
          <w:color w:val="auto"/>
        </w:rPr>
        <w:t>for the potentially significant losses we may incur. Acts of terrorism and other geo-political unrest could also cause disruptions in our business or the business of our supply chain, manufacturers, logistics providers, partners, or customers or the economy as a whole. Any disruption in the business of our supply chain, manufacturers, logistics providers, partners or end-customers that impacts sales at the end of a fiscal quarter could have a significant adverse impact on our financial results. All of the aforementioned risks may be further increased if the disaster recovery plans for us and our suppliers prove to be inadequate. To the extent that any of the above should result in delays or cancellations of customer orders, or the delay in the manufacture, deployment or shipment of our products, our business, financial condition and results of operations would be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Class A common stock may be volatile, and you could lose all or part of your investment.</w:t>
      </w:r>
    </w:p>
    <w:p>
      <w:pPr>
        <w:spacing w:after="0" w:line="248" w:lineRule="exact"/>
        <w:rPr>
          <w:sz w:val="20"/>
          <w:szCs w:val="20"/>
          <w:color w:val="auto"/>
        </w:rPr>
      </w:pPr>
    </w:p>
    <w:p>
      <w:pPr>
        <w:ind w:right="139" w:firstLine="648"/>
        <w:spacing w:after="0" w:line="273" w:lineRule="auto"/>
        <w:rPr>
          <w:sz w:val="20"/>
          <w:szCs w:val="20"/>
          <w:color w:val="auto"/>
        </w:rPr>
      </w:pPr>
      <w:r>
        <w:rPr>
          <w:rFonts w:ascii="Arial" w:cs="Arial" w:eastAsia="Arial" w:hAnsi="Arial"/>
          <w:sz w:val="17"/>
          <w:szCs w:val="17"/>
          <w:color w:val="auto"/>
        </w:rPr>
        <w:t>We cannot predict the prices at which our Class A common stock will trade. The market price of our Class A common stock depends on a number of factors, including those described in this “Risk Factors” section, many of which are beyond our control and may not be related to our operating performance. In addition, the limited public float of our Class A common stock tends to increase the volatility of the trading price of our Class A common stock. These fluctuations could cause you to lose all or part of your investment in our Class A common stock. Factors that could cause fluctuations in the market price of our Class A common stock include the following:</w:t>
      </w:r>
    </w:p>
    <w:p>
      <w:pPr>
        <w:spacing w:after="0" w:line="178" w:lineRule="exact"/>
        <w:rPr>
          <w:sz w:val="20"/>
          <w:szCs w:val="20"/>
          <w:color w:val="auto"/>
        </w:rPr>
      </w:pPr>
    </w:p>
    <w:p>
      <w:pPr>
        <w:ind w:left="1000" w:hanging="316"/>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225" w:lineRule="exact"/>
        <w:rPr>
          <w:rFonts w:ascii="Arial" w:cs="Arial" w:eastAsia="Arial" w:hAnsi="Arial"/>
          <w:sz w:val="18"/>
          <w:szCs w:val="18"/>
          <w:color w:val="auto"/>
        </w:rPr>
      </w:pPr>
    </w:p>
    <w:p>
      <w:pPr>
        <w:ind w:left="1000" w:right="139" w:hanging="316"/>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70" w:lineRule="exact"/>
        <w:rPr>
          <w:rFonts w:ascii="Arial" w:cs="Arial" w:eastAsia="Arial" w:hAnsi="Arial"/>
          <w:sz w:val="18"/>
          <w:szCs w:val="18"/>
          <w:color w:val="auto"/>
        </w:rPr>
      </w:pPr>
    </w:p>
    <w:p>
      <w:pPr>
        <w:ind w:left="1000" w:right="799" w:hanging="316"/>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spacing w:after="0" w:line="170" w:lineRule="exact"/>
        <w:rPr>
          <w:rFonts w:ascii="Arial" w:cs="Arial" w:eastAsia="Arial" w:hAnsi="Arial"/>
          <w:sz w:val="18"/>
          <w:szCs w:val="18"/>
          <w:color w:val="auto"/>
        </w:rPr>
      </w:pPr>
    </w:p>
    <w:p>
      <w:pPr>
        <w:ind w:left="1000" w:right="139" w:hanging="316"/>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25" w:lineRule="exact"/>
        <w:rPr>
          <w:rFonts w:ascii="Arial" w:cs="Arial" w:eastAsia="Arial" w:hAnsi="Arial"/>
          <w:sz w:val="18"/>
          <w:szCs w:val="18"/>
          <w:color w:val="auto"/>
        </w:rPr>
      </w:pPr>
    </w:p>
    <w:p>
      <w:pPr>
        <w:ind w:left="1000" w:right="319" w:hanging="316"/>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170" w:lineRule="exact"/>
        <w:rPr>
          <w:rFonts w:ascii="Arial" w:cs="Arial" w:eastAsia="Arial" w:hAnsi="Arial"/>
          <w:sz w:val="18"/>
          <w:szCs w:val="18"/>
          <w:color w:val="auto"/>
        </w:rPr>
      </w:pPr>
    </w:p>
    <w:p>
      <w:pPr>
        <w:ind w:left="1000" w:right="639" w:hanging="316"/>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 and sales of shares of our Class A common stock by us or our stockholders;</w:t>
      </w:r>
    </w:p>
    <w:p>
      <w:pPr>
        <w:spacing w:after="0" w:line="170" w:lineRule="exact"/>
        <w:rPr>
          <w:rFonts w:ascii="Arial" w:cs="Arial" w:eastAsia="Arial" w:hAnsi="Arial"/>
          <w:sz w:val="18"/>
          <w:szCs w:val="18"/>
          <w:color w:val="auto"/>
        </w:rPr>
      </w:pPr>
    </w:p>
    <w:p>
      <w:pPr>
        <w:jc w:val="both"/>
        <w:ind w:left="1000" w:right="499" w:hanging="316"/>
        <w:spacing w:after="0" w:line="342"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failure of industry or financial analysts to maintain coverage of us, changes in financial estimates by any analysts who follow our company, or our failure to meet these estimates or the expectations of investors;</w:t>
      </w:r>
    </w:p>
    <w:p>
      <w:pPr>
        <w:spacing w:after="0" w:line="123" w:lineRule="exact"/>
        <w:rPr>
          <w:rFonts w:ascii="Arial" w:cs="Arial" w:eastAsia="Arial" w:hAnsi="Arial"/>
          <w:sz w:val="16"/>
          <w:szCs w:val="16"/>
          <w:color w:val="auto"/>
        </w:rPr>
      </w:pPr>
    </w:p>
    <w:p>
      <w:pPr>
        <w:ind w:left="1000" w:right="59" w:hanging="316"/>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70" w:lineRule="exact"/>
        <w:rPr>
          <w:rFonts w:ascii="Arial" w:cs="Arial" w:eastAsia="Arial" w:hAnsi="Arial"/>
          <w:sz w:val="18"/>
          <w:szCs w:val="18"/>
          <w:color w:val="auto"/>
        </w:rPr>
      </w:pPr>
    </w:p>
    <w:p>
      <w:pPr>
        <w:ind w:left="1000" w:right="139" w:hanging="316"/>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70" w:lineRule="exact"/>
        <w:rPr>
          <w:rFonts w:ascii="Arial" w:cs="Arial" w:eastAsia="Arial" w:hAnsi="Arial"/>
          <w:sz w:val="18"/>
          <w:szCs w:val="18"/>
          <w:color w:val="auto"/>
        </w:rPr>
      </w:pPr>
    </w:p>
    <w:p>
      <w:pPr>
        <w:ind w:left="1000" w:right="39" w:hanging="316"/>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our solutions, or third-party proprietary rights;</w:t>
      </w:r>
    </w:p>
    <w:p>
      <w:pPr>
        <w:sectPr>
          <w:pgSz w:w="11900" w:h="16838" w:orient="portrait"/>
          <w:cols w:equalWidth="0" w:num="1">
            <w:col w:w="9039"/>
          </w:cols>
          <w:pgMar w:left="1420" w:top="517" w:right="1440" w:bottom="1440" w:gutter="0" w:footer="0" w:header="0"/>
        </w:sect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hanging="316"/>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w:t>
      </w:r>
    </w:p>
    <w:p>
      <w:pPr>
        <w:spacing w:after="0" w:line="236" w:lineRule="exact"/>
        <w:rPr>
          <w:rFonts w:ascii="Arial" w:cs="Arial" w:eastAsia="Arial" w:hAnsi="Arial"/>
          <w:sz w:val="17"/>
          <w:szCs w:val="17"/>
          <w:color w:val="auto"/>
        </w:rPr>
      </w:pPr>
    </w:p>
    <w:p>
      <w:pPr>
        <w:ind w:left="1000" w:hanging="316"/>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major changes in our management or our board of directors, particularly with respect to Mr. Kurtz;</w:t>
      </w:r>
    </w:p>
    <w:p>
      <w:pPr>
        <w:spacing w:after="0" w:line="236" w:lineRule="exact"/>
        <w:rPr>
          <w:rFonts w:ascii="Arial" w:cs="Arial" w:eastAsia="Arial" w:hAnsi="Arial"/>
          <w:sz w:val="17"/>
          <w:szCs w:val="17"/>
          <w:color w:val="auto"/>
        </w:rPr>
      </w:pPr>
    </w:p>
    <w:p>
      <w:pPr>
        <w:ind w:left="1000" w:hanging="316"/>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or responses to these events.</w:t>
      </w:r>
    </w:p>
    <w:p>
      <w:pPr>
        <w:spacing w:after="0" w:line="248"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 litigation, if instituted against us, could result in substantial costs and divert our management’s attention and resources from our business. This could have an adverse effect on our business, results of operations and financial condition.</w:t>
      </w:r>
    </w:p>
    <w:p>
      <w:pPr>
        <w:spacing w:after="0" w:line="19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or the perception that they might occur, could reduce the price that our Class A common stock might otherwise attain and may dilute your voting power and your ownership interest in us.</w:t>
      </w:r>
    </w:p>
    <w:p>
      <w:pPr>
        <w:spacing w:after="0" w:line="181"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Sales of a substantial number of shares of our Class A common stock in the public market, including shares of Class A stock that have been converted from shares of Class B common stock, and particularly sales by our directors, executive officers and significant stockholders, or the perception that these sales could occur, could adversely affect the market price of our Class A common stock and may make it more difficult for you to sell your Class A common stock at a time and price that you deem appropriate. As of June 30, 2019, we had 20,700,000 shares of Class A common stock outstanding and 184,298,485 shares of Class B common stock outstanding.</w:t>
      </w:r>
    </w:p>
    <w:p>
      <w:pPr>
        <w:spacing w:after="0" w:line="178"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All of the shares of Class A common stock sold in our initial public offering are freely tradable without restrictions or further registration under the Securities Act of 1933, as amended, or the Securities Act, except for any shares held by our affiliates as defined in Rule 144 under the Securities Act.</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Subject to certain exceptions, we, all of our directors and executive officers and record holders of substantially all of our securities outstanding immediately prior to our initial public offering, are subject to market stand-off agreements or have agreed not to offer, sell or agree to sell, directly or indirectly, any shares of capital stock without the permission of Goldman Sachs &amp; Co. LLC on behalf of the underwriters, for a period of 180 days from June 11, 2019, which is the date of the final prospectus used in connection with our initial public offering. Such period may be shortened in certain circumstances to as few as 120 days from the date of the final prospectus; however, we currently anticipate that the lock-up will not expire until 180 days from June 11, 2019. When the lock-up period expires, we and our securityholders subject to a lock-up agreement or market stand-off agreement will be able to sell our shares in the public market. In addition, Goldman Sachs &amp; Co. LLC may, in its sole discretion, release all or some portion of the shares subject to lock-up agreements prior to the expiration of the lock-up period. Sales of a substantial number of such shares upon expiration of the lock-up and market stand-off agreements, or the perception that such sales may occur, or early release of these agreements, could cause our market price to fall or make it more difficult for you to sell your Class A common stock at a time and price that you deem appropriate.</w:t>
      </w:r>
    </w:p>
    <w:p>
      <w:pPr>
        <w:spacing w:after="0" w:line="16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addition, holders of an aggregate of up to 163,916,832 shares of our Class B common stock are entitled to rights with respect to registration of these shares under the Securities Act pursuant to our amended and restated registration rights agreement, or RRA. If these holders of our Class B common stock, by exercising their registration rights, sell a large number of shares, they could adversely affect the market price for our Class A common stock. We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have also registered the offer and sale of all shares of Class A common stock that we may issue under our equity compensation plans.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An aggregate of approximately 6.1 million shares of our Class B common stock that are beneficially owned by George Kurtz, our President and Chief Executive Officer and a member of our board of directors, and Burt Podbere, our Chief Financial Officer, are pledged to secure obligations of Mr. Kurtz and Mr. Podbere under certain loan agreements. In the case of nonpayment at maturity or another event of default (including but not limited to the borrower’s inability to satisfy a margin call, which may be instituted by the lender following certain declines in our stock price), the lender or any transferee (in the event that the lender had assigned or otherwise transferred its rights under the pledge to a non-affiliate) may exercise its rights under the applicable loan agreement to foreclose on and sell shares pledged to cover the amount due under the loan, provided that no sales of the pledged shares may be made to third parties by the lender until 180 days after June 11, 2019, which is the date of the final prospectus used in connection with our initial public offering, or 120 days after June 11, 2019 by any transferee unaffiliated with the lender. Any transfers or sales of such pledged shares may cause the price of our Class A common stock to decline.</w:t>
      </w:r>
    </w:p>
    <w:p>
      <w:pPr>
        <w:spacing w:after="0" w:line="183"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We may also issue our shares of Class A common stock or securities convertible into shares of our Class A common stock from time to time in connection with a financing, acquisition, investments or otherwise. Any such issuance could result in substantial dilution to our existing stockholders and cause the market price of our Class A common stock to decline.</w:t>
      </w:r>
    </w:p>
    <w:p>
      <w:pPr>
        <w:spacing w:after="0" w:line="147" w:lineRule="exact"/>
        <w:rPr>
          <w:sz w:val="20"/>
          <w:szCs w:val="20"/>
          <w:color w:val="auto"/>
        </w:rPr>
      </w:pPr>
    </w:p>
    <w:p>
      <w:pPr>
        <w:ind w:right="460"/>
        <w:spacing w:after="0" w:line="381" w:lineRule="auto"/>
        <w:rPr>
          <w:sz w:val="20"/>
          <w:szCs w:val="20"/>
          <w:color w:val="auto"/>
        </w:rPr>
      </w:pPr>
      <w:r>
        <w:rPr>
          <w:rFonts w:ascii="Arial" w:cs="Arial" w:eastAsia="Arial" w:hAnsi="Arial"/>
          <w:sz w:val="15"/>
          <w:szCs w:val="15"/>
          <w:b w:val="1"/>
          <w:bCs w:val="1"/>
          <w:i w:val="1"/>
          <w:iCs w:val="1"/>
          <w:color w:val="auto"/>
        </w:rPr>
        <w:t>If industry or financial analysts do not publish research or reports about our business, or if they issue inaccurate or unfavorable research regarding our Class A common stock, our stock price and trading volume could decline.</w:t>
      </w:r>
    </w:p>
    <w:p>
      <w:pPr>
        <w:spacing w:after="0" w:line="101"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financial analysts publish about us or our business. We do not control these analysts or the content and opinions included in their reports. As a new public company, we may be slow to attract research coverage and the analysts who publish information about our Class A common stock will have had relatively little experience with our company, which could affect their ability to accurately forecast our results and make it more likely that we fail to meet their estimates. In the event we obtain industry or financial analyst coverage,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Class A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(or options or other securities convertible into or exercisable for our capital stock) prior to the completion of our initial public offering, including our executive officers, employees, directors, principal stockholders, and their affiliates, which will limit your ability to influence the outcome of matters submitted to our stockholders for approval.</w:t>
      </w:r>
    </w:p>
    <w:p>
      <w:pPr>
        <w:spacing w:after="0" w:line="18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Our Class B common stock has 10 votes per share, and our Class A common stock has one vote per share. The dual class structure of our common stock has the effect of concentrating voting control with those stockholders who held our capital stock (or options or other securities convertible into or exercisable for our capital stock) prior to the initial public offering, including our executive officers, employees, directors, principal stockholders, and their affiliates, which will limit your ability to influence the outcome of matters submitted to our stockholders for approval, including the election of our directors and the approval of any change in control transaction. 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Upon the closing of our initial public offering, our executive officers, directors, each of our stockholders that owned more than five percent of our outstanding capital stock, and their respective affiliates held, in aggregate, 75% of the voting power of our outstanding capital stock. Furthermore, three of our current stockholders and their affiliates held, in aggregate, 62% of the voting power of our outstanding capital stock. As a result, these stockholders, acting together, have control over most matters that require approval by our stockholders, including the election of directors and approval of significant corporate transactions. They may also have interests that differ from yours and may vote in a way with which you disagree and which may be adverse to your interests. Corporate action might be taken even if other stockholders, including those who purchased shares in our initial public offering, oppose them. This concentration of ownership may have the effect of delaying, preventing or deterring a change of control or other liquidity event of our company, could deprive our stockholders of an opportunity to receive a premium for their shares of common stock as part of a sale or other liquidity event and might ultimately affect the market price of our common stock.</w:t>
      </w:r>
    </w:p>
    <w:p>
      <w:pPr>
        <w:spacing w:after="0" w:line="183"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Further, our amended and restated certificate of incorporation provides that, to the fullest extent permitted by law, the doctrine of “corporate opportunity” does not apply to Accel and Warburg Pincus, or their respective affiliates, in a manner that would prohibit them from investing in competing businesses or doing business with our partners or customers.</w:t>
      </w:r>
    </w:p>
    <w:p>
      <w:pPr>
        <w:spacing w:after="0" w:line="14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Shares of our common stock are subordinate to our debts and other liabilities, resulting in a greater risk of loss for stockholders.</w:t>
      </w:r>
    </w:p>
    <w:p>
      <w:pPr>
        <w:spacing w:after="0" w:line="170"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Shares of our common stock are subordinate in right of payment to all of our current and future debt. We cannot assure that there would be any remaining funds after the payment of all of our debts for any distribution to our common stockholders.</w:t>
      </w:r>
    </w:p>
    <w:p>
      <w:pPr>
        <w:spacing w:after="0" w:line="181"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b w:val="1"/>
          <w:bCs w:val="1"/>
          <w:i w:val="1"/>
          <w:iCs w:val="1"/>
          <w:color w:val="auto"/>
        </w:rPr>
        <w:t>We do not intend to pay dividends in the foreseeable future. As a result, your ability to achieve a return on your investment will depend on appreciation in the price of our Class A common stock.</w:t>
      </w:r>
    </w:p>
    <w:p>
      <w:pPr>
        <w:spacing w:after="0" w:line="14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Additionally, our ability to pay dividends is limited by restrictions on our ability to pay dividends or make distributions under the terms of our credit facility. Accordingly, investors must rely on sales of their Class A common stock after price appreciation, which may never occur, as the only way to realize any future gains on their investments.</w:t>
      </w:r>
    </w:p>
    <w:p>
      <w:pPr>
        <w:spacing w:after="0" w:line="17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we cannot be certain if the reduced disclosure requirements applicable to emerging growth companies will make our Class A common stock less attractive to investors.</w:t>
      </w:r>
    </w:p>
    <w:p>
      <w:pPr>
        <w:spacing w:after="0" w:line="147"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For so long as we remain an “emerging growth company” as defined in the JOBS Act, we may take advantage of certain exemptions from various requirements that are applicable to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 we are no longer an emerging growth company. We would cease to be an emerging growth company upon the earliest to occur of: (i) the first fiscal year following the fifth anniversary of our initial public offering;</w:t>
      </w:r>
    </w:p>
    <w:p>
      <w:pPr>
        <w:spacing w:after="0" w:line="1" w:lineRule="exact"/>
        <w:rPr>
          <w:sz w:val="20"/>
          <w:szCs w:val="20"/>
          <w:color w:val="auto"/>
        </w:rPr>
      </w:pPr>
    </w:p>
    <w:p>
      <w:pPr>
        <w:ind w:firstLine="9"/>
        <w:spacing w:after="0" w:line="268" w:lineRule="auto"/>
        <w:tabs>
          <w:tab w:leader="none" w:pos="265"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the first fiscal year after our annual gross revenue is $1.07 billion or more; (iii) the date on which we have, during the previous three-year period, issued more than $1.0 billion in non-convertible debt securities; or (iv) date on which we qualify as a “large accelerated filer,” as defined in Rule 12b-2 under the Exchange Act, </w:t>
      </w:r>
      <w:r>
        <w:rPr>
          <w:rFonts w:ascii="Arial" w:cs="Arial" w:eastAsia="Arial" w:hAnsi="Arial"/>
          <w:sz w:val="17"/>
          <w:szCs w:val="17"/>
          <w:color w:val="373739"/>
        </w:rPr>
        <w:t>which would occur at the end of the fiscal</w:t>
      </w:r>
      <w:r>
        <w:rPr>
          <w:rFonts w:ascii="Arial" w:cs="Arial" w:eastAsia="Arial" w:hAnsi="Arial"/>
          <w:sz w:val="17"/>
          <w:szCs w:val="17"/>
          <w:color w:val="auto"/>
        </w:rPr>
        <w:t xml:space="preserve"> </w:t>
      </w:r>
      <w:r>
        <w:rPr>
          <w:rFonts w:ascii="Arial" w:cs="Arial" w:eastAsia="Arial" w:hAnsi="Arial"/>
          <w:sz w:val="17"/>
          <w:szCs w:val="17"/>
          <w:color w:val="373739"/>
        </w:rPr>
        <w:t>year in which the market value of our common stock held by non-affiliates exceeded $700.0 million as of the end of the second quarter of that fiscal year, and after which we have been a reporting company for at least 12 months</w:t>
      </w:r>
      <w:r>
        <w:rPr>
          <w:rFonts w:ascii="Arial" w:cs="Arial" w:eastAsia="Arial" w:hAnsi="Arial"/>
          <w:sz w:val="17"/>
          <w:szCs w:val="17"/>
          <w:color w:val="000000"/>
        </w:rPr>
        <w:t>. Further, pursuant</w:t>
      </w:r>
      <w:r>
        <w:rPr>
          <w:rFonts w:ascii="Arial" w:cs="Arial" w:eastAsia="Arial" w:hAnsi="Arial"/>
          <w:sz w:val="17"/>
          <w:szCs w:val="17"/>
          <w:color w:val="373739"/>
        </w:rPr>
        <w:t xml:space="preserve"> </w:t>
      </w:r>
      <w:r>
        <w:rPr>
          <w:rFonts w:ascii="Arial" w:cs="Arial" w:eastAsia="Arial" w:hAnsi="Arial"/>
          <w:sz w:val="17"/>
          <w:szCs w:val="17"/>
          <w:color w:val="000000"/>
        </w:rPr>
        <w:t>to Section 107 of the JOBS Act, as an emerging growth company, we have elected to take advantage of the extended transition period for complying with new or revised accounting standards until those standards would otherwise apply to private companies. As a result, our results of operations and financial statements</w:t>
      </w:r>
    </w:p>
    <w:p>
      <w:pPr>
        <w:sectPr>
          <w:pgSz w:w="11900" w:h="16838" w:orient="portrait"/>
          <w:cols w:equalWidth="0" w:num="1">
            <w:col w:w="9060"/>
          </w:cols>
          <w:pgMar w:left="1420" w:top="517" w:right="141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may not be comparable to the results of operations and financial statements of other companies who have adopted the new or revised accounting standards. We cannot predict if investors will find our Class A common stock less attractive because we may rely on these exemptions. If some investors find our Class A common stock less attractive as a result, our stock price may be more volatile.</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issuance of additional stock in connection with financings, acquisitions, investments, our stock incentive plans, or otherwise will dilute all other stockholders.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amended and restated certificate of incorporation authorizes us to issue up to 2,000,000,000 shares of Class A common stock, up to 300,000,000 shares of Class B common stock, and up to 100,000,000 shares of preferred stock with such rights and preferences as may be determined by our board of directors. Subject to compliance with applicable rules and regulations, we may issue shares of Class A common stock or securities convertible into shares of our Class A common stock from time to time in connection with a financing, acquisition, investment, our stock incentive plans or otherwise. Any such issuance could result in substantial dilution to our existing stockholders and cause the market price of our Class A common stock to decline.</w:t>
      </w:r>
    </w:p>
    <w:p>
      <w:pPr>
        <w:spacing w:after="0" w:line="18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i w:val="1"/>
          <w:iCs w:val="1"/>
          <w:color w:val="auto"/>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Class A common stock.</w:t>
      </w:r>
    </w:p>
    <w:p>
      <w:pPr>
        <w:spacing w:after="0" w:line="16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71" w:lineRule="exact"/>
        <w:rPr>
          <w:sz w:val="20"/>
          <w:szCs w:val="20"/>
          <w:color w:val="auto"/>
        </w:rPr>
      </w:pPr>
    </w:p>
    <w:p>
      <w:pPr>
        <w:ind w:left="1000" w:hanging="316"/>
        <w:spacing w:after="0" w:line="286" w:lineRule="auto"/>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dual class common stock structure, which provides our holders of Class B common stock with the ability to significantly influence the outcome of matters requiring stockholder approval, even if they own significantly less than a majority of the shares of our outstanding Class A and Class B common stock;</w:t>
      </w:r>
    </w:p>
    <w:p>
      <w:pPr>
        <w:spacing w:after="0" w:line="165" w:lineRule="exact"/>
        <w:rPr>
          <w:rFonts w:ascii="Arial" w:cs="Arial" w:eastAsia="Arial" w:hAnsi="Arial"/>
          <w:sz w:val="17"/>
          <w:szCs w:val="17"/>
          <w:color w:val="auto"/>
        </w:rPr>
      </w:pPr>
    </w:p>
    <w:p>
      <w:pPr>
        <w:ind w:left="1000" w:right="60" w:hanging="316"/>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70" w:lineRule="exact"/>
        <w:rPr>
          <w:rFonts w:ascii="Arial" w:cs="Arial" w:eastAsia="Arial" w:hAnsi="Arial"/>
          <w:sz w:val="18"/>
          <w:szCs w:val="18"/>
          <w:color w:val="auto"/>
        </w:rPr>
      </w:pPr>
    </w:p>
    <w:p>
      <w:pPr>
        <w:ind w:left="1000" w:hanging="316"/>
        <w:spacing w:after="0" w:line="264"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81" w:lineRule="exact"/>
        <w:rPr>
          <w:rFonts w:ascii="Arial" w:cs="Arial" w:eastAsia="Arial" w:hAnsi="Arial"/>
          <w:sz w:val="18"/>
          <w:szCs w:val="18"/>
          <w:color w:val="auto"/>
        </w:rPr>
      </w:pPr>
    </w:p>
    <w:p>
      <w:pPr>
        <w:ind w:left="1000" w:right="80" w:hanging="316"/>
        <w:spacing w:after="0" w:line="264"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81" w:lineRule="exact"/>
        <w:rPr>
          <w:rFonts w:ascii="Arial" w:cs="Arial" w:eastAsia="Arial" w:hAnsi="Arial"/>
          <w:sz w:val="18"/>
          <w:szCs w:val="18"/>
          <w:color w:val="auto"/>
        </w:rPr>
      </w:pPr>
    </w:p>
    <w:p>
      <w:pPr>
        <w:ind w:left="1000" w:hanging="316"/>
        <w:spacing w:after="0" w:line="25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 which prohibition will take effect on the first date on which the number of outstanding shares of our Class B common stock represents less than 10% of the aggregate number of outstanding shares of our Class A common stock and our Class B common stock, taken together as a single class;</w:t>
      </w:r>
    </w:p>
    <w:p>
      <w:pPr>
        <w:spacing w:after="0" w:line="188" w:lineRule="exact"/>
        <w:rPr>
          <w:rFonts w:ascii="Arial" w:cs="Arial" w:eastAsia="Arial" w:hAnsi="Arial"/>
          <w:sz w:val="18"/>
          <w:szCs w:val="18"/>
          <w:color w:val="auto"/>
        </w:rPr>
      </w:pPr>
    </w:p>
    <w:p>
      <w:pPr>
        <w:ind w:left="1000" w:right="60" w:hanging="316"/>
        <w:spacing w:after="0" w:line="259"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chairperson of our board of directors, chief executive officer or by the board of directors acting pursuant to a resolution adopted by a majority of our board of directors, which could delay the ability of our stockholders to force consideration of a proposal or to take action, including the removal of directors;</w:t>
      </w:r>
    </w:p>
    <w:p>
      <w:pPr>
        <w:spacing w:after="0" w:line="186" w:lineRule="exact"/>
        <w:rPr>
          <w:rFonts w:ascii="Arial" w:cs="Arial" w:eastAsia="Arial" w:hAnsi="Arial"/>
          <w:sz w:val="18"/>
          <w:szCs w:val="18"/>
          <w:color w:val="auto"/>
        </w:rPr>
      </w:pPr>
    </w:p>
    <w:p>
      <w:pPr>
        <w:ind w:left="1000" w:right="60" w:hanging="316"/>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amendments to our amended and restated certificate of incorporation require the approval of two-thirds of the then-outstanding voting power of our capital stock; and</w:t>
      </w:r>
    </w:p>
    <w:p>
      <w:pPr>
        <w:sectPr>
          <w:pgSz w:w="11900" w:h="16838" w:orient="portrait"/>
          <w:cols w:equalWidth="0" w:num="1">
            <w:col w:w="9040"/>
          </w:cols>
          <w:pgMar w:left="1420" w:top="517" w:right="143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0" w:right="240" w:hanging="316"/>
        <w:spacing w:after="0" w:line="259"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These provisions may prohibit large stockholders, in particular those owning 15% or more of our outstanding voting stock, from merging or combining with us for a certain period of time.</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spacing w:after="0" w:line="18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Our amended and restated bylaws provide that the Court of Chancery of the State of Delaware is the exclusive forum for:</w:t>
      </w:r>
    </w:p>
    <w:p>
      <w:pPr>
        <w:spacing w:after="0" w:line="170" w:lineRule="exact"/>
        <w:rPr>
          <w:sz w:val="20"/>
          <w:szCs w:val="20"/>
          <w:color w:val="auto"/>
        </w:rPr>
      </w:pPr>
    </w:p>
    <w:p>
      <w:pPr>
        <w:ind w:left="1000" w:hanging="316"/>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1000" w:hanging="316"/>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225" w:lineRule="exact"/>
        <w:rPr>
          <w:rFonts w:ascii="Arial" w:cs="Arial" w:eastAsia="Arial" w:hAnsi="Arial"/>
          <w:sz w:val="18"/>
          <w:szCs w:val="18"/>
          <w:color w:val="auto"/>
        </w:rPr>
      </w:pPr>
    </w:p>
    <w:p>
      <w:pPr>
        <w:ind w:left="1000" w:right="100" w:hanging="316"/>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w:t>
      </w:r>
    </w:p>
    <w:p>
      <w:pPr>
        <w:spacing w:after="0" w:line="170" w:lineRule="exact"/>
        <w:rPr>
          <w:rFonts w:ascii="Arial" w:cs="Arial" w:eastAsia="Arial" w:hAnsi="Arial"/>
          <w:sz w:val="18"/>
          <w:szCs w:val="18"/>
          <w:color w:val="auto"/>
        </w:rPr>
      </w:pPr>
    </w:p>
    <w:p>
      <w:pPr>
        <w:ind w:left="1000" w:right="500" w:hanging="316"/>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action to interpret, apply, enforce or determine the validity of our amended and restated certificate of incorporation or our amended and restated bylaws; and</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However, this exclusive forum provision does not apply to suits brought to enforce a duty or liability created by the Exchange Act. In addition, our amended and restated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5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Shares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From February 1, 2019 to July 19, 2019, we granted to our directors, officers, employees, consultants, and other service providers under our 2011 Plan:</w:t>
      </w:r>
    </w:p>
    <w:p>
      <w:pPr>
        <w:spacing w:after="0" w:line="170" w:lineRule="exact"/>
        <w:rPr>
          <w:sz w:val="20"/>
          <w:szCs w:val="20"/>
          <w:color w:val="auto"/>
        </w:rPr>
      </w:pPr>
    </w:p>
    <w:p>
      <w:pPr>
        <w:ind w:left="1000" w:right="20" w:hanging="316"/>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options to purchase an aggregate of 879,758 shares of our Class B common stock at an exercise price of $14.65 per share, and</w:t>
      </w:r>
    </w:p>
    <w:p>
      <w:pPr>
        <w:spacing w:after="0" w:line="170" w:lineRule="exact"/>
        <w:rPr>
          <w:rFonts w:ascii="Arial" w:cs="Arial" w:eastAsia="Arial" w:hAnsi="Arial"/>
          <w:sz w:val="18"/>
          <w:szCs w:val="18"/>
          <w:color w:val="auto"/>
        </w:rPr>
      </w:pPr>
    </w:p>
    <w:p>
      <w:pPr>
        <w:ind w:left="1000" w:hanging="316"/>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aggregate of 853,188 RSUs to be settled in shares of our Class B common stock.</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believe these transactions were exempt from registration under the Securities Act of 1933 in reliance upon Section 4(a)(2) of the Securities Act or Regulation D promulgated thereunder, or Rule 701 promulgated under Section 3(b) of the Securities Act as transactions by an issuer not involving any public offering or pursuant to benefit</w:t>
      </w:r>
    </w:p>
    <w:p>
      <w:pPr>
        <w:sectPr>
          <w:pgSz w:w="11900" w:h="16838" w:orient="portrait"/>
          <w:cols w:equalWidth="0" w:num="1">
            <w:col w:w="9060"/>
          </w:cols>
          <w:pgMar w:left="1420" w:top="517" w:right="141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All recipients had adequate access, through their relationships with us, to information about CrowdStrike.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Public Offering of Common Stock</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June 14, 2019, we closed our initial public offering, in which we sold 20,700,000 shares of our Class A common stock at a price to the public of $34.00 per share, including shares sold in connection with the full exercise of the underwriters’ option to purchase additional shares. The offer and sale of all of the shares in the IPO were registered under the Securities Act pursuant to a registration statement on Form S-1 (File No. 001-38933), which was declared effective by the SEC on June 11, 2019. The managing underwriter of our IPO was Goldman Sachs &amp; Co. LLC. Following the sale of the shares in connection with the closing of the IPO, the offering terminated. The aggregate offering price of the offering was $703.8 million, before deducting underwriters’ discounts and commissions of $38.7 million and before deducting an estimated $6.0 million of offering expenses payable by us. None of such expenses were paid by us to our directors, officers, or persons owning ten percent or more of our common stock or to their associates, or to our affiliates, other than payments in the ordinary course of business to officers for salaries and to non-employee directors pursuant to our director compensation policy. We estimate that we received net proceeds of $659.1 million from our initial public offering. There has been no material change in the planned use of proceeds from our IPO as described in the final prospectus used in connection with our initial public offering. Pending the uses described, we intend to invest the net proceeds in short-term interest-bearing investment-grade securities, certificates of deposit or government securities, pursuant to the investment policy approved by our board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filed the exhibits listed on the accompanying Exhibit Index, which is incorporated herein by reference.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3"/>
          </w:tcPr>
          <w:p>
            <w:pPr>
              <w:jc w:val="center"/>
              <w:ind w:left="34"/>
              <w:spacing w:after="0"/>
              <w:rPr>
                <w:sz w:val="20"/>
                <w:szCs w:val="20"/>
                <w:color w:val="auto"/>
              </w:rPr>
            </w:pPr>
            <w:r>
              <w:rPr>
                <w:rFonts w:ascii="Arial" w:cs="Arial" w:eastAsia="Arial" w:hAnsi="Arial"/>
                <w:sz w:val="14"/>
                <w:szCs w:val="14"/>
                <w:b w:val="1"/>
                <w:bCs w:val="1"/>
                <w:color w:val="auto"/>
                <w:w w:val="92"/>
              </w:rPr>
              <w:t>Incorporated by Reference</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8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80" w:type="dxa"/>
            <w:vAlign w:val="bottom"/>
            <w:gridSpan w:val="16"/>
            <w:vMerge w:val="restart"/>
          </w:tcPr>
          <w:p>
            <w:pPr>
              <w:ind w:left="160"/>
              <w:spacing w:after="0"/>
              <w:rPr>
                <w:sz w:val="20"/>
                <w:szCs w:val="20"/>
                <w:color w:val="auto"/>
              </w:rPr>
            </w:pPr>
            <w:r>
              <w:rPr>
                <w:rFonts w:ascii="Arial" w:cs="Arial" w:eastAsia="Arial" w:hAnsi="Arial"/>
                <w:sz w:val="14"/>
                <w:szCs w:val="14"/>
                <w:b w:val="1"/>
                <w:bCs w:val="1"/>
                <w:color w:val="auto"/>
              </w:rPr>
              <w:t>Exhibit Description</w:t>
            </w:r>
          </w:p>
        </w:tc>
        <w:tc>
          <w:tcPr>
            <w:tcW w:w="78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rPr>
              <w:t>Form</w:t>
            </w:r>
          </w:p>
        </w:tc>
        <w:tc>
          <w:tcPr>
            <w:tcW w:w="11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File No.</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Filed</w:t>
            </w:r>
          </w:p>
        </w:tc>
        <w:tc>
          <w:tcPr>
            <w:tcW w:w="0" w:type="dxa"/>
            <w:vAlign w:val="bottom"/>
          </w:tcPr>
          <w:p>
            <w:pPr>
              <w:spacing w:after="0"/>
              <w:rPr>
                <w:sz w:val="1"/>
                <w:szCs w:val="1"/>
                <w:color w:val="auto"/>
              </w:rPr>
            </w:pPr>
          </w:p>
        </w:tc>
      </w:tr>
      <w:tr>
        <w:trPr>
          <w:trHeight w:val="185"/>
        </w:trPr>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16"/>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7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600" w:type="dxa"/>
            <w:vAlign w:val="bottom"/>
            <w:tcBorders>
              <w:top w:val="single" w:sz="8" w:color="auto"/>
            </w:tcBorders>
            <w:gridSpan w:val="19"/>
          </w:tcPr>
          <w:p>
            <w:pPr>
              <w:spacing w:after="0" w:line="170" w:lineRule="exact"/>
              <w:rPr>
                <w:rFonts w:ascii="Arial" w:cs="Arial" w:eastAsia="Arial" w:hAnsi="Arial"/>
                <w:sz w:val="18"/>
                <w:szCs w:val="18"/>
                <w:color w:val="0000EE"/>
              </w:rPr>
            </w:pPr>
            <w:hyperlink r:id="rId116">
              <w:r>
                <w:rPr>
                  <w:rFonts w:ascii="Arial" w:cs="Arial" w:eastAsia="Arial" w:hAnsi="Arial"/>
                  <w:sz w:val="18"/>
                  <w:szCs w:val="18"/>
                  <w:color w:val="0000EE"/>
                </w:rPr>
                <w:t>Amended and Restated Certificate of</w:t>
              </w:r>
            </w:hyperlink>
          </w:p>
        </w:tc>
        <w:tc>
          <w:tcPr>
            <w:tcW w:w="780" w:type="dxa"/>
            <w:vAlign w:val="bottom"/>
            <w:tcBorders>
              <w:top w:val="single" w:sz="8" w:color="auto"/>
            </w:tcBorders>
          </w:tcPr>
          <w:p>
            <w:pPr>
              <w:jc w:val="center"/>
              <w:ind w:left="13"/>
              <w:spacing w:after="0" w:line="170" w:lineRule="exact"/>
              <w:rPr>
                <w:sz w:val="20"/>
                <w:szCs w:val="20"/>
                <w:color w:val="auto"/>
              </w:rPr>
            </w:pPr>
            <w:r>
              <w:rPr>
                <w:rFonts w:ascii="Arial" w:cs="Arial" w:eastAsia="Arial" w:hAnsi="Arial"/>
                <w:sz w:val="18"/>
                <w:szCs w:val="18"/>
                <w:color w:val="auto"/>
                <w:w w:val="99"/>
              </w:rPr>
              <w:t>8-K</w:t>
            </w:r>
          </w:p>
        </w:tc>
        <w:tc>
          <w:tcPr>
            <w:tcW w:w="112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001-38933</w:t>
            </w:r>
          </w:p>
        </w:tc>
        <w:tc>
          <w:tcPr>
            <w:tcW w:w="7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7"/>
              </w:rPr>
              <w:t>3.1</w:t>
            </w:r>
          </w:p>
        </w:tc>
        <w:tc>
          <w:tcPr>
            <w:tcW w:w="9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6"/>
              </w:rPr>
              <w:t>June 14,</w:t>
            </w:r>
          </w:p>
        </w:tc>
        <w:tc>
          <w:tcPr>
            <w:tcW w:w="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Incorporation.</w:t>
              </w:r>
            </w:hyperlink>
          </w:p>
        </w:tc>
        <w:tc>
          <w:tcPr>
            <w:tcW w:w="900" w:type="dxa"/>
            <w:vAlign w:val="bottom"/>
            <w:gridSpan w:val="12"/>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Arial" w:cs="Arial" w:eastAsia="Arial" w:hAnsi="Arial"/>
                <w:sz w:val="18"/>
                <w:szCs w:val="18"/>
                <w:color w:val="auto"/>
                <w:w w:val="89"/>
              </w:rPr>
              <w:t>2019</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19"/>
          </w:tcPr>
          <w:p>
            <w:pPr>
              <w:spacing w:after="0"/>
              <w:rPr>
                <w:rFonts w:ascii="Arial" w:cs="Arial" w:eastAsia="Arial" w:hAnsi="Arial"/>
                <w:sz w:val="18"/>
                <w:szCs w:val="18"/>
                <w:color w:val="0000EE"/>
              </w:rPr>
            </w:pPr>
            <w:hyperlink r:id="rId117">
              <w:r>
                <w:rPr>
                  <w:rFonts w:ascii="Arial" w:cs="Arial" w:eastAsia="Arial" w:hAnsi="Arial"/>
                  <w:sz w:val="18"/>
                  <w:szCs w:val="18"/>
                  <w:color w:val="0000EE"/>
                </w:rPr>
                <w:t>Amended and Restated Bylaws.</w:t>
              </w:r>
            </w:hyperlink>
          </w:p>
        </w:tc>
        <w:tc>
          <w:tcPr>
            <w:tcW w:w="780" w:type="dxa"/>
            <w:vAlign w:val="bottom"/>
          </w:tcPr>
          <w:p>
            <w:pPr>
              <w:jc w:val="center"/>
              <w:ind w:left="13"/>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001-38933</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960" w:type="dxa"/>
            <w:vAlign w:val="bottom"/>
          </w:tcPr>
          <w:p>
            <w:pPr>
              <w:jc w:val="center"/>
              <w:spacing w:after="0"/>
              <w:rPr>
                <w:sz w:val="20"/>
                <w:szCs w:val="20"/>
                <w:color w:val="auto"/>
              </w:rPr>
            </w:pPr>
            <w:r>
              <w:rPr>
                <w:rFonts w:ascii="Arial" w:cs="Arial" w:eastAsia="Arial" w:hAnsi="Arial"/>
                <w:sz w:val="18"/>
                <w:szCs w:val="18"/>
                <w:color w:val="auto"/>
                <w:w w:val="86"/>
              </w:rPr>
              <w:t>June 14,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04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72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40" w:type="dxa"/>
            <w:vAlign w:val="bottom"/>
            <w:tcBorders>
              <w:bottom w:val="single" w:sz="8" w:color="0000EE"/>
            </w:tcBorders>
            <w:gridSpan w:val="18"/>
          </w:tcPr>
          <w:p>
            <w:pPr>
              <w:spacing w:after="0" w:line="190"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Form of Indemnification Agreement between the</w:t>
              </w:r>
            </w:hyperlink>
          </w:p>
        </w:tc>
        <w:tc>
          <w:tcPr>
            <w:tcW w:w="60" w:type="dxa"/>
            <w:vAlign w:val="bottom"/>
          </w:tcPr>
          <w:p>
            <w:pPr>
              <w:spacing w:after="0"/>
              <w:rPr>
                <w:sz w:val="16"/>
                <w:szCs w:val="16"/>
                <w:color w:val="auto"/>
              </w:rPr>
            </w:pPr>
          </w:p>
        </w:tc>
        <w:tc>
          <w:tcPr>
            <w:tcW w:w="780" w:type="dxa"/>
            <w:vAlign w:val="bottom"/>
          </w:tcPr>
          <w:p>
            <w:pPr>
              <w:jc w:val="center"/>
              <w:ind w:left="13"/>
              <w:spacing w:after="0" w:line="190" w:lineRule="exact"/>
              <w:rPr>
                <w:sz w:val="20"/>
                <w:szCs w:val="20"/>
                <w:color w:val="auto"/>
              </w:rPr>
            </w:pPr>
            <w:r>
              <w:rPr>
                <w:rFonts w:ascii="Arial" w:cs="Arial" w:eastAsia="Arial" w:hAnsi="Arial"/>
                <w:sz w:val="18"/>
                <w:szCs w:val="18"/>
                <w:color w:val="auto"/>
                <w:w w:val="85"/>
              </w:rPr>
              <w:t>S-1</w:t>
            </w:r>
          </w:p>
        </w:tc>
        <w:tc>
          <w:tcPr>
            <w:tcW w:w="1120" w:type="dxa"/>
            <w:vAlign w:val="bottom"/>
          </w:tcPr>
          <w:p>
            <w:pPr>
              <w:jc w:val="center"/>
              <w:spacing w:after="0" w:line="190" w:lineRule="exact"/>
              <w:rPr>
                <w:sz w:val="20"/>
                <w:szCs w:val="20"/>
                <w:color w:val="auto"/>
              </w:rPr>
            </w:pPr>
            <w:r>
              <w:rPr>
                <w:rFonts w:ascii="Arial" w:cs="Arial" w:eastAsia="Arial" w:hAnsi="Arial"/>
                <w:sz w:val="18"/>
                <w:szCs w:val="18"/>
                <w:color w:val="auto"/>
                <w:w w:val="91"/>
              </w:rPr>
              <w:t>333-231461</w:t>
            </w:r>
          </w:p>
        </w:tc>
        <w:tc>
          <w:tcPr>
            <w:tcW w:w="760" w:type="dxa"/>
            <w:vAlign w:val="bottom"/>
          </w:tcPr>
          <w:p>
            <w:pPr>
              <w:jc w:val="center"/>
              <w:spacing w:after="0" w:line="190" w:lineRule="exact"/>
              <w:rPr>
                <w:sz w:val="20"/>
                <w:szCs w:val="20"/>
                <w:color w:val="auto"/>
              </w:rPr>
            </w:pPr>
            <w:r>
              <w:rPr>
                <w:rFonts w:ascii="Arial" w:cs="Arial" w:eastAsia="Arial" w:hAnsi="Arial"/>
                <w:sz w:val="18"/>
                <w:szCs w:val="18"/>
                <w:color w:val="auto"/>
                <w:w w:val="85"/>
              </w:rPr>
              <w:t>10.1</w:t>
            </w:r>
          </w:p>
        </w:tc>
        <w:tc>
          <w:tcPr>
            <w:tcW w:w="960" w:type="dxa"/>
            <w:vAlign w:val="bottom"/>
          </w:tcPr>
          <w:p>
            <w:pPr>
              <w:jc w:val="center"/>
              <w:spacing w:after="0" w:line="190" w:lineRule="exact"/>
              <w:rPr>
                <w:sz w:val="20"/>
                <w:szCs w:val="20"/>
                <w:color w:val="auto"/>
              </w:rPr>
            </w:pPr>
            <w:r>
              <w:rPr>
                <w:rFonts w:ascii="Arial" w:cs="Arial" w:eastAsia="Arial" w:hAnsi="Arial"/>
                <w:sz w:val="18"/>
                <w:szCs w:val="18"/>
                <w:color w:val="auto"/>
                <w:w w:val="93"/>
              </w:rPr>
              <w:t>May 14,</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gridSpan w:val="19"/>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Company and each of its directors and executive</w:t>
              </w:r>
            </w:hyperlink>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Arial" w:cs="Arial" w:eastAsia="Arial" w:hAnsi="Arial"/>
                <w:sz w:val="18"/>
                <w:szCs w:val="18"/>
                <w:color w:val="auto"/>
                <w:w w:val="89"/>
              </w:rPr>
              <w:t>2019</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officers.</w:t>
              </w:r>
            </w:hyperlink>
          </w:p>
        </w:tc>
        <w:tc>
          <w:tcPr>
            <w:tcW w:w="2900" w:type="dxa"/>
            <w:vAlign w:val="bottom"/>
            <w:tcBorders>
              <w:top w:val="single" w:sz="8" w:color="0000EE"/>
            </w:tcBorders>
            <w:gridSpan w:val="16"/>
          </w:tcPr>
          <w:p>
            <w:pPr>
              <w:spacing w:after="0"/>
              <w:rPr>
                <w:sz w:val="17"/>
                <w:szCs w:val="17"/>
                <w:color w:val="auto"/>
              </w:rPr>
            </w:pPr>
          </w:p>
        </w:tc>
        <w:tc>
          <w:tcPr>
            <w:tcW w:w="10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0" w:type="dxa"/>
            <w:vAlign w:val="bottom"/>
            <w:tcBorders>
              <w:bottom w:val="single" w:sz="8" w:color="0000EE"/>
            </w:tcBorders>
            <w:gridSpan w:val="9"/>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2019 Equity Incentive Plan and related form</w:t>
              </w:r>
            </w:hyperlink>
          </w:p>
        </w:tc>
        <w:tc>
          <w:tcPr>
            <w:tcW w:w="400" w:type="dxa"/>
            <w:vAlign w:val="bottom"/>
            <w:gridSpan w:val="10"/>
          </w:tcPr>
          <w:p>
            <w:pPr>
              <w:spacing w:after="0"/>
              <w:rPr>
                <w:sz w:val="18"/>
                <w:szCs w:val="18"/>
                <w:color w:val="auto"/>
              </w:rPr>
            </w:pPr>
          </w:p>
        </w:tc>
        <w:tc>
          <w:tcPr>
            <w:tcW w:w="780" w:type="dxa"/>
            <w:vAlign w:val="bottom"/>
          </w:tcPr>
          <w:p>
            <w:pPr>
              <w:jc w:val="center"/>
              <w:ind w:left="13"/>
              <w:spacing w:after="0"/>
              <w:rPr>
                <w:sz w:val="20"/>
                <w:szCs w:val="20"/>
                <w:color w:val="auto"/>
              </w:rPr>
            </w:pPr>
            <w:r>
              <w:rPr>
                <w:rFonts w:ascii="Arial" w:cs="Arial" w:eastAsia="Arial" w:hAnsi="Arial"/>
                <w:sz w:val="18"/>
                <w:szCs w:val="18"/>
                <w:color w:val="auto"/>
                <w:w w:val="97"/>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333-231461</w:t>
            </w:r>
          </w:p>
        </w:tc>
        <w:tc>
          <w:tcPr>
            <w:tcW w:w="76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May 29,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r:id="rId119">
              <w:r>
                <w:rPr>
                  <w:rFonts w:ascii="Arial" w:cs="Arial" w:eastAsia="Arial" w:hAnsi="Arial"/>
                  <w:sz w:val="18"/>
                  <w:szCs w:val="18"/>
                  <w:color w:val="0000EE"/>
                  <w:w w:val="85"/>
                </w:rPr>
                <w:t>agreement.</w:t>
              </w:r>
            </w:hyperlink>
          </w:p>
        </w:tc>
        <w:tc>
          <w:tcPr>
            <w:tcW w:w="2800" w:type="dxa"/>
            <w:vAlign w:val="bottom"/>
            <w:gridSpan w:val="17"/>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Arial" w:cs="Arial" w:eastAsia="Arial" w:hAnsi="Arial"/>
                <w:sz w:val="18"/>
                <w:szCs w:val="18"/>
                <w:color w:val="auto"/>
                <w:w w:val="89"/>
              </w:rPr>
              <w:t>2019</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19"/>
          </w:tcPr>
          <w:p>
            <w:pPr>
              <w:spacing w:after="0"/>
              <w:rPr>
                <w:rFonts w:ascii="Arial" w:cs="Arial" w:eastAsia="Arial" w:hAnsi="Arial"/>
                <w:sz w:val="18"/>
                <w:szCs w:val="18"/>
                <w:color w:val="0000EE"/>
                <w:w w:val="91"/>
              </w:rPr>
            </w:pPr>
            <w:hyperlink r:id="rId120">
              <w:r>
                <w:rPr>
                  <w:rFonts w:ascii="Arial" w:cs="Arial" w:eastAsia="Arial" w:hAnsi="Arial"/>
                  <w:sz w:val="18"/>
                  <w:szCs w:val="18"/>
                  <w:color w:val="0000EE"/>
                  <w:w w:val="91"/>
                </w:rPr>
                <w:t>2019 Employee Stock Purchase Plan and related</w:t>
              </w:r>
            </w:hyperlink>
          </w:p>
        </w:tc>
        <w:tc>
          <w:tcPr>
            <w:tcW w:w="780" w:type="dxa"/>
            <w:vAlign w:val="bottom"/>
          </w:tcPr>
          <w:p>
            <w:pPr>
              <w:jc w:val="center"/>
              <w:ind w:left="13"/>
              <w:spacing w:after="0"/>
              <w:rPr>
                <w:sz w:val="20"/>
                <w:szCs w:val="20"/>
                <w:color w:val="auto"/>
              </w:rPr>
            </w:pPr>
            <w:r>
              <w:rPr>
                <w:rFonts w:ascii="Arial" w:cs="Arial" w:eastAsia="Arial" w:hAnsi="Arial"/>
                <w:sz w:val="18"/>
                <w:szCs w:val="18"/>
                <w:color w:val="auto"/>
                <w:w w:val="97"/>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333-231461</w:t>
            </w:r>
          </w:p>
        </w:tc>
        <w:tc>
          <w:tcPr>
            <w:tcW w:w="76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May 29,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form agreements.</w:t>
              </w:r>
            </w:hyperlink>
          </w:p>
        </w:tc>
        <w:tc>
          <w:tcPr>
            <w:tcW w:w="12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Arial" w:cs="Arial" w:eastAsia="Arial" w:hAnsi="Arial"/>
                <w:sz w:val="18"/>
                <w:szCs w:val="18"/>
                <w:color w:val="auto"/>
                <w:w w:val="89"/>
              </w:rPr>
              <w:t>2019</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19"/>
          </w:tcPr>
          <w:p>
            <w:pPr>
              <w:spacing w:after="0"/>
              <w:rPr>
                <w:rFonts w:ascii="Arial" w:cs="Arial" w:eastAsia="Arial" w:hAnsi="Arial"/>
                <w:sz w:val="18"/>
                <w:szCs w:val="18"/>
                <w:color w:val="0000EE"/>
              </w:rPr>
            </w:pPr>
            <w:hyperlink r:id="rId121">
              <w:r>
                <w:rPr>
                  <w:rFonts w:ascii="Arial" w:cs="Arial" w:eastAsia="Arial" w:hAnsi="Arial"/>
                  <w:sz w:val="18"/>
                  <w:szCs w:val="18"/>
                  <w:color w:val="0000EE"/>
                </w:rPr>
                <w:t>Outside Director Compensation Plan.</w:t>
              </w:r>
            </w:hyperlink>
          </w:p>
        </w:tc>
        <w:tc>
          <w:tcPr>
            <w:tcW w:w="780" w:type="dxa"/>
            <w:vAlign w:val="bottom"/>
          </w:tcPr>
          <w:p>
            <w:pPr>
              <w:jc w:val="center"/>
              <w:ind w:left="13"/>
              <w:spacing w:after="0"/>
              <w:rPr>
                <w:sz w:val="20"/>
                <w:szCs w:val="20"/>
                <w:color w:val="auto"/>
              </w:rPr>
            </w:pPr>
            <w:r>
              <w:rPr>
                <w:rFonts w:ascii="Arial" w:cs="Arial" w:eastAsia="Arial" w:hAnsi="Arial"/>
                <w:sz w:val="18"/>
                <w:szCs w:val="18"/>
                <w:color w:val="auto"/>
                <w:w w:val="97"/>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333-231461</w:t>
            </w:r>
          </w:p>
        </w:tc>
        <w:tc>
          <w:tcPr>
            <w:tcW w:w="76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May 29,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9"/>
              </w:rPr>
              <w:t>2019</w:t>
            </w: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0" w:type="dxa"/>
            <w:vAlign w:val="bottom"/>
            <w:gridSpan w:val="13"/>
            <w:vMerge w:val="restart"/>
          </w:tcPr>
          <w:p>
            <w:pPr>
              <w:spacing w:after="0"/>
              <w:rPr>
                <w:rFonts w:ascii="Arial" w:cs="Arial" w:eastAsia="Arial" w:hAnsi="Arial"/>
                <w:sz w:val="18"/>
                <w:szCs w:val="18"/>
                <w:color w:val="0000EE"/>
                <w:w w:val="93"/>
              </w:rPr>
            </w:pPr>
            <w:hyperlink w:anchor="page97">
              <w:r>
                <w:rPr>
                  <w:rFonts w:ascii="Arial" w:cs="Arial" w:eastAsia="Arial" w:hAnsi="Arial"/>
                  <w:sz w:val="18"/>
                  <w:szCs w:val="18"/>
                  <w:color w:val="0000EE"/>
                  <w:w w:val="93"/>
                </w:rPr>
                <w:t>Certification of the Principal Executive Officer</w:t>
              </w:r>
            </w:hyperlink>
          </w:p>
        </w:tc>
        <w:tc>
          <w:tcPr>
            <w:tcW w:w="200" w:type="dxa"/>
            <w:vAlign w:val="bottom"/>
            <w:gridSpan w:val="6"/>
            <w:vMerge w:val="restart"/>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4"/>
        </w:trPr>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0" w:type="dxa"/>
            <w:vAlign w:val="bottom"/>
            <w:tcBorders>
              <w:bottom w:val="single" w:sz="8" w:color="0000EE"/>
            </w:tcBorders>
            <w:gridSpan w:val="13"/>
            <w:vMerge w:val="continue"/>
          </w:tcPr>
          <w:p>
            <w:pPr>
              <w:spacing w:after="0"/>
              <w:rPr>
                <w:sz w:val="16"/>
                <w:szCs w:val="16"/>
                <w:color w:val="auto"/>
              </w:rPr>
            </w:pPr>
          </w:p>
        </w:tc>
        <w:tc>
          <w:tcPr>
            <w:tcW w:w="200" w:type="dxa"/>
            <w:vAlign w:val="bottom"/>
            <w:gridSpan w:val="6"/>
            <w:vMerge w:val="continue"/>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pursuant to Exchange Act Rules 13a14(a) and</w:t>
              </w:r>
            </w:hyperlink>
          </w:p>
        </w:tc>
        <w:tc>
          <w:tcPr>
            <w:tcW w:w="280" w:type="dxa"/>
            <w:vAlign w:val="bottom"/>
            <w:gridSpan w:val="8"/>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gridSpan w:val="19"/>
          </w:tcPr>
          <w:p>
            <w:pPr>
              <w:spacing w:after="0" w:line="196" w:lineRule="exact"/>
              <w:rPr>
                <w:rFonts w:ascii="Arial" w:cs="Arial" w:eastAsia="Arial" w:hAnsi="Arial"/>
                <w:sz w:val="18"/>
                <w:szCs w:val="18"/>
                <w:color w:val="0000EE"/>
                <w:w w:val="92"/>
              </w:rPr>
            </w:pPr>
            <w:hyperlink w:anchor="page97">
              <w:r>
                <w:rPr>
                  <w:rFonts w:ascii="Arial" w:cs="Arial" w:eastAsia="Arial" w:hAnsi="Arial"/>
                  <w:sz w:val="18"/>
                  <w:szCs w:val="18"/>
                  <w:color w:val="0000EE"/>
                  <w:w w:val="92"/>
                </w:rPr>
                <w:t>15d14(a), as adopted pursuant to Section 302 of</w:t>
              </w:r>
            </w:hyperlink>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the Sarbanes-Oxley Act of 2002.</w:t>
              </w:r>
            </w:hyperlink>
          </w:p>
        </w:tc>
        <w:tc>
          <w:tcPr>
            <w:tcW w:w="16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6"/>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19"/>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Certification of the Principal Financial Officer</w:t>
              </w:r>
            </w:hyperlink>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98">
              <w:r>
                <w:rPr>
                  <w:rFonts w:ascii="Arial" w:cs="Arial" w:eastAsia="Arial" w:hAnsi="Arial"/>
                  <w:sz w:val="18"/>
                  <w:szCs w:val="18"/>
                  <w:color w:val="0000EE"/>
                  <w:w w:val="89"/>
                </w:rPr>
                <w:t>pursuant to Exchange Act Rules 13a14(a) and</w:t>
              </w:r>
            </w:hyperlink>
          </w:p>
        </w:tc>
        <w:tc>
          <w:tcPr>
            <w:tcW w:w="20" w:type="dxa"/>
            <w:vAlign w:val="bottom"/>
            <w:tcBorders>
              <w:top w:val="single" w:sz="8" w:color="0000EE"/>
            </w:tcBorders>
          </w:tcPr>
          <w:p>
            <w:pPr>
              <w:spacing w:after="0"/>
              <w:rPr>
                <w:sz w:val="17"/>
                <w:szCs w:val="17"/>
                <w:color w:val="auto"/>
              </w:rPr>
            </w:pPr>
          </w:p>
        </w:tc>
        <w:tc>
          <w:tcPr>
            <w:tcW w:w="260" w:type="dxa"/>
            <w:vAlign w:val="bottom"/>
            <w:gridSpan w:val="7"/>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gridSpan w:val="19"/>
          </w:tcPr>
          <w:p>
            <w:pPr>
              <w:spacing w:after="0" w:line="196" w:lineRule="exact"/>
              <w:rPr>
                <w:rFonts w:ascii="Arial" w:cs="Arial" w:eastAsia="Arial" w:hAnsi="Arial"/>
                <w:sz w:val="18"/>
                <w:szCs w:val="18"/>
                <w:color w:val="0000EE"/>
                <w:w w:val="92"/>
              </w:rPr>
            </w:pPr>
            <w:hyperlink w:anchor="page98">
              <w:r>
                <w:rPr>
                  <w:rFonts w:ascii="Arial" w:cs="Arial" w:eastAsia="Arial" w:hAnsi="Arial"/>
                  <w:sz w:val="18"/>
                  <w:szCs w:val="18"/>
                  <w:color w:val="0000EE"/>
                  <w:w w:val="92"/>
                </w:rPr>
                <w:t>15d14(a), as adopted pursuant to Section 302 of</w:t>
              </w:r>
            </w:hyperlink>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the Sarbanes-Oxley Act of 2002.</w:t>
              </w:r>
            </w:hyperlink>
          </w:p>
        </w:tc>
        <w:tc>
          <w:tcPr>
            <w:tcW w:w="16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6"/>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0" w:type="dxa"/>
            <w:vAlign w:val="bottom"/>
            <w:tcBorders>
              <w:bottom w:val="single" w:sz="8" w:color="0000EE"/>
            </w:tcBorders>
            <w:gridSpan w:val="13"/>
          </w:tcPr>
          <w:p>
            <w:pPr>
              <w:spacing w:after="0"/>
              <w:rPr>
                <w:rFonts w:ascii="Arial" w:cs="Arial" w:eastAsia="Arial" w:hAnsi="Arial"/>
                <w:sz w:val="18"/>
                <w:szCs w:val="18"/>
                <w:color w:val="0000EE"/>
                <w:w w:val="93"/>
              </w:rPr>
            </w:pPr>
            <w:hyperlink w:anchor="page99">
              <w:r>
                <w:rPr>
                  <w:rFonts w:ascii="Arial" w:cs="Arial" w:eastAsia="Arial" w:hAnsi="Arial"/>
                  <w:sz w:val="18"/>
                  <w:szCs w:val="18"/>
                  <w:color w:val="0000EE"/>
                  <w:w w:val="93"/>
                </w:rPr>
                <w:t>Certification of the Principal Executive Officer</w:t>
              </w:r>
            </w:hyperlink>
          </w:p>
        </w:tc>
        <w:tc>
          <w:tcPr>
            <w:tcW w:w="200" w:type="dxa"/>
            <w:vAlign w:val="bottom"/>
            <w:gridSpan w:val="6"/>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gridSpan w:val="19"/>
          </w:tcPr>
          <w:p>
            <w:pPr>
              <w:spacing w:after="0" w:line="196" w:lineRule="exact"/>
              <w:rPr>
                <w:rFonts w:ascii="Arial" w:cs="Arial" w:eastAsia="Arial" w:hAnsi="Arial"/>
                <w:sz w:val="18"/>
                <w:szCs w:val="18"/>
                <w:color w:val="0000EE"/>
                <w:w w:val="99"/>
              </w:rPr>
            </w:pPr>
            <w:hyperlink w:anchor="page99">
              <w:r>
                <w:rPr>
                  <w:rFonts w:ascii="Arial" w:cs="Arial" w:eastAsia="Arial" w:hAnsi="Arial"/>
                  <w:sz w:val="18"/>
                  <w:szCs w:val="18"/>
                  <w:color w:val="0000EE"/>
                  <w:w w:val="99"/>
                </w:rPr>
                <w:t>and Principal Financial Officer pursuant to 18</w:t>
              </w:r>
            </w:hyperlink>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Borders>
              <w:top w:val="single" w:sz="8" w:color="0000EE"/>
            </w:tcBorders>
            <w:gridSpan w:val="10"/>
          </w:tcPr>
          <w:p>
            <w:pPr>
              <w:spacing w:after="0" w:line="196" w:lineRule="exact"/>
              <w:rPr>
                <w:rFonts w:ascii="Arial" w:cs="Arial" w:eastAsia="Arial" w:hAnsi="Arial"/>
                <w:sz w:val="18"/>
                <w:szCs w:val="18"/>
                <w:color w:val="0000EE"/>
                <w:w w:val="91"/>
              </w:rPr>
            </w:pPr>
            <w:hyperlink w:anchor="page99">
              <w:r>
                <w:rPr>
                  <w:rFonts w:ascii="Arial" w:cs="Arial" w:eastAsia="Arial" w:hAnsi="Arial"/>
                  <w:sz w:val="18"/>
                  <w:szCs w:val="18"/>
                  <w:color w:val="0000EE"/>
                  <w:w w:val="91"/>
                </w:rPr>
                <w:t>U.S.C. Section 1350, as adopted pursuant to</w:t>
              </w:r>
            </w:hyperlink>
          </w:p>
        </w:tc>
        <w:tc>
          <w:tcPr>
            <w:tcW w:w="300" w:type="dxa"/>
            <w:vAlign w:val="bottom"/>
            <w:gridSpan w:val="9"/>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8"/>
            <w:shd w:val="clear" w:color="auto" w:fill="0000EE"/>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Section 906 of the Sarbanes-Oxley Act of 2002.</w:t>
              </w:r>
            </w:hyperlink>
          </w:p>
        </w:tc>
        <w:tc>
          <w:tcPr>
            <w:tcW w:w="14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1"/>
                <w:szCs w:val="21"/>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rPr>
              <w:t>XBRL Instance Document</w:t>
            </w: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101.SCH</w:t>
            </w:r>
          </w:p>
        </w:tc>
        <w:tc>
          <w:tcPr>
            <w:tcW w:w="20" w:type="dxa"/>
            <w:vAlign w:val="bottom"/>
          </w:tcPr>
          <w:p>
            <w:pPr>
              <w:spacing w:after="0"/>
              <w:rPr>
                <w:sz w:val="19"/>
                <w:szCs w:val="19"/>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w w:val="94"/>
              </w:rPr>
              <w:t>XBRL Taxonomy Extension Schema Document</w:t>
            </w: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18"/>
                <w:szCs w:val="18"/>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rPr>
              <w:t>XBRL Taxonomy Extension Calculation</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rPr>
              <w:t>Linkbase Document</w:t>
            </w: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18"/>
                <w:szCs w:val="18"/>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w w:val="94"/>
              </w:rPr>
              <w:t>XBRL Taxonomy Extension Definition Linkbase</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rPr>
              <w:t>Document</w:t>
            </w: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18"/>
                <w:szCs w:val="18"/>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rPr>
              <w:t>XBRL Taxonomy Extension Label Linkbase</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rPr>
              <w:t>Document</w:t>
            </w: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101.PRE</w:t>
            </w:r>
          </w:p>
        </w:tc>
        <w:tc>
          <w:tcPr>
            <w:tcW w:w="20" w:type="dxa"/>
            <w:vAlign w:val="bottom"/>
          </w:tcPr>
          <w:p>
            <w:pPr>
              <w:spacing w:after="0"/>
              <w:rPr>
                <w:sz w:val="18"/>
                <w:szCs w:val="18"/>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rPr>
              <w:t>XBRL Taxonomy Extension Presentation</w:t>
            </w: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0" w:type="dxa"/>
            <w:vAlign w:val="bottom"/>
            <w:gridSpan w:val="19"/>
          </w:tcPr>
          <w:p>
            <w:pPr>
              <w:spacing w:after="0"/>
              <w:rPr>
                <w:sz w:val="20"/>
                <w:szCs w:val="20"/>
                <w:color w:val="auto"/>
              </w:rPr>
            </w:pPr>
            <w:r>
              <w:rPr>
                <w:rFonts w:ascii="Arial" w:cs="Arial" w:eastAsia="Arial" w:hAnsi="Arial"/>
                <w:sz w:val="18"/>
                <w:szCs w:val="18"/>
                <w:color w:val="auto"/>
              </w:rPr>
              <w:t>Linkbase Document</w:t>
            </w: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14408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95" w:lineRule="exact"/>
        <w:rPr>
          <w:sz w:val="20"/>
          <w:szCs w:val="20"/>
          <w:color w:val="auto"/>
        </w:rPr>
      </w:pPr>
    </w:p>
    <w:p>
      <w:pPr>
        <w:ind w:left="340" w:right="60" w:hanging="331"/>
        <w:spacing w:after="0" w:line="264"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Pursuant to the requirements of the Securities Act of 1934, the Registrant has duly caused this report to be signed on its behalf by the undersigned, thereunto duly authorized, in Sunnyvale, California, on the day of July 19, 2019</w:t>
      </w:r>
    </w:p>
    <w:p>
      <w:pPr>
        <w:spacing w:after="0" w:line="15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CROWDSTRIKE HOLDINGS, INC.</w:t>
      </w:r>
    </w:p>
    <w:p>
      <w:pPr>
        <w:spacing w:after="0" w:line="22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Burt W. Podbere</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Burt W. Podbere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-130810</wp:posOffset>
            </wp:positionV>
            <wp:extent cx="26587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4880"/>
        <w:spacing w:after="0"/>
        <w:rPr>
          <w:sz w:val="20"/>
          <w:szCs w:val="20"/>
          <w:color w:val="auto"/>
        </w:rPr>
      </w:pPr>
      <w:r>
        <w:rPr>
          <w:rFonts w:ascii="Arial" w:cs="Arial" w:eastAsia="Arial" w:hAnsi="Arial"/>
          <w:sz w:val="18"/>
          <w:szCs w:val="18"/>
          <w:i w:val="1"/>
          <w:iCs w:val="1"/>
          <w:color w:val="auto"/>
        </w:rPr>
        <w:t>Chief Financial Officer (Principal Financial and</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i w:val="1"/>
          <w:i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940" w:right="1420"/>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George Kurtz, certify that:</w:t>
      </w:r>
    </w:p>
    <w:p>
      <w:pPr>
        <w:spacing w:after="0" w:line="225" w:lineRule="exact"/>
        <w:rPr>
          <w:sz w:val="20"/>
          <w:szCs w:val="20"/>
          <w:color w:val="auto"/>
        </w:rPr>
      </w:pPr>
    </w:p>
    <w:p>
      <w:pPr>
        <w:ind w:left="640" w:hanging="317"/>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CrowdStrike Holdings, Inc.;</w:t>
      </w:r>
    </w:p>
    <w:p>
      <w:pPr>
        <w:spacing w:after="0" w:line="225" w:lineRule="exact"/>
        <w:rPr>
          <w:rFonts w:ascii="Arial" w:cs="Arial" w:eastAsia="Arial" w:hAnsi="Arial"/>
          <w:sz w:val="18"/>
          <w:szCs w:val="18"/>
          <w:color w:val="auto"/>
        </w:rPr>
      </w:pPr>
    </w:p>
    <w:p>
      <w:pPr>
        <w:ind w:left="640" w:right="360" w:hanging="317"/>
        <w:spacing w:after="0" w:line="264" w:lineRule="auto"/>
        <w:tabs>
          <w:tab w:leader="none" w:pos="631"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40" w:right="80" w:hanging="317"/>
        <w:spacing w:after="0" w:line="264" w:lineRule="auto"/>
        <w:tabs>
          <w:tab w:leader="none" w:pos="631"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640" w:hanging="317"/>
        <w:spacing w:after="0" w:line="277" w:lineRule="auto"/>
        <w:tabs>
          <w:tab w:leader="none" w:pos="6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140" w:hanging="332"/>
        <w:spacing w:after="0" w:line="312" w:lineRule="auto"/>
        <w:tabs>
          <w:tab w:leader="none" w:pos="991"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980" w:right="100" w:hanging="332"/>
        <w:spacing w:after="0" w:line="264" w:lineRule="auto"/>
        <w:tabs>
          <w:tab w:leader="none" w:pos="1001"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980" w:right="160" w:hanging="332"/>
        <w:spacing w:after="0" w:line="312" w:lineRule="auto"/>
        <w:tabs>
          <w:tab w:leader="none" w:pos="991"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640" w:right="40" w:hanging="317"/>
        <w:spacing w:after="0" w:line="264" w:lineRule="auto"/>
        <w:tabs>
          <w:tab w:leader="none" w:pos="6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980" w:right="360" w:hanging="332"/>
        <w:spacing w:after="0" w:line="264" w:lineRule="auto"/>
        <w:tabs>
          <w:tab w:leader="none" w:pos="981"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980" w:right="1500" w:hanging="332"/>
        <w:spacing w:after="0" w:line="277" w:lineRule="auto"/>
        <w:tabs>
          <w:tab w:leader="none" w:pos="991"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July 19, 2019</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CROWDSTRIKE HOLDINGS, INC.</w:t>
      </w:r>
    </w:p>
    <w:p>
      <w:pPr>
        <w:spacing w:after="0" w:line="225" w:lineRule="exact"/>
        <w:rPr>
          <w:sz w:val="20"/>
          <w:szCs w:val="20"/>
          <w:color w:val="auto"/>
        </w:rPr>
      </w:pPr>
    </w:p>
    <w:p>
      <w:pPr>
        <w:ind w:left="140"/>
        <w:spacing w:after="0"/>
        <w:tabs>
          <w:tab w:leader="none" w:pos="640" w:val="left"/>
        </w:tabs>
        <w:rPr>
          <w:sz w:val="20"/>
          <w:szCs w:val="20"/>
          <w:color w:val="auto"/>
        </w:rPr>
      </w:pPr>
      <w:r>
        <w:rPr>
          <w:rFonts w:ascii="Arial" w:cs="Arial" w:eastAsia="Arial" w:hAnsi="Arial"/>
          <w:sz w:val="18"/>
          <w:szCs w:val="18"/>
          <w:color w:val="auto"/>
        </w:rPr>
        <w:t>By:</w:t>
        <w:tab/>
        <w:t>/s/ George Kurtz</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Name: George Kurtz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-130810</wp:posOffset>
            </wp:positionV>
            <wp:extent cx="59690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3" w:lineRule="exact"/>
        <w:rPr>
          <w:sz w:val="20"/>
          <w:szCs w:val="20"/>
          <w:color w:val="auto"/>
        </w:rPr>
      </w:pPr>
    </w:p>
    <w:p>
      <w:pPr>
        <w:ind w:left="140"/>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Chief Executive Officer, and Director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638873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940" w:right="1420"/>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Burt W. Podbere, certify that:</w:t>
      </w:r>
    </w:p>
    <w:p>
      <w:pPr>
        <w:spacing w:after="0" w:line="225" w:lineRule="exact"/>
        <w:rPr>
          <w:sz w:val="20"/>
          <w:szCs w:val="20"/>
          <w:color w:val="auto"/>
        </w:rPr>
      </w:pPr>
    </w:p>
    <w:p>
      <w:pPr>
        <w:ind w:left="640" w:hanging="317"/>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CrowdStrike Holdings, Inc.;</w:t>
      </w:r>
    </w:p>
    <w:p>
      <w:pPr>
        <w:spacing w:after="0" w:line="225" w:lineRule="exact"/>
        <w:rPr>
          <w:rFonts w:ascii="Arial" w:cs="Arial" w:eastAsia="Arial" w:hAnsi="Arial"/>
          <w:sz w:val="18"/>
          <w:szCs w:val="18"/>
          <w:color w:val="auto"/>
        </w:rPr>
      </w:pPr>
    </w:p>
    <w:p>
      <w:pPr>
        <w:ind w:left="640" w:right="360" w:hanging="317"/>
        <w:spacing w:after="0" w:line="264" w:lineRule="auto"/>
        <w:tabs>
          <w:tab w:leader="none" w:pos="631"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40" w:right="80" w:hanging="317"/>
        <w:spacing w:after="0" w:line="264" w:lineRule="auto"/>
        <w:tabs>
          <w:tab w:leader="none" w:pos="631"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640" w:hanging="317"/>
        <w:spacing w:after="0" w:line="277" w:lineRule="auto"/>
        <w:tabs>
          <w:tab w:leader="none" w:pos="6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140" w:hanging="332"/>
        <w:spacing w:after="0" w:line="312" w:lineRule="auto"/>
        <w:tabs>
          <w:tab w:leader="none" w:pos="991"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6"/>
          <w:szCs w:val="16"/>
          <w:color w:val="auto"/>
        </w:rPr>
      </w:pPr>
    </w:p>
    <w:p>
      <w:pPr>
        <w:ind w:left="980" w:right="100" w:hanging="332"/>
        <w:spacing w:after="0" w:line="264" w:lineRule="auto"/>
        <w:tabs>
          <w:tab w:leader="none" w:pos="1001"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980" w:right="160" w:hanging="332"/>
        <w:spacing w:after="0" w:line="312" w:lineRule="auto"/>
        <w:tabs>
          <w:tab w:leader="none" w:pos="991"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left="640" w:right="40" w:hanging="317"/>
        <w:spacing w:after="0" w:line="264" w:lineRule="auto"/>
        <w:tabs>
          <w:tab w:leader="none" w:pos="58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980" w:right="360" w:hanging="332"/>
        <w:spacing w:after="0" w:line="264" w:lineRule="auto"/>
        <w:tabs>
          <w:tab w:leader="none" w:pos="981"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980" w:right="1500" w:hanging="332"/>
        <w:spacing w:after="0" w:line="277" w:lineRule="auto"/>
        <w:tabs>
          <w:tab w:leader="none" w:pos="991"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19, 2019</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CROWDSTRIKE HOLDINGS,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ind w:left="140"/>
              <w:spacing w:after="0"/>
              <w:rPr>
                <w:sz w:val="20"/>
                <w:szCs w:val="20"/>
                <w:color w:val="auto"/>
              </w:rPr>
            </w:pPr>
            <w:r>
              <w:rPr>
                <w:rFonts w:ascii="Arial" w:cs="Arial" w:eastAsia="Arial" w:hAnsi="Arial"/>
                <w:sz w:val="18"/>
                <w:szCs w:val="18"/>
                <w:color w:val="auto"/>
              </w:rPr>
              <w:t>By:</w:t>
            </w:r>
          </w:p>
        </w:tc>
        <w:tc>
          <w:tcPr>
            <w:tcW w:w="9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Burt W. Podbere</w:t>
            </w:r>
          </w:p>
        </w:tc>
      </w:tr>
      <w:tr>
        <w:trPr>
          <w:trHeight w:val="195"/>
        </w:trPr>
        <w:tc>
          <w:tcPr>
            <w:tcW w:w="1000" w:type="dxa"/>
            <w:vAlign w:val="bottom"/>
          </w:tcPr>
          <w:p>
            <w:pPr>
              <w:ind w:left="140"/>
              <w:spacing w:after="0" w:line="195" w:lineRule="exact"/>
              <w:rPr>
                <w:sz w:val="20"/>
                <w:szCs w:val="20"/>
                <w:color w:val="auto"/>
              </w:rPr>
            </w:pPr>
            <w:r>
              <w:rPr>
                <w:rFonts w:ascii="Arial" w:cs="Arial" w:eastAsia="Arial" w:hAnsi="Arial"/>
                <w:sz w:val="18"/>
                <w:szCs w:val="18"/>
                <w:color w:val="auto"/>
              </w:rPr>
              <w:t>Name:</w:t>
            </w:r>
          </w:p>
        </w:tc>
        <w:tc>
          <w:tcPr>
            <w:tcW w:w="9060" w:type="dxa"/>
            <w:vAlign w:val="bottom"/>
          </w:tcPr>
          <w:p>
            <w:pPr>
              <w:spacing w:after="0" w:line="195" w:lineRule="exact"/>
              <w:rPr>
                <w:sz w:val="20"/>
                <w:szCs w:val="20"/>
                <w:color w:val="auto"/>
              </w:rPr>
            </w:pPr>
            <w:r>
              <w:rPr>
                <w:rFonts w:ascii="Arial" w:cs="Arial" w:eastAsia="Arial" w:hAnsi="Arial"/>
                <w:sz w:val="18"/>
                <w:szCs w:val="18"/>
                <w:color w:val="auto"/>
              </w:rPr>
              <w:t>Burt W. Podbere</w:t>
            </w:r>
          </w:p>
        </w:tc>
      </w:tr>
      <w:tr>
        <w:trPr>
          <w:trHeight w:val="230"/>
        </w:trPr>
        <w:tc>
          <w:tcPr>
            <w:tcW w:w="1000" w:type="dxa"/>
            <w:vAlign w:val="bottom"/>
          </w:tcPr>
          <w:p>
            <w:pPr>
              <w:ind w:left="140"/>
              <w:spacing w:after="0"/>
              <w:rPr>
                <w:sz w:val="20"/>
                <w:szCs w:val="20"/>
                <w:color w:val="auto"/>
              </w:rPr>
            </w:pPr>
            <w:r>
              <w:rPr>
                <w:rFonts w:ascii="Arial" w:cs="Arial" w:eastAsia="Arial" w:hAnsi="Arial"/>
                <w:sz w:val="18"/>
                <w:szCs w:val="18"/>
                <w:color w:val="auto"/>
              </w:rPr>
              <w:t>Title:</w:t>
            </w:r>
          </w:p>
        </w:tc>
        <w:tc>
          <w:tcPr>
            <w:tcW w:w="9060" w:type="dxa"/>
            <w:vAlign w:val="bottom"/>
          </w:tcPr>
          <w:p>
            <w:pPr>
              <w:spacing w:after="0"/>
              <w:rPr>
                <w:sz w:val="20"/>
                <w:szCs w:val="20"/>
                <w:color w:val="auto"/>
              </w:rPr>
            </w:pPr>
            <w:r>
              <w:rPr>
                <w:rFonts w:ascii="Arial" w:cs="Arial" w:eastAsia="Arial" w:hAnsi="Arial"/>
                <w:sz w:val="18"/>
                <w:szCs w:val="18"/>
                <w:color w:val="auto"/>
              </w:rPr>
              <w:t>Chief Financial Officer (Principal Financial and Accounting Officer)</w:t>
            </w:r>
          </w:p>
        </w:tc>
      </w:tr>
      <w:tr>
        <w:trPr>
          <w:trHeight w:val="777"/>
        </w:trPr>
        <w:tc>
          <w:tcPr>
            <w:tcW w:w="100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George Kurtz, the President and Chief Executive Officer of CrowdStrike Holdings, Inc., certify, pursuant to 18 U.S.C. Section 1350, as adopted pursuant to Section 906 of the Sarbanes-Oxley Act of 2002, that the Quarterly Report on Form 10-Q of CrowdStrike Holdings, Inc. for the fiscal quarter ended April 30, 2019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July 19, 2019</w:t>
      </w:r>
    </w:p>
    <w:p>
      <w:pPr>
        <w:spacing w:after="0" w:line="23" w:lineRule="exact"/>
        <w:rPr>
          <w:sz w:val="20"/>
          <w:szCs w:val="20"/>
          <w:color w:val="auto"/>
        </w:rPr>
      </w:pPr>
    </w:p>
    <w:tbl>
      <w:tblPr>
        <w:tblLayout w:type="fixed"/>
        <w:tblInd w:w="50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Kurtz</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George Kurtz</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58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Burt W. Podbere, the Chief Financial Officer of CrowdStrike Holdings, Inc., certify, pursuant to 18 U.S.C. Section 1350, as adopted pursuant to Section 906 of the Sarbanes-Oxley Act of 2002, that the Quarterly Report on Form 10-Q of CrowdStrike Holdings, Inc. for the fiscal quarter ended April 30, 2019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July 19,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ind w:left="502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Burt W. Podbere</w:t>
            </w:r>
          </w:p>
        </w:tc>
      </w:tr>
      <w:tr>
        <w:trPr>
          <w:trHeight w:val="195"/>
        </w:trPr>
        <w:tc>
          <w:tcPr>
            <w:tcW w:w="5600" w:type="dxa"/>
            <w:vAlign w:val="bottom"/>
          </w:tcPr>
          <w:p>
            <w:pPr>
              <w:ind w:left="5020"/>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Burt W. Podbere</w:t>
            </w:r>
          </w:p>
        </w:tc>
      </w:tr>
      <w:tr>
        <w:trPr>
          <w:trHeight w:val="216"/>
        </w:trPr>
        <w:tc>
          <w:tcPr>
            <w:tcW w:w="5600" w:type="dxa"/>
            <w:vAlign w:val="bottom"/>
          </w:tcPr>
          <w:p>
            <w:pPr>
              <w:ind w:left="5020"/>
              <w:spacing w:after="0"/>
              <w:rPr>
                <w:sz w:val="20"/>
                <w:szCs w:val="20"/>
                <w:color w:val="auto"/>
              </w:rPr>
            </w:pPr>
            <w:r>
              <w:rPr>
                <w:rFonts w:ascii="Arial" w:cs="Arial" w:eastAsia="Arial" w:hAnsi="Arial"/>
                <w:sz w:val="18"/>
                <w:szCs w:val="18"/>
                <w:color w:val="auto"/>
              </w:rPr>
              <w:t>Title:</w:t>
            </w:r>
          </w:p>
        </w:tc>
        <w:tc>
          <w:tcPr>
            <w:tcW w:w="44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0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7"/>
        </w:trPr>
        <w:tc>
          <w:tcPr>
            <w:tcW w:w="56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1" w:right="919" w:bottom="1440" w:gutter="0" w:footer="0" w:header="0"/>
        </w:sectPr>
      </w:pPr>
    </w:p>
    <w:bookmarkStart w:id="99" w:name="page100"/>
    <w:bookmarkEnd w:id="99"/>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o"/>
      <w:numFmt w:val="bullet"/>
      <w:start w:val="1"/>
    </w:lvl>
  </w:abstractNum>
  <w:abstractNum w:abstractNumId="3">
    <w:nsid w:val="2443A858"/>
    <w:multiLevelType w:val="hybridMultilevel"/>
    <w:lvl w:ilvl="0">
      <w:lvlJc w:val="left"/>
      <w:lvlText w:val="o"/>
      <w:numFmt w:val="bullet"/>
      <w:start w:val="1"/>
    </w:lvl>
  </w:abstractNum>
  <w:abstractNum w:abstractNumId="4">
    <w:nsid w:val="2D1D5AE9"/>
    <w:multiLevelType w:val="hybridMultilevel"/>
    <w:lvl w:ilvl="0">
      <w:lvlJc w:val="left"/>
      <w:lvlText w:val="%1."/>
      <w:numFmt w:val="decimal"/>
      <w:start w:val="2"/>
    </w:lvl>
  </w:abstractNum>
  <w:abstractNum w:abstractNumId="5">
    <w:nsid w:val="6763845E"/>
    <w:multiLevelType w:val="hybridMultilevel"/>
    <w:lvl w:ilvl="0">
      <w:lvlJc w:val="left"/>
      <w:lvlText w:val="(%1)"/>
      <w:numFmt w:val="lowerRoman"/>
      <w:start w:val="2"/>
    </w:lvl>
  </w:abstractNum>
  <w:abstractNum w:abstractNumId="6">
    <w:nsid w:val="75A2A8D4"/>
    <w:multiLevelType w:val="hybridMultilevel"/>
    <w:lvl w:ilvl="0">
      <w:lvlJc w:val="left"/>
      <w:lvlText w:val="(%1)"/>
      <w:numFmt w:val="lowerRoman"/>
      <w:start w:val="1"/>
    </w:lvl>
  </w:abstractNum>
  <w:abstractNum w:abstractNumId="7">
    <w:nsid w:val="8EDBDAB"/>
    <w:multiLevelType w:val="hybridMultilevel"/>
    <w:lvl w:ilvl="0">
      <w:lvlJc w:val="left"/>
      <w:lvlText w:val="(%1)"/>
      <w:numFmt w:val="lowerRoman"/>
      <w:start w:val="3"/>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9"/>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decimal"/>
      <w:start w:val="1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lowerRoman"/>
      <w:start w:val="2"/>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16" Type="http://schemas.openxmlformats.org/officeDocument/2006/relationships/hyperlink" Target="http://www.sec.gov/Archives/edgar/data/1535527/000110465919035685/a19-11597_1ex3d1.htm" TargetMode="External"/><Relationship Id="rId117" Type="http://schemas.openxmlformats.org/officeDocument/2006/relationships/hyperlink" Target="http://www.sec.gov/Archives/edgar/data/1535527/000110465919035685/a19-11597_1ex3d2.htm" TargetMode="External"/><Relationship Id="rId118" Type="http://schemas.openxmlformats.org/officeDocument/2006/relationships/hyperlink" Target="http://www.sec.gov/Archives/edgar/data/1535527/000104746919003095/a2238800zex-10_1.htm" TargetMode="External"/><Relationship Id="rId119" Type="http://schemas.openxmlformats.org/officeDocument/2006/relationships/hyperlink" Target="http://www.sec.gov/Archives/edgar/data/1535527/000104746919003341/a2238881zex-10_2.htm" TargetMode="External"/><Relationship Id="rId120" Type="http://schemas.openxmlformats.org/officeDocument/2006/relationships/hyperlink" Target="http://www.sec.gov/Archives/edgar/data/1535527/000104746919003341/a2238881zex-10_3.htm" TargetMode="External"/><Relationship Id="rId121" Type="http://schemas.openxmlformats.org/officeDocument/2006/relationships/hyperlink" Target="http://www.sec.gov/Archives/edgar/data/1535527/000104746919003341/a2238881zex-10_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2019-12-28T10:17:58Z</dcterms:created>
  <dcterms:modified xsi:type="dcterms:W3CDTF">2019-12-28T10:17:58Z</dcterms:modified>
</cp:coreProperties>
</file>