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April 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CrowdStrike Holdings,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001-38933</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(Commission</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45-3788918</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60" w:space="720"/>
            <w:col w:w="2820" w:space="720"/>
            <w:col w:w="2520"/>
          </w:cols>
          <w:pgMar w:left="320" w:top="778" w:right="339" w:bottom="1440" w:gutter="0" w:footer="0" w:header="0"/>
          <w:type w:val="continuous"/>
        </w:sectPr>
      </w:pPr>
    </w:p>
    <w:p>
      <w:pPr>
        <w:spacing w:after="0" w:line="7"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150 Mathilda Place, Suite 300</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Sunnyvale, California</w:t>
      </w:r>
    </w:p>
    <w:p>
      <w:pPr>
        <w:spacing w:after="0" w:line="9"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20"/>
        <w:spacing w:after="0"/>
        <w:rPr>
          <w:sz w:val="20"/>
          <w:szCs w:val="20"/>
          <w:color w:val="auto"/>
        </w:rPr>
      </w:pPr>
      <w:r>
        <w:rPr>
          <w:rFonts w:ascii="Arial" w:cs="Arial" w:eastAsia="Arial" w:hAnsi="Arial"/>
          <w:sz w:val="18"/>
          <w:szCs w:val="18"/>
          <w:b w:val="1"/>
          <w:bCs w:val="1"/>
          <w:color w:val="auto"/>
        </w:rPr>
        <w:t>94086</w:t>
      </w:r>
    </w:p>
    <w:p>
      <w:pPr>
        <w:spacing w:after="0" w:line="27" w:lineRule="exact"/>
        <w:rPr>
          <w:sz w:val="24"/>
          <w:szCs w:val="24"/>
          <w:color w:val="auto"/>
        </w:rPr>
      </w:pPr>
    </w:p>
    <w:p>
      <w:pPr>
        <w:jc w:val="center"/>
        <w:ind w:right="24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20" w:space="720"/>
            <w:col w:w="3200"/>
          </w:cols>
          <w:pgMar w:left="320" w:top="778"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(888) 512-8906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9"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63"/>
        </w:trPr>
        <w:tc>
          <w:tcPr>
            <w:tcW w:w="4080" w:type="dxa"/>
            <w:vAlign w:val="bottom"/>
            <w:tcBorders>
              <w:top w:val="single" w:sz="8" w:color="221E1F"/>
              <w:left w:val="single" w:sz="8" w:color="221E1F"/>
              <w:right w:val="single" w:sz="8" w:color="221E1F"/>
            </w:tcBorders>
          </w:tcPr>
          <w:p>
            <w:pPr>
              <w:jc w:val="center"/>
              <w:spacing w:after="0"/>
              <w:rPr>
                <w:sz w:val="20"/>
                <w:szCs w:val="20"/>
                <w:color w:val="auto"/>
              </w:rPr>
            </w:pPr>
            <w:r>
              <w:rPr>
                <w:rFonts w:ascii="Arial" w:cs="Arial" w:eastAsia="Arial" w:hAnsi="Arial"/>
                <w:sz w:val="18"/>
                <w:szCs w:val="18"/>
                <w:color w:val="221E1F"/>
                <w:w w:val="88"/>
              </w:rPr>
              <w:t>Title of each class</w:t>
            </w:r>
          </w:p>
        </w:tc>
        <w:tc>
          <w:tcPr>
            <w:tcW w:w="1560" w:type="dxa"/>
            <w:vAlign w:val="bottom"/>
            <w:tcBorders>
              <w:top w:val="single" w:sz="8" w:color="221E1F"/>
              <w:right w:val="single" w:sz="8" w:color="221E1F"/>
            </w:tcBorders>
          </w:tcPr>
          <w:p>
            <w:pPr>
              <w:jc w:val="center"/>
              <w:spacing w:after="0"/>
              <w:rPr>
                <w:sz w:val="20"/>
                <w:szCs w:val="20"/>
                <w:color w:val="auto"/>
              </w:rPr>
            </w:pPr>
            <w:r>
              <w:rPr>
                <w:rFonts w:ascii="Arial" w:cs="Arial" w:eastAsia="Arial" w:hAnsi="Arial"/>
                <w:sz w:val="18"/>
                <w:szCs w:val="18"/>
                <w:color w:val="221E1F"/>
                <w:w w:val="91"/>
              </w:rPr>
              <w:t>Trading</w:t>
            </w:r>
          </w:p>
        </w:tc>
        <w:tc>
          <w:tcPr>
            <w:tcW w:w="5600" w:type="dxa"/>
            <w:vAlign w:val="bottom"/>
            <w:tcBorders>
              <w:top w:val="single" w:sz="8" w:color="221E1F"/>
              <w:right w:val="single" w:sz="8" w:color="221E1F"/>
            </w:tcBorders>
          </w:tcPr>
          <w:p>
            <w:pPr>
              <w:jc w:val="center"/>
              <w:spacing w:after="0"/>
              <w:rPr>
                <w:sz w:val="20"/>
                <w:szCs w:val="20"/>
                <w:color w:val="auto"/>
              </w:rPr>
            </w:pPr>
            <w:r>
              <w:rPr>
                <w:rFonts w:ascii="Arial" w:cs="Arial" w:eastAsia="Arial" w:hAnsi="Arial"/>
                <w:sz w:val="18"/>
                <w:szCs w:val="18"/>
                <w:color w:val="221E1F"/>
                <w:w w:val="89"/>
              </w:rPr>
              <w:t>Name of each exchange on which registered</w:t>
            </w:r>
          </w:p>
        </w:tc>
      </w:tr>
      <w:tr>
        <w:trPr>
          <w:trHeight w:val="230"/>
        </w:trPr>
        <w:tc>
          <w:tcPr>
            <w:tcW w:w="4080" w:type="dxa"/>
            <w:vAlign w:val="bottom"/>
            <w:tcBorders>
              <w:left w:val="single" w:sz="8" w:color="221E1F"/>
              <w:bottom w:val="single" w:sz="8" w:color="221E1F"/>
              <w:right w:val="single" w:sz="8" w:color="221E1F"/>
            </w:tcBorders>
          </w:tcPr>
          <w:p>
            <w:pPr>
              <w:spacing w:after="0"/>
              <w:rPr>
                <w:sz w:val="20"/>
                <w:szCs w:val="20"/>
                <w:color w:val="auto"/>
              </w:rPr>
            </w:pPr>
          </w:p>
        </w:tc>
        <w:tc>
          <w:tcPr>
            <w:tcW w:w="1560" w:type="dxa"/>
            <w:vAlign w:val="bottom"/>
            <w:tcBorders>
              <w:bottom w:val="single" w:sz="8" w:color="221E1F"/>
              <w:right w:val="single" w:sz="8" w:color="221E1F"/>
            </w:tcBorders>
          </w:tcPr>
          <w:p>
            <w:pPr>
              <w:jc w:val="center"/>
              <w:spacing w:after="0"/>
              <w:rPr>
                <w:sz w:val="20"/>
                <w:szCs w:val="20"/>
                <w:color w:val="auto"/>
              </w:rPr>
            </w:pPr>
            <w:r>
              <w:rPr>
                <w:rFonts w:ascii="Arial" w:cs="Arial" w:eastAsia="Arial" w:hAnsi="Arial"/>
                <w:sz w:val="18"/>
                <w:szCs w:val="18"/>
                <w:color w:val="221E1F"/>
                <w:w w:val="91"/>
              </w:rPr>
              <w:t>Symbol(s)</w:t>
            </w:r>
          </w:p>
        </w:tc>
        <w:tc>
          <w:tcPr>
            <w:tcW w:w="5600" w:type="dxa"/>
            <w:vAlign w:val="bottom"/>
            <w:tcBorders>
              <w:bottom w:val="single" w:sz="8" w:color="221E1F"/>
              <w:right w:val="single" w:sz="8" w:color="221E1F"/>
            </w:tcBorders>
          </w:tcPr>
          <w:p>
            <w:pPr>
              <w:spacing w:after="0"/>
              <w:rPr>
                <w:sz w:val="20"/>
                <w:szCs w:val="20"/>
                <w:color w:val="auto"/>
              </w:rPr>
            </w:pPr>
          </w:p>
        </w:tc>
      </w:tr>
      <w:tr>
        <w:trPr>
          <w:trHeight w:val="249"/>
        </w:trPr>
        <w:tc>
          <w:tcPr>
            <w:tcW w:w="4080" w:type="dxa"/>
            <w:vAlign w:val="bottom"/>
            <w:tcBorders>
              <w:left w:val="single" w:sz="8" w:color="221E1F"/>
              <w:right w:val="single" w:sz="8" w:color="221E1F"/>
            </w:tcBorders>
          </w:tcPr>
          <w:p>
            <w:pPr>
              <w:jc w:val="center"/>
              <w:spacing w:after="0"/>
              <w:rPr>
                <w:sz w:val="20"/>
                <w:szCs w:val="20"/>
                <w:color w:val="auto"/>
              </w:rPr>
            </w:pPr>
            <w:r>
              <w:rPr>
                <w:rFonts w:ascii="Arial" w:cs="Arial" w:eastAsia="Arial" w:hAnsi="Arial"/>
                <w:sz w:val="18"/>
                <w:szCs w:val="18"/>
                <w:color w:val="auto"/>
                <w:w w:val="90"/>
              </w:rPr>
              <w:t>Class A Common Stock, $0.0005 par value</w:t>
            </w:r>
          </w:p>
        </w:tc>
        <w:tc>
          <w:tcPr>
            <w:tcW w:w="1560" w:type="dxa"/>
            <w:vAlign w:val="bottom"/>
            <w:tcBorders>
              <w:right w:val="single" w:sz="8" w:color="221E1F"/>
            </w:tcBorders>
          </w:tcPr>
          <w:p>
            <w:pPr>
              <w:jc w:val="center"/>
              <w:spacing w:after="0"/>
              <w:rPr>
                <w:sz w:val="20"/>
                <w:szCs w:val="20"/>
                <w:color w:val="auto"/>
              </w:rPr>
            </w:pPr>
            <w:r>
              <w:rPr>
                <w:rFonts w:ascii="Arial" w:cs="Arial" w:eastAsia="Arial" w:hAnsi="Arial"/>
                <w:sz w:val="18"/>
                <w:szCs w:val="18"/>
                <w:color w:val="auto"/>
                <w:w w:val="96"/>
              </w:rPr>
              <w:t>CRWD</w:t>
            </w:r>
          </w:p>
        </w:tc>
        <w:tc>
          <w:tcPr>
            <w:tcW w:w="5600" w:type="dxa"/>
            <w:vAlign w:val="bottom"/>
            <w:tcBorders>
              <w:right w:val="single" w:sz="8" w:color="221E1F"/>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4080" w:type="dxa"/>
            <w:vAlign w:val="bottom"/>
            <w:tcBorders>
              <w:left w:val="single" w:sz="8" w:color="221E1F"/>
              <w:right w:val="single" w:sz="8" w:color="221E1F"/>
            </w:tcBorders>
          </w:tcPr>
          <w:p>
            <w:pPr>
              <w:spacing w:after="0"/>
              <w:rPr>
                <w:sz w:val="20"/>
                <w:szCs w:val="20"/>
                <w:color w:val="auto"/>
              </w:rPr>
            </w:pPr>
          </w:p>
        </w:tc>
        <w:tc>
          <w:tcPr>
            <w:tcW w:w="1560" w:type="dxa"/>
            <w:vAlign w:val="bottom"/>
            <w:tcBorders>
              <w:right w:val="single" w:sz="8" w:color="221E1F"/>
            </w:tcBorders>
          </w:tcPr>
          <w:p>
            <w:pPr>
              <w:spacing w:after="0"/>
              <w:rPr>
                <w:sz w:val="20"/>
                <w:szCs w:val="20"/>
                <w:color w:val="auto"/>
              </w:rPr>
            </w:pPr>
          </w:p>
        </w:tc>
        <w:tc>
          <w:tcPr>
            <w:tcW w:w="5600" w:type="dxa"/>
            <w:vAlign w:val="bottom"/>
            <w:tcBorders>
              <w:right w:val="single" w:sz="8" w:color="221E1F"/>
            </w:tcBorders>
          </w:tcPr>
          <w:p>
            <w:pPr>
              <w:jc w:val="center"/>
              <w:spacing w:after="0"/>
              <w:rPr>
                <w:sz w:val="20"/>
                <w:szCs w:val="20"/>
                <w:color w:val="auto"/>
              </w:rPr>
            </w:pPr>
            <w:r>
              <w:rPr>
                <w:rFonts w:ascii="Arial" w:cs="Arial" w:eastAsia="Arial" w:hAnsi="Arial"/>
                <w:sz w:val="18"/>
                <w:szCs w:val="18"/>
                <w:color w:val="auto"/>
                <w:w w:val="91"/>
              </w:rPr>
              <w:t>(Nasdaq Global Select Market)</w:t>
            </w:r>
          </w:p>
        </w:tc>
      </w:tr>
      <w:tr>
        <w:trPr>
          <w:trHeight w:val="81"/>
        </w:trPr>
        <w:tc>
          <w:tcPr>
            <w:tcW w:w="4080" w:type="dxa"/>
            <w:vAlign w:val="bottom"/>
            <w:tcBorders>
              <w:left w:val="single" w:sz="8" w:color="221E1F"/>
              <w:bottom w:val="single" w:sz="8" w:color="221E1F"/>
              <w:right w:val="single" w:sz="8" w:color="221E1F"/>
            </w:tcBorders>
          </w:tcPr>
          <w:p>
            <w:pPr>
              <w:spacing w:after="0"/>
              <w:rPr>
                <w:sz w:val="7"/>
                <w:szCs w:val="7"/>
                <w:color w:val="auto"/>
              </w:rPr>
            </w:pPr>
          </w:p>
        </w:tc>
        <w:tc>
          <w:tcPr>
            <w:tcW w:w="1560" w:type="dxa"/>
            <w:vAlign w:val="bottom"/>
            <w:tcBorders>
              <w:bottom w:val="single" w:sz="8" w:color="221E1F"/>
              <w:right w:val="single" w:sz="8" w:color="221E1F"/>
            </w:tcBorders>
          </w:tcPr>
          <w:p>
            <w:pPr>
              <w:spacing w:after="0"/>
              <w:rPr>
                <w:sz w:val="7"/>
                <w:szCs w:val="7"/>
                <w:color w:val="auto"/>
              </w:rPr>
            </w:pPr>
          </w:p>
        </w:tc>
        <w:tc>
          <w:tcPr>
            <w:tcW w:w="5600" w:type="dxa"/>
            <w:vAlign w:val="bottom"/>
            <w:tcBorders>
              <w:bottom w:val="single" w:sz="8" w:color="221E1F"/>
              <w:right w:val="single" w:sz="8" w:color="221E1F"/>
            </w:tcBorders>
          </w:tcPr>
          <w:p>
            <w:pPr>
              <w:spacing w:after="0"/>
              <w:rPr>
                <w:sz w:val="7"/>
                <w:szCs w:val="7"/>
                <w:color w:val="auto"/>
              </w:rPr>
            </w:pPr>
          </w:p>
        </w:tc>
      </w:tr>
    </w:tbl>
    <w:p>
      <w:pPr>
        <w:spacing w:after="0" w:line="202"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1" w:name="page2"/>
    <w:bookmarkEnd w:id="1"/>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right="40" w:firstLine="656"/>
        <w:spacing w:after="0" w:line="286" w:lineRule="auto"/>
        <w:tabs>
          <w:tab w:leader="none" w:pos="892"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April 6, 2021 and April 7, 2021, the Compensation Committee (the “Committee”) of the Board of Directors (the “Board”) and the Board, respectively, approved compensation packages for fiscal year 2022 for the Company’s senior executives, including its named executive officers. For fiscal year 2022, the annual base salaries and target incentive compensation awards for the following named executive officers will be:</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color w:val="auto"/>
                <w:w w:val="91"/>
              </w:rPr>
              <w:t>FY 2022</w:t>
            </w:r>
          </w:p>
        </w:tc>
        <w:tc>
          <w:tcPr>
            <w:tcW w:w="1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5"/>
        </w:trPr>
        <w:tc>
          <w:tcPr>
            <w:tcW w:w="44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3"/>
          </w:tcPr>
          <w:p>
            <w:pPr>
              <w:jc w:val="center"/>
              <w:ind w:right="660"/>
              <w:spacing w:after="0" w:line="195" w:lineRule="exact"/>
              <w:rPr>
                <w:sz w:val="20"/>
                <w:szCs w:val="20"/>
                <w:color w:val="auto"/>
              </w:rPr>
            </w:pPr>
            <w:r>
              <w:rPr>
                <w:rFonts w:ascii="Arial" w:cs="Arial" w:eastAsia="Arial" w:hAnsi="Arial"/>
                <w:sz w:val="18"/>
                <w:szCs w:val="18"/>
                <w:color w:val="auto"/>
                <w:w w:val="82"/>
              </w:rPr>
              <w:t>Base</w:t>
            </w:r>
          </w:p>
        </w:tc>
        <w:tc>
          <w:tcPr>
            <w:tcW w:w="1300" w:type="dxa"/>
            <w:vAlign w:val="bottom"/>
          </w:tcPr>
          <w:p>
            <w:pPr>
              <w:jc w:val="right"/>
              <w:ind w:right="50"/>
              <w:spacing w:after="0" w:line="195" w:lineRule="exact"/>
              <w:rPr>
                <w:sz w:val="20"/>
                <w:szCs w:val="20"/>
                <w:color w:val="auto"/>
              </w:rPr>
            </w:pPr>
            <w:r>
              <w:rPr>
                <w:rFonts w:ascii="Arial" w:cs="Arial" w:eastAsia="Arial" w:hAnsi="Arial"/>
                <w:sz w:val="18"/>
                <w:szCs w:val="18"/>
                <w:color w:val="auto"/>
                <w:w w:val="88"/>
              </w:rPr>
              <w:t>Target Incentive</w:t>
            </w:r>
          </w:p>
        </w:tc>
        <w:tc>
          <w:tcPr>
            <w:tcW w:w="160" w:type="dxa"/>
            <w:vAlign w:val="bottom"/>
          </w:tcPr>
          <w:p>
            <w:pPr>
              <w:spacing w:after="0"/>
              <w:rPr>
                <w:sz w:val="16"/>
                <w:szCs w:val="16"/>
                <w:color w:val="auto"/>
              </w:rPr>
            </w:pPr>
          </w:p>
        </w:tc>
      </w:tr>
      <w:tr>
        <w:trPr>
          <w:trHeight w:val="230"/>
        </w:trPr>
        <w:tc>
          <w:tcPr>
            <w:tcW w:w="44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Salary</w:t>
            </w:r>
          </w:p>
        </w:tc>
        <w:tc>
          <w:tcPr>
            <w:tcW w:w="1460" w:type="dxa"/>
            <w:vAlign w:val="bottom"/>
            <w:gridSpan w:val="2"/>
          </w:tcPr>
          <w:p>
            <w:pPr>
              <w:jc w:val="right"/>
              <w:ind w:right="270"/>
              <w:spacing w:after="0"/>
              <w:rPr>
                <w:sz w:val="20"/>
                <w:szCs w:val="20"/>
                <w:color w:val="auto"/>
              </w:rPr>
            </w:pPr>
            <w:r>
              <w:rPr>
                <w:rFonts w:ascii="Arial" w:cs="Arial" w:eastAsia="Arial" w:hAnsi="Arial"/>
                <w:sz w:val="18"/>
                <w:szCs w:val="18"/>
                <w:color w:val="auto"/>
                <w:w w:val="93"/>
              </w:rPr>
              <w:t>Compensation</w:t>
            </w:r>
          </w:p>
        </w:tc>
      </w:tr>
      <w:tr>
        <w:trPr>
          <w:trHeight w:val="182"/>
        </w:trPr>
        <w:tc>
          <w:tcPr>
            <w:tcW w:w="4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i w:val="1"/>
                <w:iCs w:val="1"/>
                <w:color w:val="auto"/>
              </w:rPr>
              <w:t>George Kurtz</w:t>
            </w:r>
          </w:p>
        </w:tc>
        <w:tc>
          <w:tcPr>
            <w:tcW w:w="17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750,000</w:t>
            </w: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4"/>
              </w:rPr>
              <w:t>%</w:t>
            </w:r>
          </w:p>
        </w:tc>
      </w:tr>
      <w:tr>
        <w:trPr>
          <w:trHeight w:val="230"/>
        </w:trPr>
        <w:tc>
          <w:tcPr>
            <w:tcW w:w="4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1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02"/>
        </w:trPr>
        <w:tc>
          <w:tcPr>
            <w:tcW w:w="4440" w:type="dxa"/>
            <w:vAlign w:val="bottom"/>
          </w:tcPr>
          <w:p>
            <w:pPr>
              <w:spacing w:after="0" w:line="201" w:lineRule="exact"/>
              <w:rPr>
                <w:sz w:val="20"/>
                <w:szCs w:val="20"/>
                <w:color w:val="auto"/>
              </w:rPr>
            </w:pPr>
            <w:r>
              <w:rPr>
                <w:rFonts w:ascii="Arial" w:cs="Arial" w:eastAsia="Arial" w:hAnsi="Arial"/>
                <w:sz w:val="18"/>
                <w:szCs w:val="18"/>
                <w:i w:val="1"/>
                <w:iCs w:val="1"/>
                <w:color w:val="auto"/>
              </w:rPr>
              <w:t>Burt W. Podbere</w:t>
            </w:r>
          </w:p>
        </w:tc>
        <w:tc>
          <w:tcPr>
            <w:tcW w:w="2040" w:type="dxa"/>
            <w:vAlign w:val="bottom"/>
            <w:gridSpan w:val="2"/>
          </w:tcPr>
          <w:p>
            <w:pPr>
              <w:jc w:val="right"/>
              <w:ind w:right="187"/>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500,000</w:t>
            </w:r>
          </w:p>
        </w:tc>
        <w:tc>
          <w:tcPr>
            <w:tcW w:w="220" w:type="dxa"/>
            <w:vAlign w:val="bottom"/>
          </w:tcPr>
          <w:p>
            <w:pPr>
              <w:spacing w:after="0"/>
              <w:rPr>
                <w:sz w:val="17"/>
                <w:szCs w:val="17"/>
                <w:color w:val="auto"/>
              </w:rPr>
            </w:pPr>
          </w:p>
        </w:tc>
        <w:tc>
          <w:tcPr>
            <w:tcW w:w="14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75%</w:t>
            </w:r>
          </w:p>
        </w:tc>
      </w:tr>
      <w:tr>
        <w:trPr>
          <w:trHeight w:val="230"/>
        </w:trPr>
        <w:tc>
          <w:tcPr>
            <w:tcW w:w="444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2"/>
        </w:trPr>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Colin Black</w:t>
            </w:r>
          </w:p>
        </w:tc>
        <w:tc>
          <w:tcPr>
            <w:tcW w:w="2040" w:type="dxa"/>
            <w:vAlign w:val="bottom"/>
            <w:gridSpan w:val="2"/>
            <w:shd w:val="clear" w:color="auto" w:fill="CCEEFF"/>
          </w:tcPr>
          <w:p>
            <w:pPr>
              <w:jc w:val="right"/>
              <w:ind w:right="187"/>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75%</w:t>
            </w:r>
          </w:p>
        </w:tc>
      </w:tr>
      <w:tr>
        <w:trPr>
          <w:trHeight w:val="230"/>
        </w:trPr>
        <w:tc>
          <w:tcPr>
            <w:tcW w:w="4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Operating Officer</w:t>
            </w:r>
          </w:p>
        </w:tc>
        <w:tc>
          <w:tcPr>
            <w:tcW w:w="1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The fiscal year 2022 annual base salaries and target incentive compensation awards are effective beginning February 1, 2021, the first day of fiscal year 2022. Incentive compensation for the Company’s named executive officers has been established pursuant and subject to the terms of the Company’s Corporate Incentive Plan (the “Plan”), a copy of which was filed as an exhibit to the Company’s Current Report on Form 8-K filed on March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CrowdStrike Holdings, Inc.</w:t>
            </w:r>
          </w:p>
        </w:tc>
      </w:tr>
      <w:tr>
        <w:trPr>
          <w:trHeight w:val="432"/>
        </w:trPr>
        <w:tc>
          <w:tcPr>
            <w:tcW w:w="6300" w:type="dxa"/>
            <w:vAlign w:val="bottom"/>
          </w:tcPr>
          <w:p>
            <w:pPr>
              <w:spacing w:after="0"/>
              <w:rPr>
                <w:sz w:val="20"/>
                <w:szCs w:val="20"/>
                <w:color w:val="auto"/>
              </w:rPr>
            </w:pPr>
            <w:r>
              <w:rPr>
                <w:rFonts w:ascii="Arial" w:cs="Arial" w:eastAsia="Arial" w:hAnsi="Arial"/>
                <w:sz w:val="18"/>
                <w:szCs w:val="18"/>
                <w:color w:val="auto"/>
              </w:rPr>
              <w:t>Date: April 9, 2021</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Burt W. Podbere</w:t>
            </w:r>
          </w:p>
        </w:tc>
      </w:tr>
      <w:tr>
        <w:trPr>
          <w:trHeight w:val="195"/>
        </w:trPr>
        <w:tc>
          <w:tcPr>
            <w:tcW w:w="630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Burt W. Podbere</w:t>
            </w:r>
          </w:p>
        </w:tc>
      </w:tr>
      <w:tr>
        <w:trPr>
          <w:trHeight w:val="230"/>
        </w:trPr>
        <w:tc>
          <w:tcPr>
            <w:tcW w:w="63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2021-04-09T16:17:03Z</dcterms:created>
  <dcterms:modified xsi:type="dcterms:W3CDTF">2021-04-09T16:17:03Z</dcterms:modified>
</cp:coreProperties>
</file>