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10-K</w:t>
      </w:r>
    </w:p>
    <w:p>
      <w:pPr>
        <w:spacing w:after="0" w:line="17"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4"/>
          <w:szCs w:val="14"/>
          <w:color w:val="auto"/>
        </w:rPr>
        <w:t>ANNUAL REPORT PURSUANT TO SECTION 13 OR 15(d) OF THE SECURITIES EXCHANGE ACT OF 1934</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January 31, 2021</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340" w:type="dxa"/>
            <w:vAlign w:val="bottom"/>
            <w:gridSpan w:val="4"/>
          </w:tcPr>
          <w:p>
            <w:pPr>
              <w:jc w:val="center"/>
              <w:ind w:right="600"/>
              <w:spacing w:after="0"/>
              <w:rPr>
                <w:sz w:val="20"/>
                <w:szCs w:val="20"/>
                <w:color w:val="auto"/>
              </w:rPr>
            </w:pPr>
            <w:r>
              <w:rPr>
                <w:rFonts w:ascii="Arial" w:cs="Arial" w:eastAsia="Arial" w:hAnsi="Arial"/>
                <w:sz w:val="14"/>
                <w:szCs w:val="14"/>
                <w:color w:val="auto"/>
                <w:w w:val="95"/>
              </w:rPr>
              <w:t>For the transition period from to</w:t>
            </w:r>
          </w:p>
        </w:tc>
        <w:tc>
          <w:tcPr>
            <w:tcW w:w="25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1"/>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Commission File Number: 001-38933</w:t>
            </w:r>
          </w:p>
        </w:tc>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35"/>
        </w:trPr>
        <w:tc>
          <w:tcPr>
            <w:tcW w:w="10640" w:type="dxa"/>
            <w:vAlign w:val="bottom"/>
            <w:gridSpan w:val="8"/>
          </w:tcPr>
          <w:p>
            <w:pPr>
              <w:jc w:val="center"/>
              <w:ind w:left="556"/>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___________________________________________________________________________________________________</w:t>
            </w:r>
          </w:p>
        </w:tc>
        <w:tc>
          <w:tcPr>
            <w:tcW w:w="620" w:type="dxa"/>
            <w:vAlign w:val="bottom"/>
          </w:tcPr>
          <w:p>
            <w:pPr>
              <w:spacing w:after="0"/>
              <w:rPr>
                <w:sz w:val="11"/>
                <w:szCs w:val="11"/>
                <w:color w:val="auto"/>
              </w:rPr>
            </w:pPr>
          </w:p>
        </w:tc>
      </w:tr>
      <w:tr>
        <w:trPr>
          <w:trHeight w:val="184"/>
        </w:trPr>
        <w:tc>
          <w:tcPr>
            <w:tcW w:w="1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40" w:type="dxa"/>
            <w:vAlign w:val="bottom"/>
            <w:gridSpan w:val="4"/>
          </w:tcPr>
          <w:p>
            <w:pPr>
              <w:jc w:val="center"/>
              <w:ind w:right="600"/>
              <w:spacing w:after="0"/>
              <w:rPr>
                <w:sz w:val="20"/>
                <w:szCs w:val="20"/>
                <w:color w:val="auto"/>
              </w:rPr>
            </w:pPr>
            <w:r>
              <w:rPr>
                <w:rFonts w:ascii="Arial" w:cs="Arial" w:eastAsia="Arial" w:hAnsi="Arial"/>
                <w:sz w:val="16"/>
                <w:szCs w:val="16"/>
                <w:b w:val="1"/>
                <w:bCs w:val="1"/>
                <w:color w:val="auto"/>
              </w:rPr>
              <w:t>CROWDSTRIKE HOLDINGS, INC.</w:t>
            </w:r>
          </w:p>
        </w:tc>
        <w:tc>
          <w:tcPr>
            <w:tcW w:w="2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67"/>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3"/>
              </w:rPr>
              <w:t>(Exact Name of Registrant as Specified in Its Charter)</w:t>
            </w: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0"/>
        </w:trPr>
        <w:tc>
          <w:tcPr>
            <w:tcW w:w="10640" w:type="dxa"/>
            <w:vAlign w:val="bottom"/>
            <w:gridSpan w:val="8"/>
          </w:tcPr>
          <w:p>
            <w:pPr>
              <w:jc w:val="center"/>
              <w:ind w:left="556"/>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___________________________________________________________________________________________________</w:t>
            </w:r>
          </w:p>
        </w:tc>
        <w:tc>
          <w:tcPr>
            <w:tcW w:w="620" w:type="dxa"/>
            <w:vAlign w:val="bottom"/>
          </w:tcPr>
          <w:p>
            <w:pPr>
              <w:spacing w:after="0"/>
              <w:rPr>
                <w:sz w:val="12"/>
                <w:szCs w:val="12"/>
                <w:color w:val="auto"/>
              </w:rPr>
            </w:pPr>
          </w:p>
        </w:tc>
      </w:tr>
      <w:tr>
        <w:trPr>
          <w:trHeight w:val="199"/>
        </w:trPr>
        <w:tc>
          <w:tcPr>
            <w:tcW w:w="1000" w:type="dxa"/>
            <w:vAlign w:val="bottom"/>
          </w:tcPr>
          <w:p>
            <w:pPr>
              <w:spacing w:after="0"/>
              <w:rPr>
                <w:sz w:val="17"/>
                <w:szCs w:val="17"/>
                <w:color w:val="auto"/>
              </w:rPr>
            </w:pPr>
          </w:p>
        </w:tc>
        <w:tc>
          <w:tcPr>
            <w:tcW w:w="2760" w:type="dxa"/>
            <w:vAlign w:val="bottom"/>
            <w:gridSpan w:val="2"/>
          </w:tcPr>
          <w:p>
            <w:pPr>
              <w:jc w:val="center"/>
              <w:ind w:right="1499"/>
              <w:spacing w:after="0"/>
              <w:rPr>
                <w:sz w:val="20"/>
                <w:szCs w:val="20"/>
                <w:color w:val="auto"/>
              </w:rPr>
            </w:pPr>
            <w:r>
              <w:rPr>
                <w:rFonts w:ascii="Arial" w:cs="Arial" w:eastAsia="Arial" w:hAnsi="Arial"/>
                <w:sz w:val="14"/>
                <w:szCs w:val="14"/>
                <w:b w:val="1"/>
                <w:bCs w:val="1"/>
                <w:color w:val="auto"/>
                <w:w w:val="94"/>
              </w:rPr>
              <w:t>Delaware</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4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45-3788918</w:t>
            </w:r>
          </w:p>
        </w:tc>
        <w:tc>
          <w:tcPr>
            <w:tcW w:w="620" w:type="dxa"/>
            <w:vAlign w:val="bottom"/>
          </w:tcPr>
          <w:p>
            <w:pPr>
              <w:spacing w:after="0"/>
              <w:rPr>
                <w:sz w:val="17"/>
                <w:szCs w:val="17"/>
                <w:color w:val="auto"/>
              </w:rPr>
            </w:pPr>
          </w:p>
        </w:tc>
      </w:tr>
      <w:tr>
        <w:trPr>
          <w:trHeight w:val="147"/>
        </w:trPr>
        <w:tc>
          <w:tcPr>
            <w:tcW w:w="3760" w:type="dxa"/>
            <w:vAlign w:val="bottom"/>
            <w:gridSpan w:val="3"/>
          </w:tcPr>
          <w:p>
            <w:pPr>
              <w:jc w:val="center"/>
              <w:ind w:right="519"/>
              <w:spacing w:after="0" w:line="147" w:lineRule="exact"/>
              <w:rPr>
                <w:sz w:val="20"/>
                <w:szCs w:val="20"/>
                <w:color w:val="auto"/>
              </w:rPr>
            </w:pPr>
            <w:r>
              <w:rPr>
                <w:rFonts w:ascii="Arial" w:cs="Arial" w:eastAsia="Arial" w:hAnsi="Arial"/>
                <w:sz w:val="14"/>
                <w:szCs w:val="14"/>
                <w:color w:val="auto"/>
                <w:w w:val="95"/>
              </w:rPr>
              <w:t>(State or other jurisdiction of</w:t>
            </w: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jc w:val="center"/>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3760" w:type="dxa"/>
            <w:vAlign w:val="bottom"/>
            <w:gridSpan w:val="3"/>
          </w:tcPr>
          <w:p>
            <w:pPr>
              <w:jc w:val="center"/>
              <w:ind w:right="499"/>
              <w:spacing w:after="0"/>
              <w:rPr>
                <w:sz w:val="20"/>
                <w:szCs w:val="20"/>
                <w:color w:val="auto"/>
              </w:rPr>
            </w:pPr>
            <w:r>
              <w:rPr>
                <w:rFonts w:ascii="Arial" w:cs="Arial" w:eastAsia="Arial" w:hAnsi="Arial"/>
                <w:sz w:val="14"/>
                <w:szCs w:val="14"/>
                <w:color w:val="auto"/>
                <w:w w:val="95"/>
              </w:rPr>
              <w:t>incorporation or organization)</w:t>
            </w: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60" w:type="dxa"/>
            <w:vAlign w:val="bottom"/>
            <w:gridSpan w:val="2"/>
          </w:tcPr>
          <w:p>
            <w:pPr>
              <w:jc w:val="center"/>
              <w:ind w:left="28"/>
              <w:spacing w:after="0"/>
              <w:rPr>
                <w:sz w:val="20"/>
                <w:szCs w:val="20"/>
                <w:color w:val="auto"/>
              </w:rPr>
            </w:pPr>
            <w:r>
              <w:rPr>
                <w:rFonts w:ascii="Arial" w:cs="Arial" w:eastAsia="Arial" w:hAnsi="Arial"/>
                <w:sz w:val="14"/>
                <w:szCs w:val="14"/>
                <w:color w:val="auto"/>
                <w:w w:val="97"/>
              </w:rPr>
              <w:t>Identification Number)</w:t>
            </w:r>
          </w:p>
        </w:tc>
      </w:tr>
      <w:tr>
        <w:trPr>
          <w:trHeight w:val="278"/>
        </w:trPr>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4"/>
              </w:rPr>
              <w:t>150 Mathilda Place, Suite 300, Sunnyvale, California 94086</w:t>
            </w: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5"/>
              </w:rPr>
              <w:t>(Address of principal executive offices)</w:t>
            </w:r>
          </w:p>
        </w:tc>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76"/>
        </w:trPr>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40" w:type="dxa"/>
            <w:vAlign w:val="bottom"/>
            <w:gridSpan w:val="5"/>
          </w:tcPr>
          <w:p>
            <w:pPr>
              <w:jc w:val="center"/>
              <w:ind w:left="319"/>
              <w:spacing w:after="0"/>
              <w:rPr>
                <w:sz w:val="20"/>
                <w:szCs w:val="20"/>
                <w:color w:val="auto"/>
              </w:rPr>
            </w:pPr>
            <w:r>
              <w:rPr>
                <w:rFonts w:ascii="Arial" w:cs="Arial" w:eastAsia="Arial" w:hAnsi="Arial"/>
                <w:sz w:val="16"/>
                <w:szCs w:val="16"/>
                <w:b w:val="1"/>
                <w:bCs w:val="1"/>
                <w:color w:val="auto"/>
                <w:w w:val="90"/>
              </w:rPr>
              <w:t>Registrant’s telephone number, including area code: (888) 512-8906</w:t>
            </w: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
        </w:trPr>
        <w:tc>
          <w:tcPr>
            <w:tcW w:w="1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42"/>
        </w:trPr>
        <w:tc>
          <w:tcPr>
            <w:tcW w:w="3760" w:type="dxa"/>
            <w:vAlign w:val="bottom"/>
            <w:tcBorders>
              <w:left w:val="single" w:sz="8" w:color="auto"/>
              <w:right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2"/>
              </w:rPr>
              <w:t>Title of each class of securities</w:t>
            </w:r>
          </w:p>
        </w:tc>
        <w:tc>
          <w:tcPr>
            <w:tcW w:w="1320" w:type="dxa"/>
            <w:vAlign w:val="bottom"/>
          </w:tcPr>
          <w:p>
            <w:pPr>
              <w:spacing w:after="0"/>
              <w:rPr>
                <w:sz w:val="12"/>
                <w:szCs w:val="12"/>
                <w:color w:val="auto"/>
              </w:rPr>
            </w:pPr>
          </w:p>
        </w:tc>
        <w:tc>
          <w:tcPr>
            <w:tcW w:w="2420" w:type="dxa"/>
            <w:vAlign w:val="bottom"/>
            <w:tcBorders>
              <w:right w:val="single" w:sz="8" w:color="auto"/>
            </w:tcBorders>
            <w:gridSpan w:val="2"/>
          </w:tcPr>
          <w:p>
            <w:pPr>
              <w:jc w:val="center"/>
              <w:ind w:right="1360"/>
              <w:spacing w:after="0" w:line="142" w:lineRule="exact"/>
              <w:rPr>
                <w:sz w:val="20"/>
                <w:szCs w:val="20"/>
                <w:color w:val="auto"/>
              </w:rPr>
            </w:pPr>
            <w:r>
              <w:rPr>
                <w:rFonts w:ascii="Arial" w:cs="Arial" w:eastAsia="Arial" w:hAnsi="Arial"/>
                <w:sz w:val="14"/>
                <w:szCs w:val="14"/>
                <w:color w:val="auto"/>
                <w:w w:val="94"/>
              </w:rPr>
              <w:t>Trading symbol(s)</w:t>
            </w:r>
          </w:p>
        </w:tc>
        <w:tc>
          <w:tcPr>
            <w:tcW w:w="600" w:type="dxa"/>
            <w:vAlign w:val="bottom"/>
          </w:tcPr>
          <w:p>
            <w:pPr>
              <w:spacing w:after="0"/>
              <w:rPr>
                <w:sz w:val="12"/>
                <w:szCs w:val="12"/>
                <w:color w:val="auto"/>
              </w:rPr>
            </w:pPr>
          </w:p>
        </w:tc>
        <w:tc>
          <w:tcPr>
            <w:tcW w:w="3160" w:type="dxa"/>
            <w:vAlign w:val="bottom"/>
            <w:tcBorders>
              <w:right w:val="single" w:sz="8" w:color="auto"/>
            </w:tcBorders>
            <w:gridSpan w:val="2"/>
          </w:tcPr>
          <w:p>
            <w:pPr>
              <w:jc w:val="center"/>
              <w:ind w:right="620"/>
              <w:spacing w:after="0" w:line="142" w:lineRule="exact"/>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1000" w:type="dxa"/>
            <w:vAlign w:val="bottom"/>
            <w:tcBorders>
              <w:left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2"/>
              </w:rPr>
              <w:t>Class A common stock, par value $0.0005 per share</w:t>
            </w:r>
          </w:p>
        </w:tc>
        <w:tc>
          <w:tcPr>
            <w:tcW w:w="1320" w:type="dxa"/>
            <w:vAlign w:val="bottom"/>
          </w:tcPr>
          <w:p>
            <w:pPr>
              <w:spacing w:after="0"/>
              <w:rPr>
                <w:sz w:val="15"/>
                <w:szCs w:val="15"/>
                <w:color w:val="auto"/>
              </w:rPr>
            </w:pPr>
          </w:p>
        </w:tc>
        <w:tc>
          <w:tcPr>
            <w:tcW w:w="2420" w:type="dxa"/>
            <w:vAlign w:val="bottom"/>
            <w:tcBorders>
              <w:right w:val="single" w:sz="8" w:color="auto"/>
            </w:tcBorders>
            <w:gridSpan w:val="2"/>
          </w:tcPr>
          <w:p>
            <w:pPr>
              <w:jc w:val="center"/>
              <w:ind w:right="1360"/>
              <w:spacing w:after="0"/>
              <w:rPr>
                <w:sz w:val="20"/>
                <w:szCs w:val="20"/>
                <w:color w:val="auto"/>
              </w:rPr>
            </w:pPr>
            <w:r>
              <w:rPr>
                <w:rFonts w:ascii="Arial" w:cs="Arial" w:eastAsia="Arial" w:hAnsi="Arial"/>
                <w:sz w:val="14"/>
                <w:szCs w:val="14"/>
                <w:color w:val="auto"/>
                <w:w w:val="96"/>
              </w:rPr>
              <w:t>CRWD</w:t>
            </w:r>
          </w:p>
        </w:tc>
        <w:tc>
          <w:tcPr>
            <w:tcW w:w="60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4"/>
                <w:szCs w:val="14"/>
                <w:color w:val="auto"/>
                <w:w w:val="95"/>
              </w:rPr>
              <w:t>The Nasdaq Stock Market LLC</w:t>
            </w:r>
          </w:p>
        </w:tc>
      </w:tr>
      <w:tr>
        <w:trPr>
          <w:trHeight w:val="197"/>
        </w:trPr>
        <w:tc>
          <w:tcPr>
            <w:tcW w:w="1000" w:type="dxa"/>
            <w:vAlign w:val="bottom"/>
            <w:tcBorders>
              <w:left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4"/>
                <w:szCs w:val="14"/>
                <w:color w:val="auto"/>
                <w:w w:val="92"/>
              </w:rPr>
              <w:t>(Nasdaq Global Select Market)</w:t>
            </w: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r>
      <w:tr>
        <w:trPr>
          <w:trHeight w:val="245"/>
        </w:trPr>
        <w:tc>
          <w:tcPr>
            <w:tcW w:w="10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25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67"/>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20" w:type="dxa"/>
            <w:vAlign w:val="bottom"/>
            <w:gridSpan w:val="3"/>
          </w:tcPr>
          <w:p>
            <w:pPr>
              <w:jc w:val="center"/>
              <w:ind w:right="1920"/>
              <w:spacing w:after="0"/>
              <w:rPr>
                <w:sz w:val="20"/>
                <w:szCs w:val="20"/>
                <w:color w:val="auto"/>
              </w:rPr>
            </w:pPr>
            <w:r>
              <w:rPr>
                <w:rFonts w:ascii="Arial" w:cs="Arial" w:eastAsia="Arial" w:hAnsi="Arial"/>
                <w:sz w:val="14"/>
                <w:szCs w:val="14"/>
                <w:color w:val="auto"/>
                <w:w w:val="90"/>
              </w:rPr>
              <w:t>None.</w:t>
            </w: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23"/>
        </w:trPr>
        <w:tc>
          <w:tcPr>
            <w:tcW w:w="10640" w:type="dxa"/>
            <w:vAlign w:val="bottom"/>
            <w:gridSpan w:val="8"/>
          </w:tcPr>
          <w:p>
            <w:pPr>
              <w:jc w:val="center"/>
              <w:ind w:left="556"/>
              <w:spacing w:after="0" w:line="123" w:lineRule="exact"/>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___________________________________________________________________________________________________</w:t>
            </w:r>
          </w:p>
        </w:tc>
        <w:tc>
          <w:tcPr>
            <w:tcW w:w="620" w:type="dxa"/>
            <w:vAlign w:val="bottom"/>
          </w:tcPr>
          <w:p>
            <w:pPr>
              <w:spacing w:after="0"/>
              <w:rPr>
                <w:sz w:val="10"/>
                <w:szCs w:val="10"/>
                <w:color w:val="auto"/>
              </w:rPr>
            </w:pPr>
          </w:p>
        </w:tc>
      </w:tr>
    </w:tbl>
    <w:p>
      <w:pPr>
        <w:ind w:right="2440"/>
        <w:spacing w:after="0" w:line="22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of 1933, as amended.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right="24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12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46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1320" w:type="dxa"/>
        <w:tblCellMar>
          <w:top w:w="0" w:type="dxa"/>
          <w:left w:w="0" w:type="dxa"/>
          <w:bottom w:w="0" w:type="dxa"/>
          <w:right w:w="0" w:type="dxa"/>
        </w:tblCellMar>
      </w:tblPr>
      <w:tr>
        <w:trPr>
          <w:trHeight w:val="203"/>
        </w:trPr>
        <w:tc>
          <w:tcPr>
            <w:tcW w:w="3340" w:type="dxa"/>
            <w:vAlign w:val="bottom"/>
          </w:tcPr>
          <w:p>
            <w:pPr>
              <w:jc w:val="center"/>
              <w:ind w:right="588"/>
              <w:spacing w:after="0"/>
              <w:rPr>
                <w:sz w:val="20"/>
                <w:szCs w:val="20"/>
                <w:color w:val="auto"/>
              </w:rPr>
            </w:pPr>
            <w:r>
              <w:rPr>
                <w:rFonts w:ascii="Arial" w:cs="Arial" w:eastAsia="Arial" w:hAnsi="Arial"/>
                <w:sz w:val="14"/>
                <w:szCs w:val="14"/>
                <w:color w:val="auto"/>
                <w:w w:val="93"/>
              </w:rPr>
              <w:t>Large Accelerated Filer</w:t>
            </w:r>
          </w:p>
        </w:tc>
        <w:tc>
          <w:tcPr>
            <w:tcW w:w="1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jc w:val="center"/>
              <w:ind w:left="8"/>
              <w:spacing w:after="0"/>
              <w:rPr>
                <w:sz w:val="20"/>
                <w:szCs w:val="20"/>
                <w:color w:val="auto"/>
              </w:rPr>
            </w:pPr>
            <w:r>
              <w:rPr>
                <w:rFonts w:ascii="Arial" w:cs="Arial" w:eastAsia="Arial" w:hAnsi="Arial"/>
                <w:sz w:val="14"/>
                <w:szCs w:val="14"/>
                <w:color w:val="auto"/>
                <w:w w:val="93"/>
              </w:rPr>
              <w:t>Accelerated Filer</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3340" w:type="dxa"/>
            <w:vAlign w:val="bottom"/>
          </w:tcPr>
          <w:p>
            <w:pPr>
              <w:jc w:val="center"/>
              <w:ind w:right="608"/>
              <w:spacing w:after="0"/>
              <w:rPr>
                <w:sz w:val="20"/>
                <w:szCs w:val="20"/>
                <w:color w:val="auto"/>
              </w:rPr>
            </w:pPr>
            <w:r>
              <w:rPr>
                <w:rFonts w:ascii="Arial" w:cs="Arial" w:eastAsia="Arial" w:hAnsi="Arial"/>
                <w:sz w:val="14"/>
                <w:szCs w:val="14"/>
                <w:color w:val="auto"/>
                <w:w w:val="94"/>
              </w:rPr>
              <w:t>Non-accelerated Filer</w:t>
            </w:r>
          </w:p>
        </w:tc>
        <w:tc>
          <w:tcPr>
            <w:tcW w:w="1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jc w:val="center"/>
              <w:ind w:left="8"/>
              <w:spacing w:after="0"/>
              <w:rPr>
                <w:sz w:val="20"/>
                <w:szCs w:val="20"/>
                <w:color w:val="auto"/>
              </w:rPr>
            </w:pPr>
            <w:r>
              <w:rPr>
                <w:rFonts w:ascii="Arial" w:cs="Arial" w:eastAsia="Arial" w:hAnsi="Arial"/>
                <w:sz w:val="14"/>
                <w:szCs w:val="14"/>
                <w:color w:val="auto"/>
                <w:w w:val="94"/>
              </w:rPr>
              <w:t>Smaller reporting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3340" w:type="dxa"/>
            <w:vAlign w:val="bottom"/>
          </w:tcPr>
          <w:p>
            <w:pPr>
              <w:jc w:val="center"/>
              <w:ind w:right="588"/>
              <w:spacing w:after="0"/>
              <w:rPr>
                <w:sz w:val="20"/>
                <w:szCs w:val="20"/>
                <w:color w:val="auto"/>
              </w:rPr>
            </w:pPr>
            <w:r>
              <w:rPr>
                <w:rFonts w:ascii="Arial" w:cs="Arial" w:eastAsia="Arial" w:hAnsi="Arial"/>
                <w:sz w:val="14"/>
                <w:szCs w:val="14"/>
                <w:color w:val="auto"/>
                <w:w w:val="94"/>
              </w:rPr>
              <w:t>(Do not check if a smaller reporting company)</w:t>
            </w:r>
          </w:p>
        </w:tc>
        <w:tc>
          <w:tcPr>
            <w:tcW w:w="1780" w:type="dxa"/>
            <w:vAlign w:val="bottom"/>
          </w:tcPr>
          <w:p>
            <w:pPr>
              <w:spacing w:after="0"/>
              <w:rPr>
                <w:sz w:val="19"/>
                <w:szCs w:val="19"/>
                <w:color w:val="auto"/>
              </w:rPr>
            </w:pPr>
          </w:p>
        </w:tc>
        <w:tc>
          <w:tcPr>
            <w:tcW w:w="3460" w:type="dxa"/>
            <w:vAlign w:val="bottom"/>
          </w:tcPr>
          <w:p>
            <w:pPr>
              <w:jc w:val="center"/>
              <w:ind w:left="8"/>
              <w:spacing w:after="0"/>
              <w:rPr>
                <w:sz w:val="20"/>
                <w:szCs w:val="20"/>
                <w:color w:val="auto"/>
              </w:rPr>
            </w:pPr>
            <w:r>
              <w:rPr>
                <w:rFonts w:ascii="Arial" w:cs="Arial" w:eastAsia="Arial" w:hAnsi="Arial"/>
                <w:sz w:val="14"/>
                <w:szCs w:val="14"/>
                <w:color w:val="auto"/>
                <w:w w:val="94"/>
              </w:rPr>
              <w:t>Emerging growth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5" w:lineRule="exact"/>
        <w:rPr>
          <w:sz w:val="24"/>
          <w:szCs w:val="24"/>
          <w:color w:val="auto"/>
        </w:rPr>
      </w:pPr>
    </w:p>
    <w:p>
      <w:pPr>
        <w:ind w:right="58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70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ind w:right="100"/>
        <w:spacing w:after="0" w:line="290"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a share of the registrant’s common stock on July 31, 2020 (the last business day of the registrant’s most recently completed second fiscal quarter) as reported by the Nasdaq Global Select Market on such date was approximately $20.8 billion.</w:t>
      </w:r>
    </w:p>
    <w:p>
      <w:pPr>
        <w:spacing w:after="0" w:line="44" w:lineRule="exact"/>
        <w:rPr>
          <w:sz w:val="24"/>
          <w:szCs w:val="24"/>
          <w:color w:val="auto"/>
        </w:rPr>
      </w:pPr>
    </w:p>
    <w:p>
      <w:pPr>
        <w:ind w:right="520"/>
        <w:spacing w:after="0" w:line="253" w:lineRule="auto"/>
        <w:rPr>
          <w:sz w:val="20"/>
          <w:szCs w:val="20"/>
          <w:color w:val="auto"/>
        </w:rPr>
      </w:pPr>
      <w:r>
        <w:rPr>
          <w:rFonts w:ascii="Arial" w:cs="Arial" w:eastAsia="Arial" w:hAnsi="Arial"/>
          <w:sz w:val="14"/>
          <w:szCs w:val="14"/>
          <w:color w:val="auto"/>
        </w:rPr>
        <w:t>As of February 28, 2021, the number of shares of the registrant’s Class A common stock outstanding was 195,247,309, and the number of shares of the registrant’s Class B common stock outstanding was 28,628,920.</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3" w:lineRule="exact"/>
        <w:rPr>
          <w:sz w:val="24"/>
          <w:szCs w:val="24"/>
          <w:color w:val="auto"/>
        </w:rPr>
      </w:pPr>
    </w:p>
    <w:p>
      <w:pPr>
        <w:ind w:right="300"/>
        <w:spacing w:after="0" w:line="312" w:lineRule="auto"/>
        <w:rPr>
          <w:sz w:val="20"/>
          <w:szCs w:val="20"/>
          <w:color w:val="auto"/>
        </w:rPr>
      </w:pPr>
      <w:r>
        <w:rPr>
          <w:rFonts w:ascii="Arial" w:cs="Arial" w:eastAsia="Arial" w:hAnsi="Arial"/>
          <w:sz w:val="13"/>
          <w:szCs w:val="13"/>
          <w:color w:val="auto"/>
        </w:rPr>
        <w:t>Portions of the registrant’s definitive Proxy Statement relating to its 2021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240" w:type="dxa"/>
            <w:vAlign w:val="bottom"/>
            <w:gridSpan w:val="3"/>
          </w:tcPr>
          <w:p>
            <w:pPr>
              <w:ind w:left="3260"/>
              <w:spacing w:after="0"/>
              <w:rPr>
                <w:sz w:val="20"/>
                <w:szCs w:val="20"/>
                <w:color w:val="auto"/>
              </w:rPr>
            </w:pPr>
            <w:r>
              <w:rPr>
                <w:rFonts w:ascii="Arial" w:cs="Arial" w:eastAsia="Arial" w:hAnsi="Arial"/>
                <w:sz w:val="18"/>
                <w:szCs w:val="18"/>
                <w:b w:val="1"/>
                <w:bCs w:val="1"/>
                <w:color w:val="auto"/>
              </w:rPr>
              <w:t>CROWDSTRIKE HOLDINGS, INC.</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9240" w:type="dxa"/>
            <w:vAlign w:val="bottom"/>
            <w:gridSpan w:val="3"/>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9240" w:type="dxa"/>
            <w:vAlign w:val="bottom"/>
            <w:gridSpan w:val="3"/>
            <w:vMerge w:val="restart"/>
          </w:tcPr>
          <w:p>
            <w:pPr>
              <w:jc w:val="center"/>
              <w:ind w:left="10"/>
              <w:spacing w:after="0"/>
              <w:rPr>
                <w:rFonts w:ascii="Arial" w:cs="Arial" w:eastAsia="Arial" w:hAnsi="Arial"/>
                <w:sz w:val="18"/>
                <w:szCs w:val="18"/>
                <w:u w:val="single" w:color="auto"/>
                <w:color w:val="0000FF"/>
                <w:w w:val="88"/>
              </w:rPr>
            </w:pPr>
            <w:hyperlink w:anchor="page4">
              <w:r>
                <w:rPr>
                  <w:rFonts w:ascii="Arial" w:cs="Arial" w:eastAsia="Arial" w:hAnsi="Arial"/>
                  <w:sz w:val="18"/>
                  <w:szCs w:val="18"/>
                  <w:u w:val="single" w:color="auto"/>
                  <w:color w:val="0000FF"/>
                  <w:w w:val="88"/>
                </w:rPr>
                <w:t>Part I</w:t>
              </w:r>
            </w:hyperlink>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24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1A.</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Risk Factors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1B.</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Unresolved Staff Comments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51</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2.</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Properties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3.</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Legal Proceedings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4.</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Mine Safety Disclosures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52</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240" w:type="dxa"/>
            <w:vAlign w:val="bottom"/>
            <w:gridSpan w:val="3"/>
          </w:tcPr>
          <w:p>
            <w:pPr>
              <w:jc w:val="center"/>
              <w:ind w:left="10"/>
              <w:spacing w:after="0"/>
              <w:rPr>
                <w:rFonts w:ascii="Arial" w:cs="Arial" w:eastAsia="Arial" w:hAnsi="Arial"/>
                <w:sz w:val="18"/>
                <w:szCs w:val="18"/>
                <w:u w:val="single" w:color="auto"/>
                <w:color w:val="0000FF"/>
                <w:w w:val="95"/>
              </w:rPr>
            </w:pPr>
            <w:hyperlink w:anchor="page55">
              <w:r>
                <w:rPr>
                  <w:rFonts w:ascii="Arial" w:cs="Arial" w:eastAsia="Arial" w:hAnsi="Arial"/>
                  <w:sz w:val="18"/>
                  <w:szCs w:val="18"/>
                  <w:u w:val="single" w:color="auto"/>
                  <w:color w:val="0000FF"/>
                  <w:w w:val="95"/>
                </w:rPr>
                <w:t>Part II</w:t>
              </w:r>
            </w:hyperlink>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vMerge w:val="restart"/>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5.</w:t>
              </w:r>
            </w:hyperlink>
          </w:p>
        </w:tc>
        <w:tc>
          <w:tcPr>
            <w:tcW w:w="9240" w:type="dxa"/>
            <w:vAlign w:val="bottom"/>
            <w:gridSpan w:val="3"/>
          </w:tcPr>
          <w:p>
            <w:pPr>
              <w:spacing w:after="0" w:line="190" w:lineRule="exact"/>
              <w:rPr>
                <w:rFonts w:ascii="Arial" w:cs="Arial" w:eastAsia="Arial" w:hAnsi="Arial"/>
                <w:sz w:val="18"/>
                <w:szCs w:val="18"/>
                <w:color w:val="0000FF"/>
                <w:w w:val="94"/>
              </w:rPr>
            </w:pPr>
            <w:hyperlink w:anchor="page55">
              <w:r>
                <w:rPr>
                  <w:rFonts w:ascii="Arial" w:cs="Arial" w:eastAsia="Arial" w:hAnsi="Arial"/>
                  <w:sz w:val="18"/>
                  <w:szCs w:val="18"/>
                  <w:color w:val="0000FF"/>
                  <w:w w:val="94"/>
                </w:rPr>
                <w:t>Market for Registrant’s Common Equity, Related Stockholder Market for Registrant’s Common Equity, Related Stockholder</w:t>
              </w:r>
            </w:hyperlink>
          </w:p>
        </w:tc>
        <w:tc>
          <w:tcPr>
            <w:tcW w:w="1060" w:type="dxa"/>
            <w:vAlign w:val="bottom"/>
            <w:vMerge w:val="restart"/>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53</w:t>
              </w:r>
            </w:hyperlink>
          </w:p>
        </w:tc>
        <w:tc>
          <w:tcPr>
            <w:tcW w:w="0" w:type="dxa"/>
            <w:vAlign w:val="bottom"/>
          </w:tcPr>
          <w:p>
            <w:pPr>
              <w:spacing w:after="0"/>
              <w:rPr>
                <w:sz w:val="1"/>
                <w:szCs w:val="1"/>
                <w:color w:val="auto"/>
              </w:rPr>
            </w:pPr>
          </w:p>
        </w:tc>
      </w:tr>
      <w:tr>
        <w:trPr>
          <w:trHeight w:val="102"/>
        </w:trPr>
        <w:tc>
          <w:tcPr>
            <w:tcW w:w="900" w:type="dxa"/>
            <w:vAlign w:val="bottom"/>
            <w:vMerge w:val="continue"/>
          </w:tcPr>
          <w:p>
            <w:pPr>
              <w:spacing w:after="0"/>
              <w:rPr>
                <w:sz w:val="8"/>
                <w:szCs w:val="8"/>
                <w:color w:val="auto"/>
              </w:rPr>
            </w:pPr>
          </w:p>
        </w:tc>
        <w:tc>
          <w:tcPr>
            <w:tcW w:w="8960" w:type="dxa"/>
            <w:vAlign w:val="bottom"/>
            <w:tcBorders>
              <w:top w:val="single" w:sz="8" w:color="0000FF"/>
            </w:tcBorders>
            <w:gridSpan w:val="2"/>
            <w:vMerge w:val="restart"/>
          </w:tcPr>
          <w:p>
            <w:pPr>
              <w:spacing w:after="0" w:line="156" w:lineRule="exact"/>
              <w:rPr>
                <w:rFonts w:ascii="Arial" w:cs="Arial" w:eastAsia="Arial" w:hAnsi="Arial"/>
                <w:sz w:val="18"/>
                <w:szCs w:val="18"/>
                <w:color w:val="0000FF"/>
              </w:rPr>
            </w:pPr>
            <w:hyperlink w:anchor="page55">
              <w:r>
                <w:rPr>
                  <w:rFonts w:ascii="Arial" w:cs="Arial" w:eastAsia="Arial" w:hAnsi="Arial"/>
                  <w:sz w:val="18"/>
                  <w:szCs w:val="18"/>
                  <w:color w:val="0000FF"/>
                </w:rPr>
                <w:t>Matters and Issuer Purchases of Equity Securities and Issuer Purchases of Equity Securities</w:t>
              </w:r>
            </w:hyperlink>
          </w:p>
        </w:tc>
        <w:tc>
          <w:tcPr>
            <w:tcW w:w="280" w:type="dxa"/>
            <w:vAlign w:val="bottom"/>
            <w:vMerge w:val="restart"/>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8960" w:type="dxa"/>
            <w:vAlign w:val="bottom"/>
            <w:gridSpan w:val="2"/>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0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6.</w:t>
              </w:r>
            </w:hyperlink>
          </w:p>
        </w:tc>
        <w:tc>
          <w:tcPr>
            <w:tcW w:w="6580" w:type="dxa"/>
            <w:vAlign w:val="bottom"/>
            <w:tcBorders>
              <w:top w:val="single" w:sz="8" w:color="0000FF"/>
            </w:tcBorders>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Selected Financial Data</w:t>
              </w:r>
            </w:hyperlink>
          </w:p>
        </w:tc>
        <w:tc>
          <w:tcPr>
            <w:tcW w:w="2660" w:type="dxa"/>
            <w:vAlign w:val="bottom"/>
            <w:gridSpan w:val="2"/>
          </w:tcPr>
          <w:p>
            <w:pPr>
              <w:spacing w:after="0"/>
              <w:rPr>
                <w:sz w:val="21"/>
                <w:szCs w:val="21"/>
                <w:color w:val="auto"/>
              </w:rPr>
            </w:pPr>
          </w:p>
        </w:tc>
        <w:tc>
          <w:tcPr>
            <w:tcW w:w="106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7.</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Management’s Discussion and Analysis of Financial Condition and Results of Operations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57</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7A.</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Quantitative and Qualitative Disclosures about Market Risk</w:t>
              </w:r>
            </w:hyperlink>
          </w:p>
        </w:tc>
        <w:tc>
          <w:tcPr>
            <w:tcW w:w="106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87</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8.</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Financial Statements and Supplementary Data</w:t>
              </w:r>
            </w:hyperlink>
          </w:p>
        </w:tc>
        <w:tc>
          <w:tcPr>
            <w:tcW w:w="106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88</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Item 9.</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Changes in and Disagreements with Accountants on Accounting and Financial Disclosure</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129</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Item 9A.</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Controls and Procedures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129</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9B.</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Other Information</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240" w:type="dxa"/>
            <w:vAlign w:val="bottom"/>
            <w:gridSpan w:val="3"/>
          </w:tcPr>
          <w:p>
            <w:pPr>
              <w:jc w:val="center"/>
              <w:ind w:left="10"/>
              <w:spacing w:after="0"/>
              <w:rPr>
                <w:rFonts w:ascii="Arial" w:cs="Arial" w:eastAsia="Arial" w:hAnsi="Arial"/>
                <w:sz w:val="18"/>
                <w:szCs w:val="18"/>
                <w:u w:val="single" w:color="auto"/>
                <w:color w:val="0000FF"/>
                <w:w w:val="94"/>
              </w:rPr>
            </w:pPr>
            <w:hyperlink w:anchor="page133">
              <w:r>
                <w:rPr>
                  <w:rFonts w:ascii="Arial" w:cs="Arial" w:eastAsia="Arial" w:hAnsi="Arial"/>
                  <w:sz w:val="18"/>
                  <w:szCs w:val="18"/>
                  <w:u w:val="single" w:color="auto"/>
                  <w:color w:val="0000FF"/>
                  <w:w w:val="94"/>
                </w:rPr>
                <w:t>Part III</w:t>
              </w:r>
            </w:hyperlink>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10.</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Directors, Executive Officers and Corporate Governance</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11.</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Executive Compensation</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130</w:t>
              </w:r>
            </w:hyperlink>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12.</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Security Ownership of Certain Beneficial Owners and Management and Related Stockholder Matters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13.</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Certain Relationships and Related Transactions and Director Independence</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14.</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Principal Accountant Fees and Services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240" w:type="dxa"/>
            <w:vAlign w:val="bottom"/>
            <w:gridSpan w:val="3"/>
          </w:tcPr>
          <w:p>
            <w:pPr>
              <w:jc w:val="center"/>
              <w:ind w:left="10"/>
              <w:spacing w:after="0"/>
              <w:rPr>
                <w:rFonts w:ascii="Arial" w:cs="Arial" w:eastAsia="Arial" w:hAnsi="Arial"/>
                <w:sz w:val="18"/>
                <w:szCs w:val="18"/>
                <w:u w:val="single" w:color="auto"/>
                <w:color w:val="0000FF"/>
                <w:w w:val="98"/>
              </w:rPr>
            </w:pPr>
            <w:hyperlink w:anchor="page133">
              <w:r>
                <w:rPr>
                  <w:rFonts w:ascii="Arial" w:cs="Arial" w:eastAsia="Arial" w:hAnsi="Arial"/>
                  <w:sz w:val="18"/>
                  <w:szCs w:val="18"/>
                  <w:u w:val="single" w:color="auto"/>
                  <w:color w:val="0000FF"/>
                  <w:w w:val="98"/>
                </w:rPr>
                <w:t>Part IV</w:t>
              </w:r>
            </w:hyperlink>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Item 15.</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Exhibits, Financial Statement Schedules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130</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Item 16.</w:t>
              </w:r>
            </w:hyperlink>
          </w:p>
        </w:tc>
        <w:tc>
          <w:tcPr>
            <w:tcW w:w="9240" w:type="dxa"/>
            <w:vAlign w:val="bottom"/>
            <w:gridSpan w:val="3"/>
          </w:tcPr>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Form 10-K Summary</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131</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240" w:type="dxa"/>
            <w:vAlign w:val="bottom"/>
            <w:gridSpan w:val="3"/>
          </w:tcPr>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Signatures</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134</w:t>
              </w:r>
            </w:hyperlink>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240" w:type="dxa"/>
            <w:vAlign w:val="bottom"/>
            <w:gridSpan w:val="3"/>
          </w:tcPr>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Power of Attorney</w:t>
              </w:r>
            </w:hyperlink>
          </w:p>
        </w:tc>
        <w:tc>
          <w:tcPr>
            <w:tcW w:w="1060" w:type="dxa"/>
            <w:vAlign w:val="bottom"/>
          </w:tcPr>
          <w:p>
            <w:pPr>
              <w:jc w:val="right"/>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135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12" w:lineRule="exact"/>
        <w:rPr>
          <w:sz w:val="20"/>
          <w:szCs w:val="20"/>
          <w:color w:val="auto"/>
        </w:rPr>
      </w:pPr>
    </w:p>
    <w:p>
      <w:pPr>
        <w:ind w:left="1300" w:hanging="320"/>
        <w:spacing w:after="0" w:line="238" w:lineRule="auto"/>
        <w:tabs>
          <w:tab w:leader="none" w:pos="129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89" w:lineRule="exact"/>
        <w:rPr>
          <w:rFonts w:ascii="Arial" w:cs="Arial" w:eastAsia="Arial" w:hAnsi="Arial"/>
          <w:sz w:val="22"/>
          <w:szCs w:val="22"/>
          <w:color w:val="auto"/>
        </w:rPr>
      </w:pPr>
    </w:p>
    <w:p>
      <w:pPr>
        <w:ind w:left="1300" w:right="100" w:hanging="320"/>
        <w:spacing w:after="0" w:line="232" w:lineRule="auto"/>
        <w:tabs>
          <w:tab w:leader="none" w:pos="129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49"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cloud platform;</w:t>
      </w:r>
    </w:p>
    <w:p>
      <w:pPr>
        <w:spacing w:after="0" w:line="188"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effects of increased competition in our markets and our ability to compete effectively;</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maintain the security and availability of our cloud platform;</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maintain and expand our customer base, including by attracting new customers;</w:t>
      </w:r>
    </w:p>
    <w:p>
      <w:pPr>
        <w:spacing w:after="0" w:line="177"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ability to develop new solutions, or enhancements to our existing solutions, and bring them to market in a timely manner;</w:t>
      </w:r>
    </w:p>
    <w:p>
      <w:pPr>
        <w:spacing w:after="0" w:line="165" w:lineRule="exact"/>
        <w:rPr>
          <w:rFonts w:ascii="Arial" w:cs="Arial" w:eastAsia="Arial" w:hAnsi="Arial"/>
          <w:sz w:val="21"/>
          <w:szCs w:val="21"/>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anticipated trends, growth rates and challenges in our business and in the markets in which we operate;</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business plan and our ability to effectively manage our growth and associated investments;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beliefs and objectives for future operations;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relationships with third parties, including channel partners and technology alliance partners;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maintain, protect and enhance our intellectual property rights;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defend litigation brought against us;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expand in our existing markets and into new markets;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sufficiency of cash and cash equivalents to meet cash needs for at least the next 12 months;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expand internationally;</w:t>
      </w:r>
    </w:p>
    <w:p>
      <w:pPr>
        <w:spacing w:after="0" w:line="188" w:lineRule="exact"/>
        <w:rPr>
          <w:rFonts w:ascii="Arial" w:cs="Arial" w:eastAsia="Arial" w:hAnsi="Arial"/>
          <w:sz w:val="22"/>
          <w:szCs w:val="22"/>
          <w:color w:val="auto"/>
        </w:rPr>
      </w:pPr>
    </w:p>
    <w:p>
      <w:pPr>
        <w:ind w:left="1300" w:right="120" w:hanging="320"/>
        <w:spacing w:after="0" w:line="232" w:lineRule="auto"/>
        <w:tabs>
          <w:tab w:leader="none" w:pos="129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53"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develop, maintain, and improve our internal control over financial reporting;</w:t>
      </w:r>
    </w:p>
    <w:p>
      <w:pPr>
        <w:spacing w:after="0" w:line="152"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instability in the global credit and financial markets;</w:t>
      </w:r>
    </w:p>
    <w:p>
      <w:pPr>
        <w:spacing w:after="0" w:line="165" w:lineRule="exact"/>
        <w:rPr>
          <w:rFonts w:ascii="Arial" w:cs="Arial" w:eastAsia="Arial" w:hAnsi="Arial"/>
          <w:sz w:val="22"/>
          <w:szCs w:val="22"/>
          <w:color w:val="auto"/>
        </w:rPr>
      </w:pPr>
    </w:p>
    <w:p>
      <w:pPr>
        <w:ind w:left="1300" w:hanging="320"/>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successfully close and integrate acquisitions to contribute to our growth objectives; and</w:t>
      </w: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attraction and retention of qualified employees and key personnel.</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spacing w:after="0" w:line="16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5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believe we are defining a new category called the Security Cloud, with the power to transform the security industry much the same way the cloud has transformed the customer relationship management, human resources,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cloud workloads, cloud containers, mobile,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Our single lightweight agent is installed on each endpoint or the cloud workload and provides local detection and prevention capabilities while also intelligently collecting and streaming high fidelity data to our platform for real-time decision-making. Our Threat Graph processes, correlates, and analyzes this data in the cloud using a combination of AI and behavioral pattern-matching techniques. By analyzing and correlating information across our massive, crowdsourced dataset, we are able to deploy our AI algorithms at cloud-scale and build a more intelligent, effective solution to detect threats and stop breaches that on-premise or single instance cloud products cannot match. Today, we offer 19 cloud modules and our Falcon platform via a SaaS subscription-based model that spans multiple large markets, including corporate workload security, security and vulnerability management, managed security services, IT operations management, threat intelligence services, identity protection and log management.</w:t>
      </w:r>
    </w:p>
    <w:p>
      <w:pPr>
        <w:spacing w:after="0" w:line="18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Organizations everywhere are becoming more distributed as they adopt the cloud, increase workforce mobility, and grow their number of connected devices. They are adding more workloads to a myriad of different endpoints beyond the traditional security perimeter, exposing an increasingly broad attack surface to adversaries. In addition, the sophistication of cyberattacks has increased, often coming from nation-states, well-funded criminal organizations, and hackers using advanced, easily obtained methods of attack. On a number of occasions, adversaries have launched devastating, destructive attacks that have caused significant business disruption and billions of dollars in cumulative losses. The architectural limitations of legacy security products, coupled with a dynamic and intensifying threat landscape, are creating the need for a fundamentally new approach to security.</w:t>
      </w:r>
    </w:p>
    <w:p>
      <w:pPr>
        <w:spacing w:after="0" w:line="16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pioneering approach starts with our single intelligent lightweight agent that enables frictionless deployment of our platform at scale. Our customers can rapidly adopt our technology across any type of workload running on a variety of endpoints. Our lightweight agent offloads computationally intensive tasks to the cloud, while retaining local detection and prevention capabilities that are necessary on the endpoint. The agent is nonintrusive to the end user and continues to protect the endpoint and track activity even when offline. The agent recommences transmitting data to our Falcon platform when the connection to the cloud has been reestablished. By utilizing CrowdStrike’s single agent, customers are able to leverage the capabilities of our platform without burdening the endpoint with multiple agents.</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lightweight agent intelligently streams high fidelity endpoint data to the cloud where Threat Graph provides a simple, flexible, and scalable way to model highly interconnected data sets. Threat Graph processes, correlates, and analyzes over five trillion endpoint-related events per week in real time and maintains an index of these events for future use. Threat Graph continuously looks for malicious activity by applying graph analytics and AI algorithms to the data streamed from the endpoints. Our multi-tenant architecture allows us to collect a broad array of high fidelity data about both potential attacks and benign behavioral patterns across our entire customer base, continuously enhancing our AI algorithms. This significantly increases the efficacy of our solution to stop breaches while reducing false positives.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founded our company on the principle that the future of security would be driven by AI and that a cloud-native architecture would enable the collection of high fidelity data and scalability necessary for an effective solution. From the beginning, our strategy was focused on collecting data at scale, centrally storing such data in a singular model, and training our algorithms on these vast amounts of high fidelity data, which we believe is a fundamental differentiator from our competitors. Our cloud-scale AI means that the more data that is fed into our Falcon platform, the more intelligent Threat Graph becomes and the more our customers benefit, creating a powerful network effect that increases the overall value we provide. AI is revolutionizing many technology fields, including security solutions. To be truly effective, algorithms that enable AI depend on the quality and volume of data that trains them and the selection of the right differentiating features from that data. Our proprietary algorithms in Threat Graph identify events that may or may not be directly related, but together could indicate a threat that could otherwise remain undetected. We are uniquely effective because we not only have a massive amount of high fidelity data to train our AI models but also because of our deep security expertise to guide our feature selection—all resulting in industry-leading efficacy and low false positives. Our rich set of continuously collected high fidelity endpoint data feeding our algorithms also enables us to use an active learning approach, where the models are continuously updated to fill in gaps identified in initial models and their performance is validated with this data prior to production use.</w:t>
      </w:r>
    </w:p>
    <w:p>
      <w:pPr>
        <w:spacing w:after="0" w:line="179"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By leveraging a multi-tenant, cloud native solution, the data we analyze to stop breaches is both larger and more meaningful than the data from on-premise or single instance private cloud products. If Threat Graph discovers something in one customer environment, all customers benefit automatically and in real time. Taken together, our platform enables intelligent, dynamic automation at scale to detect threats and stop breaches.</w:t>
      </w:r>
    </w:p>
    <w:p>
      <w:pPr>
        <w:spacing w:after="0" w:line="14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designed our Falcon platform with an open, interoperable, and highly extensible architecture. Because of our single data model, we only need to collect high fidelity endpoint data once from our agent, which we can use repeatedly for multiple use cases. Therefore, we can rapidly innovate, build, and deploy highly integrated modules to access additional market opportunities. Additionally, via the CrowdStrike Store, customers can discover, try, buy and deploy trusted partner applications that extend their investment in the CrowdStrike Falcon platform. We also built a rich set of APIs that allows us to ingest third-party data into our Falcon platform and allows our customers to expand the functionality of their existing security systems by writing their own programs and accessing the data on our platform.</w:t>
      </w:r>
    </w:p>
    <w:p>
      <w:pPr>
        <w:spacing w:after="0" w:line="19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Falcon platform includes our OverWatch threat hunting cloud module that combines the human intelligence of our elite security experts with the power of Threat Graph. Because our world class team can see potential attacks across our entire customer base, their expertise is enhanced by their constant visibility into the threat landscape. We are able to keep this team lean and scalable by leveraging automation and our Threat Graph. OverWatch is a force multiplier that extends the capabilities and improves the productivity of our customers’ security teams.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offer our customers compelling business value that includes ease of adoption, rapid time-to-value, superior efficacy rates in detecting threats and preventing breaches, and reduced total cost of ownership by consolidating legacy, siloed security products in a single solution. We also allow thinly-stretched security organizations to automate previously manual tasks, freeing them to focus on their most important objectives. With the Falcon platform, organizations can transform how they combat threats, from slow, manual, and reactionary to fast, automated, and predictive, providing visibility across the entire threat lifecycle.</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primarily sell our platform and cloud modules through our direct sales team that leverages our network of channel partners to maximize effectiveness and scale. We amplify our sales presence by leveraging our technology alliance partners that can deliver, embed, or build applications with data and analytics from our Falcon platform. We are also enhancing our go-to-market strategy using a low-touch, trial-to-pay approach. In December 2017, we began to employ a trial-to-pay model in which we offer 15-day free trial access to Falcon Prevent, our next-generation antivirus module, to prospective customers directly from our website. In May 2018, we began offering Falcon Prevent for trial and purchase through the AWS Marketplace and have since expanded our modules available through the AWS Marketplace. We believe this approach enables a higher velocity of new customer acquisition and expansion, and extends our reach to customers of all sizes.</w:t>
      </w:r>
    </w:p>
    <w:p>
      <w:pPr>
        <w:spacing w:after="0" w:line="19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have a low friction land-and-expand sales strategy. When customers deploy our Falcon platform, they can start with any number of cloud modules and we can activate additional cloud modules in real time on the same agent already deployed on the endpoint. Once customers experience the benefits of our Falcon platform, they often expand their adoption over time by adding more endpoints or purchasing additional modules. As of January 31, 2021, subscription customers that had adopted four or more modules, five or more modules and six or more modules increased to 63%, 47%, and 24%, respectively. Our dollar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based net retention rate, which measures expansion in existing customers’ subscriptions over a 12 month period, was 125% as of January 31, 2021, demonstrating the power of our land-and-expand strategy.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Some of the world’s largest enterprises, government organizations, and high profile brands trust CrowdStrike to protect their business.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31, 2021, we had 9,896 subscription customers worldwide. We began as a large enterprise solution, but the flexibility and scalability of our Falcon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platform and enhanced go-to-market approach enable us to protect customers of any size—from hundreds of thousands of endpoints to as few as one.</w:t>
      </w:r>
    </w:p>
    <w:p>
      <w:pPr>
        <w:spacing w:after="0" w:line="23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experienced significant growth, with total revenue increasing from $249.8 million for fiscal 2019 to $481.4 million for fiscal 2020, representing year-over-year growth of 93%, and from $481.4 million for fiscal 2020 to $874.4 million for fiscal 2021, representing year-over-year growth of 82%. Subscription revenue grew from $219.4 million for fiscal 2019 to $436.3 million for fiscal 2020, a 99% increase, and from $436.3 million for fiscal 2020 to $804.7 million for fiscal 2021, a 84% increase. Our annual recurring revenue, or ARR, has grown from $312.7 million as of January 31, 2019 to $600.5 million as of January 31, 2020, a 92% increase, and from $600.5 million as of January 31, 2020 to $1.1 billion as of January 31, 2021, a 75% increase. We had net losses of $92.6 million, $141.8 million, and $140.1 million in fiscal 2021, fiscal 2020 and fiscal 2019, respectively. We expect to continue to incur net losses for the foreseeable future as we continue to invest in our business, and in particular, our sales and R&amp;D capabilities, to address our large market opportunity.</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a number of key trends that are driving the need for a new approach to 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Threats are Greater than Ever</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Today’s cybersecurity threat landscape is more dangerous than ever. Breaches are complex and often executed over multiple steps known in the industry as the threat lifecycle. The typical threat lifecycle starts with an initial exploit to enter a system, historically using malware, but increasingly using malware-free or fileless methods, to penetrate endpoints and establish a beachhead inside the corporate perimeter. Once inside, adversaries move laterally across the corporate environment where they collect credentials and escalate privileges enabling the typical adversary to download a larger, more destructive malware program or connect with an external control source. At this stage in the threat lifecycle, the adversary is able to encrypt, destroy, or silently exfiltrate sensitive data.</w:t>
      </w:r>
    </w:p>
    <w:p>
      <w:pPr>
        <w:spacing w:after="0" w:line="19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Increasingly, adversaries are well-trained, possess significant technological and human resources, and are highly deliberate and targeted in their attacks. Adversaries today range from militaries and intelligence services of well-funded nation-states to sophisticated criminal organizations who are motivated by financial gains to hackers leveraging readily available advanced techniques. These groups and individuals are responsible for many breaches that involve theft or holding hostage financial data, intellectual property, and trade secrets. These attacks are pervasive, targeting a broad range of industries including technology, transportation, healthcare, financial services, governments and political organizations, utility, retail, and public infrastructure. On a number of occasions, adversaries have launched devastating, destructive attacks that have caused significant business disruption and billions of dollars in cumulative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Proliferation of Workloads Expanding the Attack Surface</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rise of digital transformation, cloud computing, workforce mobility, and growth in connected devices has created a rapid expansion of workloads across endpoints and industries. As a result, devices, applications, and data are highly distributed and diverse, challenging organizations to monitor and protect all of their workloads running on various endpoints. The adoption of many of these technologies and the resulting disappearance of the corporate perimeter have expanded the attack surface and left many organizations increasingly vulnerable to breach. Today, workloads running on endpoints, such as laptops and servers, are the primary targets in a security attack since they are vulnerable and frequently are repositories of valuable and sensitive data, including intellectual property, authentication credentials, personally identifiable information, financial information, and other digital assets. As new workloads are provisioned on emerging mobile and IoT devices, oftentimes residing outside of the corporate perimeter, increasingly more sensitive and mission critical data will be generated and stored on these endpoints as well. Attacks such as Shamoon, WannaCry and NotPetya have shown that destroying or locking data on a large portion of an enterprise’s endpoints can cause widespread business disruption.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On-Premise Security Architectures are Constrained</w:t>
      </w:r>
    </w:p>
    <w:p>
      <w:pPr>
        <w:spacing w:after="0" w:line="22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On-premise products are siloed, lack integration, and have limited ability to collect, process, and analyze vast amounts of data—attributes that are required to be effective in today’s increasingly dynamic threat landscape. Legacy vendors often deploy more agents to the endpoint as they layer on a patchwork of additional point product capabilities. This approach burdens endpoints by consuming additional storage space, memory, and processor capacity, degrading end user experience without providing effective security. In addition, integrating and maintaining numerous products, data repositories, and infrastructures across highly distributed enterprise environments is a costly and resource-intensive process for already thinly-staffed security teams.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Existing Security Products have Limitations</w:t>
      </w:r>
    </w:p>
    <w:p>
      <w:pPr>
        <w:spacing w:after="0" w:line="22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i w:val="1"/>
          <w:iCs w:val="1"/>
          <w:color w:val="auto"/>
        </w:rPr>
        <w:t xml:space="preserve">Legacy Signature-based Products. </w:t>
      </w:r>
      <w:r>
        <w:rPr>
          <w:rFonts w:ascii="Arial" w:cs="Arial" w:eastAsia="Arial" w:hAnsi="Arial"/>
          <w:sz w:val="16"/>
          <w:szCs w:val="16"/>
          <w:color w:val="auto"/>
        </w:rPr>
        <w:t>Signature-based products are designed to detect attacks that are already cataloged in a repository of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threats but are not capable of preventing unknown threats or stopping associated breaches. These signatures, known as Indicators of Compromise, or IOCs, represent a reactive method of tracking cyberattacks. By the time IOCs are located, all they provide is evidence of compromise or breach that may have already resulted in substantial losses to the victim. If an attack vector is even slightly modified, a signature-based approach will no longer detect the attack and will fail to stop the breach. Many significant breaches seen in the last two decades have involved the failure of a legacy signature-based antivirus product to detect a previously unknown or modified version of a previously known attack.</w:t>
      </w:r>
    </w:p>
    <w:p>
      <w:pPr>
        <w:spacing w:after="0" w:line="164"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i w:val="1"/>
          <w:iCs w:val="1"/>
          <w:color w:val="auto"/>
        </w:rPr>
        <w:t xml:space="preserve">Malware-focused Machine Learning Products. </w:t>
      </w:r>
      <w:r>
        <w:rPr>
          <w:rFonts w:ascii="Arial" w:cs="Arial" w:eastAsia="Arial" w:hAnsi="Arial"/>
          <w:sz w:val="17"/>
          <w:szCs w:val="17"/>
          <w:color w:val="auto"/>
        </w:rPr>
        <w:t>Traditionally, organizations have focused on protecting their networks and endpoints against malware-based attacks. These attacks involve malware built for the specific purpose of performing malicious activities, stealing data, or destroying systems. A malware-centric defensive approach will leave the organization vulnerable to attacks that do not leverage malware.</w:t>
      </w:r>
    </w:p>
    <w:p>
      <w:pPr>
        <w:spacing w:after="0" w:line="16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 xml:space="preserve">Application Whitelisting Products. </w:t>
      </w:r>
      <w:r>
        <w:rPr>
          <w:rFonts w:ascii="Arial" w:cs="Arial" w:eastAsia="Arial" w:hAnsi="Arial"/>
          <w:sz w:val="18"/>
          <w:szCs w:val="18"/>
          <w:color w:val="auto"/>
        </w:rPr>
        <w:t>Application whitelisting products resort to an “always allow” or “always block” policy on an endpoint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allow or prevent processes from executing. Whitelisting relies in part on manually creating and maintaining a complex list of rules, burdening end users and IT organizations. In order to avoid these management challenges, IT organizations often create special exceptions to the whitelist that attackers leverage to compromise endpoints. Furthermore, fileless attacks can exploit legitimate whitelisted applications, compromising the integrity of the whitelisting product.</w:t>
      </w:r>
    </w:p>
    <w:p>
      <w:pPr>
        <w:spacing w:after="0" w:line="188" w:lineRule="exact"/>
        <w:rPr>
          <w:sz w:val="20"/>
          <w:szCs w:val="20"/>
          <w:color w:val="auto"/>
        </w:rPr>
      </w:pPr>
    </w:p>
    <w:p>
      <w:pPr>
        <w:ind w:right="20" w:firstLine="324"/>
        <w:spacing w:after="0" w:line="327" w:lineRule="auto"/>
        <w:rPr>
          <w:sz w:val="20"/>
          <w:szCs w:val="20"/>
          <w:color w:val="auto"/>
        </w:rPr>
      </w:pPr>
      <w:r>
        <w:rPr>
          <w:rFonts w:ascii="Arial" w:cs="Arial" w:eastAsia="Arial" w:hAnsi="Arial"/>
          <w:sz w:val="15"/>
          <w:szCs w:val="15"/>
          <w:i w:val="1"/>
          <w:iCs w:val="1"/>
          <w:color w:val="auto"/>
        </w:rPr>
        <w:t xml:space="preserve">Network-centric Security Products. </w:t>
      </w:r>
      <w:r>
        <w:rPr>
          <w:rFonts w:ascii="Arial" w:cs="Arial" w:eastAsia="Arial" w:hAnsi="Arial"/>
          <w:sz w:val="15"/>
          <w:szCs w:val="15"/>
          <w:color w:val="auto"/>
        </w:rPr>
        <w:t>Traditional network security vendors have focused their products on perimeter-based protection. However, these</w:t>
      </w:r>
      <w:r>
        <w:rPr>
          <w:rFonts w:ascii="Arial" w:cs="Arial" w:eastAsia="Arial" w:hAnsi="Arial"/>
          <w:sz w:val="15"/>
          <w:szCs w:val="15"/>
          <w:i w:val="1"/>
          <w:iCs w:val="1"/>
          <w:color w:val="auto"/>
        </w:rPr>
        <w:t xml:space="preserve"> </w:t>
      </w:r>
      <w:r>
        <w:rPr>
          <w:rFonts w:ascii="Arial" w:cs="Arial" w:eastAsia="Arial" w:hAnsi="Arial"/>
          <w:sz w:val="15"/>
          <w:szCs w:val="15"/>
          <w:color w:val="auto"/>
        </w:rPr>
        <w:t>approaches have decreased in relevance and effectiveness as employees and workplace devices have expanded beyond the firewall and the use of encrypted traffic has increased creating blind spots and vulnerabilities that attackers are able to exploit. As the number of endpoints proliferates, and workforces become more distributed, this layer of defense cannot adequately protect information-rich endpoints and workloads that are outside the corporate perimeter.</w:t>
      </w:r>
    </w:p>
    <w:p>
      <w:pPr>
        <w:spacing w:after="0" w:line="14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Bolt-on Cloud Products. </w:t>
      </w:r>
      <w:r>
        <w:rPr>
          <w:rFonts w:ascii="Arial" w:cs="Arial" w:eastAsia="Arial" w:hAnsi="Arial"/>
          <w:sz w:val="18"/>
          <w:szCs w:val="18"/>
          <w:color w:val="auto"/>
        </w:rPr>
        <w:t>Many on-premise vendors have introduced cloud offerings by putting their on-premise products in the cloud. Such single-tenant products were not designed to run in the cloud and therefore continue to be siloed, lack integration, and possess limited scalability to identify threats across their customer base in real time. In addition, such products are complex to deploy, difficult to scale, brittle to maintain, costly to own, and can be ineffective in stopping breaches. Any product that was originally designed for on-premise deployments and migrated to the cloud cannot by definition be a cloud native 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the Security Cloud</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Over the last 17 years, cloud computing has revolutionized many industries in enterprise software and created significant shifts in market share away from incumbents with on-premise or single instance cloud offerings. The cloud has enabled organizations to cost-efficiently scale their compute and storage resources, accelerate innovation, eliminate ongoing maintenance and administrative costs, and consolidate previously disparate and siloed products. During this period, new data technologies also emerged leveraging the cloud to enable more data collection, improve data analysis, and share key insights to drive better business outcomes and make more informed decisions.</w:t>
      </w:r>
    </w:p>
    <w:p>
      <w:pPr>
        <w:spacing w:after="0" w:line="188"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purpose-built, cloud native leaders that began from scratch with multi-tenant architectures, single data models, and SaaS business models have defined entirely new categories such as CRM Cloud, HR Cloud, and Service Management Cloud. We believe we are doing the same for security.</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An effective solution to address the modern cybersecurity threat landscape should combine multiple methods into an integrated, data-driven, and automated cloud-based platform in order to provide comprehensive breach protection across the entire threat lifecycle. Such a platform requires collecting, processing, analyzing, and correlating vast amounts of high fidelity endpoint events in the cloud. This platform needs to operate at web-scale, process events in real time, and benefit from the network effects of crowdsourced data to understand attacks that happen across millions of endpoints. We believe only a cloud native approach can address today’s threat landscape.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are defining a new category called the Security Cloud.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With our Falcon platform, we created the first multi-tenant, cloud native, intelligent security solution capable of protecting workloads across on-premise, virtualized, and cloud-based environments running on a variety of endpoints such as desktops, laptops, servers, virtual machines, cloud workloads, cloud containers, mobile, and IoT devices. Our solution consists of our single intelligent lightweight agent and our powerful and dynamic cloud-based database Threat Graph. These two tightly integrated proprietary technologies continually collect, process, analyze and correlate vast amounts of high fidelity data across the entire threat lifecycle using a combination of AI and behavioral pattern-matching techniques to stop breaches. We implement this approach by crowdsourcing data across our entire customer base and taking advantage of economies of scale, which we believe enables our AI algorithms to be uniquely effective. The benefits of our cloud-based AI are automatically shared with customers across our community in real time. We combine multiple methods of detection, prevention, and response to known and unknown threats as well as malware and malware-free techniques across the threat lifecycle.</w:t>
      </w:r>
    </w:p>
    <w:p>
      <w:pPr>
        <w:spacing w:after="0" w:line="19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Falcon platform supports 19 cloud modules via a SaaS subscription-based model that spans multiple large markets, including corporate workload security, security and vulnerability management, managed security services, IT operations management, threat intelligence services, identity protection and log management. Our single data model and open cloud architecture enable us and third-party partners to rapidly innovate, build, and deploy new cloud modules to provide our customers with additional functionality across a myriad of use cases.</w:t>
      </w:r>
    </w:p>
    <w:p>
      <w:pPr>
        <w:spacing w:after="0" w:line="1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designed our platform to be rapidly deployable, easy to use, and extensible, with the ability to consolidate point security products that have historically led to data silos and agent sprawl, into one comprehensive and integrated solution. Our platform allows our customers’ thinly-staffed security organizations to spend less time and fewer resources provisioning hardware, configuring supporting software systems, and performing ongoing maintenance work, freeing them to focus on their most important objectives. We aim to transform how organizations combat threats from slow, manual, and reactionary to fast, automated, and predictive.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Benefits of Our Solution</w:t>
      </w:r>
    </w:p>
    <w:p>
      <w:pPr>
        <w:spacing w:after="0" w:line="225" w:lineRule="exact"/>
        <w:rPr>
          <w:sz w:val="20"/>
          <w:szCs w:val="20"/>
          <w:color w:val="auto"/>
        </w:rPr>
      </w:pPr>
    </w:p>
    <w:p>
      <w:pPr>
        <w:ind w:left="660" w:hanging="328"/>
        <w:spacing w:after="0" w:line="255"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The Power of the Crowd. </w:t>
      </w:r>
      <w:r>
        <w:rPr>
          <w:rFonts w:ascii="Arial" w:cs="Arial" w:eastAsia="Arial" w:hAnsi="Arial"/>
          <w:sz w:val="18"/>
          <w:szCs w:val="18"/>
          <w:color w:val="auto"/>
        </w:rPr>
        <w:t>Our crowdsourced data enables all of our customers to benefit from contributing to Threat Graph. As more high fidelity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is fed into our Falcon platform, there is more data to train our AI models with, increasing the overall efficacy of our Falcon platform. This benefits our customers and supports our efforts to gain more customers, creating a powerful network effect. Threat Graph can then learn and identify warning signs once and rapidly deliver protection to every customer in our community. Further, our AI algorithms are more effective because they are trained on such a broad and representative set of data that captures information about potential attacks throughout the entire threat lifecycle across our customer base.</w:t>
      </w:r>
    </w:p>
    <w:p>
      <w:pPr>
        <w:spacing w:after="0" w:line="192" w:lineRule="exact"/>
        <w:rPr>
          <w:rFonts w:ascii="Arial" w:cs="Arial" w:eastAsia="Arial" w:hAnsi="Arial"/>
          <w:sz w:val="18"/>
          <w:szCs w:val="18"/>
          <w:i w:val="1"/>
          <w:iCs w:val="1"/>
          <w:color w:val="auto"/>
        </w:rPr>
      </w:pPr>
    </w:p>
    <w:p>
      <w:pPr>
        <w:ind w:left="660" w:right="120" w:hanging="328"/>
        <w:spacing w:after="0" w:line="263"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High Efficacy with Low False Positives. </w:t>
      </w:r>
      <w:r>
        <w:rPr>
          <w:rFonts w:ascii="Arial" w:cs="Arial" w:eastAsia="Arial" w:hAnsi="Arial"/>
          <w:sz w:val="18"/>
          <w:szCs w:val="18"/>
          <w:color w:val="auto"/>
        </w:rPr>
        <w:t>Our Falcon platform collects, processes, correlates, and analyzes high fidelity data on both real-world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attacks and benign behavioral patterns to continually train and enhance our algorithms resulting in industry-leading threat detection and low false positive rates.</w:t>
      </w:r>
    </w:p>
    <w:p>
      <w:pPr>
        <w:spacing w:after="0" w:line="183" w:lineRule="exact"/>
        <w:rPr>
          <w:rFonts w:ascii="Arial" w:cs="Arial" w:eastAsia="Arial" w:hAnsi="Arial"/>
          <w:sz w:val="18"/>
          <w:szCs w:val="18"/>
          <w:i w:val="1"/>
          <w:iCs w:val="1"/>
          <w:color w:val="auto"/>
        </w:rPr>
      </w:pPr>
    </w:p>
    <w:p>
      <w:pPr>
        <w:ind w:left="660" w:right="40" w:hanging="328"/>
        <w:spacing w:after="0" w:line="296" w:lineRule="auto"/>
        <w:tabs>
          <w:tab w:leader="none" w:pos="655" w:val="left"/>
        </w:tabs>
        <w:numPr>
          <w:ilvl w:val="0"/>
          <w:numId w:val="5"/>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Consolidation of Siloed Products. </w:t>
      </w:r>
      <w:r>
        <w:rPr>
          <w:rFonts w:ascii="Arial" w:cs="Arial" w:eastAsia="Arial" w:hAnsi="Arial"/>
          <w:sz w:val="16"/>
          <w:szCs w:val="16"/>
          <w:color w:val="auto"/>
        </w:rPr>
        <w:t>Integrating and maintaining numerous products, data and infrastructures across highly distributed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environments leaves blind spots that hackers can exploit and is a costly and resource-intensive process. Our integrated platform unifies cloud modules addressing cloud workload security, next-generation antivirus, endpoint detection and response (EDR), device control, host firewall management, vulnerability management, forensic analysis, IT hygiene, threat hunting, and automated threat intelligence. Our platform enables our customers to reduce or streamline their siloed and layered security products, simplifying operations while providing a comprehensive solution.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hanging="328"/>
        <w:spacing w:after="0" w:line="273" w:lineRule="auto"/>
        <w:tabs>
          <w:tab w:leader="none" w:pos="656" w:val="left"/>
        </w:tabs>
        <w:numPr>
          <w:ilvl w:val="0"/>
          <w:numId w:val="6"/>
        </w:numPr>
        <w:rPr>
          <w:rFonts w:ascii="Arial" w:cs="Arial" w:eastAsia="Arial" w:hAnsi="Arial"/>
          <w:sz w:val="13"/>
          <w:szCs w:val="13"/>
          <w:i w:val="1"/>
          <w:iCs w:val="1"/>
          <w:color w:val="auto"/>
        </w:rPr>
      </w:pPr>
      <w:r>
        <w:rPr>
          <w:rFonts w:ascii="Arial" w:cs="Arial" w:eastAsia="Arial" w:hAnsi="Arial"/>
          <w:sz w:val="17"/>
          <w:szCs w:val="17"/>
          <w:b w:val="1"/>
          <w:bCs w:val="1"/>
          <w:i w:val="1"/>
          <w:iCs w:val="1"/>
          <w:color w:val="auto"/>
        </w:rPr>
        <w:t xml:space="preserve">Consolidation of Agents. </w:t>
      </w:r>
      <w:r>
        <w:rPr>
          <w:rFonts w:ascii="Arial" w:cs="Arial" w:eastAsia="Arial" w:hAnsi="Arial"/>
          <w:sz w:val="17"/>
          <w:szCs w:val="17"/>
          <w:color w:val="auto"/>
        </w:rPr>
        <w:t>We provide robust and diverse functionality through a single intelligent lightweight agent. Legacy vendors’ agents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be single purpose, thus they often deploy multiple agents to the endpoint as they layer additional point product capabilities on top of their initial offering. This legacy approach burdens endpoints by consuming additional storage space, memory, and processor capacity, degrading the end user experience. Our single agent approach allows customers to consolidate and remove numerous agents from their infrastructure and restore endpoint performance. Because we collect data once from our agent and use it across multiple use cases, the Falcon platform can offer a wide range of functionality without burdening the endpoint.</w:t>
      </w:r>
    </w:p>
    <w:p>
      <w:pPr>
        <w:spacing w:after="0" w:line="177" w:lineRule="exact"/>
        <w:rPr>
          <w:rFonts w:ascii="Arial" w:cs="Arial" w:eastAsia="Arial" w:hAnsi="Arial"/>
          <w:sz w:val="13"/>
          <w:szCs w:val="13"/>
          <w:i w:val="1"/>
          <w:iCs w:val="1"/>
          <w:color w:val="auto"/>
        </w:rPr>
      </w:pPr>
    </w:p>
    <w:p>
      <w:pPr>
        <w:ind w:left="660" w:right="60" w:hanging="328"/>
        <w:spacing w:after="0" w:line="259"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Rapid Time to Value. </w:t>
      </w:r>
      <w:r>
        <w:rPr>
          <w:rFonts w:ascii="Arial" w:cs="Arial" w:eastAsia="Arial" w:hAnsi="Arial"/>
          <w:sz w:val="18"/>
          <w:szCs w:val="18"/>
          <w:color w:val="auto"/>
        </w:rPr>
        <w:t>On-premise security solutions take time to install, configure, deploy, and maintain. We streamline the deployment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providing cloud-delivered security with protection policies that work from day one, eliminating lengthy implementation periods and professional services engagements. Moreover, once a customer deploys our lightweight agent on their endpoints, we can activate additional cloud modules in real time.</w:t>
      </w:r>
    </w:p>
    <w:p>
      <w:pPr>
        <w:spacing w:after="0" w:line="186" w:lineRule="exact"/>
        <w:rPr>
          <w:rFonts w:ascii="Arial" w:cs="Arial" w:eastAsia="Arial" w:hAnsi="Arial"/>
          <w:sz w:val="18"/>
          <w:szCs w:val="18"/>
          <w:i w:val="1"/>
          <w:iCs w:val="1"/>
          <w:color w:val="auto"/>
        </w:rPr>
      </w:pPr>
    </w:p>
    <w:p>
      <w:pPr>
        <w:ind w:left="660" w:right="4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Protection Anywhere. </w:t>
      </w:r>
      <w:r>
        <w:rPr>
          <w:rFonts w:ascii="Arial" w:cs="Arial" w:eastAsia="Arial" w:hAnsi="Arial"/>
          <w:sz w:val="18"/>
          <w:szCs w:val="18"/>
          <w:color w:val="auto"/>
        </w:rPr>
        <w:t>Our cloud-based model allows us to secure customer workloads such as desktops, laptops, servers, virtual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machines, cloud workloads, cloud containers, mobile, and IoT devices. In addition, once our agent is deployed on an endpoint it continues to protect the endpoint and track activity even when offline.</w:t>
      </w:r>
    </w:p>
    <w:p>
      <w:pPr>
        <w:spacing w:after="0" w:line="183" w:lineRule="exact"/>
        <w:rPr>
          <w:rFonts w:ascii="Arial" w:cs="Arial" w:eastAsia="Arial" w:hAnsi="Arial"/>
          <w:sz w:val="18"/>
          <w:szCs w:val="18"/>
          <w:color w:val="auto"/>
        </w:rPr>
      </w:pPr>
    </w:p>
    <w:p>
      <w:pPr>
        <w:ind w:left="660" w:hanging="328"/>
        <w:spacing w:after="0" w:line="259" w:lineRule="auto"/>
        <w:tabs>
          <w:tab w:leader="none" w:pos="656" w:val="left"/>
        </w:tabs>
        <w:numPr>
          <w:ilvl w:val="0"/>
          <w:numId w:val="6"/>
        </w:numPr>
        <w:rPr>
          <w:rFonts w:ascii="Arial" w:cs="Arial" w:eastAsia="Arial" w:hAnsi="Arial"/>
          <w:sz w:val="14"/>
          <w:szCs w:val="14"/>
          <w:i w:val="1"/>
          <w:iCs w:val="1"/>
          <w:color w:val="auto"/>
        </w:rPr>
      </w:pPr>
      <w:r>
        <w:rPr>
          <w:rFonts w:ascii="Arial" w:cs="Arial" w:eastAsia="Arial" w:hAnsi="Arial"/>
          <w:sz w:val="18"/>
          <w:szCs w:val="18"/>
          <w:b w:val="1"/>
          <w:bCs w:val="1"/>
          <w:i w:val="1"/>
          <w:iCs w:val="1"/>
          <w:color w:val="auto"/>
        </w:rPr>
        <w:t xml:space="preserve">Elite Security Team as a Force Multiplier. </w:t>
      </w:r>
      <w:r>
        <w:rPr>
          <w:rFonts w:ascii="Arial" w:cs="Arial" w:eastAsia="Arial" w:hAnsi="Arial"/>
          <w:sz w:val="18"/>
          <w:szCs w:val="18"/>
          <w:color w:val="auto"/>
        </w:rPr>
        <w:t>Our OverWatch threat hunting cloud module combines world class human intelligence from our elite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experts with the power of Threat Graph. OverWatch is a force multiplier that extends the capabilities and improves the productivity of our customers’ security teams. Because our world class team can see attacks across our entire customer base, their expertise is enhanced by their constant visibility into the threat landscape.</w:t>
      </w:r>
    </w:p>
    <w:p>
      <w:pPr>
        <w:spacing w:after="0" w:line="186" w:lineRule="exact"/>
        <w:rPr>
          <w:rFonts w:ascii="Arial" w:cs="Arial" w:eastAsia="Arial" w:hAnsi="Arial"/>
          <w:sz w:val="14"/>
          <w:szCs w:val="14"/>
          <w:i w:val="1"/>
          <w:iCs w:val="1"/>
          <w:color w:val="auto"/>
        </w:rPr>
      </w:pPr>
    </w:p>
    <w:p>
      <w:pPr>
        <w:ind w:left="660" w:right="8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Bridging the Security Skills Gap through Automation. </w:t>
      </w:r>
      <w:r>
        <w:rPr>
          <w:rFonts w:ascii="Arial" w:cs="Arial" w:eastAsia="Arial" w:hAnsi="Arial"/>
          <w:sz w:val="18"/>
          <w:szCs w:val="18"/>
          <w:color w:val="auto"/>
        </w:rPr>
        <w:t>Our solution automates certain previously manual tasks, freeing up personnel to focus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most important objectives. Our Falcon Complete module provides a turnkey solution that combines endpoint security with remediation and response capabilities.</w:t>
      </w:r>
    </w:p>
    <w:p>
      <w:pPr>
        <w:spacing w:after="0" w:line="183" w:lineRule="exact"/>
        <w:rPr>
          <w:rFonts w:ascii="Arial" w:cs="Arial" w:eastAsia="Arial" w:hAnsi="Arial"/>
          <w:sz w:val="18"/>
          <w:szCs w:val="18"/>
          <w:i w:val="1"/>
          <w:iCs w:val="1"/>
          <w:color w:val="auto"/>
        </w:rPr>
      </w:pPr>
    </w:p>
    <w:p>
      <w:pPr>
        <w:ind w:left="660" w:right="140" w:hanging="328"/>
        <w:spacing w:after="0" w:line="311" w:lineRule="auto"/>
        <w:tabs>
          <w:tab w:leader="none" w:pos="656" w:val="left"/>
        </w:tabs>
        <w:numPr>
          <w:ilvl w:val="0"/>
          <w:numId w:val="6"/>
        </w:numPr>
        <w:rPr>
          <w:rFonts w:ascii="Arial" w:cs="Arial" w:eastAsia="Arial" w:hAnsi="Arial"/>
          <w:sz w:val="13"/>
          <w:szCs w:val="13"/>
          <w:i w:val="1"/>
          <w:iCs w:val="1"/>
          <w:color w:val="auto"/>
        </w:rPr>
      </w:pPr>
      <w:r>
        <w:rPr>
          <w:rFonts w:ascii="Arial" w:cs="Arial" w:eastAsia="Arial" w:hAnsi="Arial"/>
          <w:sz w:val="16"/>
          <w:szCs w:val="16"/>
          <w:b w:val="1"/>
          <w:bCs w:val="1"/>
          <w:i w:val="1"/>
          <w:iCs w:val="1"/>
          <w:color w:val="auto"/>
        </w:rPr>
        <w:t xml:space="preserve">Lowering Total Cost of Ownership. </w:t>
      </w:r>
      <w:r>
        <w:rPr>
          <w:rFonts w:ascii="Arial" w:cs="Arial" w:eastAsia="Arial" w:hAnsi="Arial"/>
          <w:sz w:val="16"/>
          <w:szCs w:val="16"/>
          <w:color w:val="auto"/>
        </w:rPr>
        <w:t>Our cloud-based platform eliminates our customers’ need for initial or ongoing purchases of hardware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require their personnel to configure, implement or integrate disparate point products. Additionally, our comprehensive platform reduces overall personnel costs associated with ongoing maintenance, as well as the need for software patches and upgrades for separate products.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growth strategy include:</w:t>
      </w:r>
    </w:p>
    <w:p>
      <w:pPr>
        <w:spacing w:after="0" w:line="225" w:lineRule="exact"/>
        <w:rPr>
          <w:sz w:val="20"/>
          <w:szCs w:val="20"/>
          <w:color w:val="auto"/>
        </w:rPr>
      </w:pPr>
    </w:p>
    <w:p>
      <w:pPr>
        <w:ind w:left="660" w:right="80" w:hanging="328"/>
        <w:spacing w:after="0" w:line="275"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Growing Our Customer Base by Replacing Legacy and Other Endpoint Security Products. </w:t>
      </w:r>
      <w:r>
        <w:rPr>
          <w:rFonts w:ascii="Arial" w:cs="Arial" w:eastAsia="Arial" w:hAnsi="Arial"/>
          <w:sz w:val="17"/>
          <w:szCs w:val="17"/>
          <w:color w:val="auto"/>
        </w:rPr>
        <w:t>Given the limitations of existing legacy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security products, many organizations are replacing their existing legacy and other endpoint security products with our Falcon platform. We grew our subscription customer base by 4,465 customers from 5,431 at January 31, 2020, to 9,896 at January 31, 2021, representing an 82% increase. We will continue to invest in customer acquisition programs, including our channel partnerships and new programs, like our free trial program of Falcon Prevent that is easily downloaded from our website and AWS Marketplace.</w:t>
      </w:r>
    </w:p>
    <w:p>
      <w:pPr>
        <w:spacing w:after="0" w:line="176" w:lineRule="exact"/>
        <w:rPr>
          <w:rFonts w:ascii="Arial" w:cs="Arial" w:eastAsia="Arial" w:hAnsi="Arial"/>
          <w:sz w:val="17"/>
          <w:szCs w:val="17"/>
          <w:i w:val="1"/>
          <w:iCs w:val="1"/>
          <w:color w:val="auto"/>
        </w:rPr>
      </w:pPr>
    </w:p>
    <w:p>
      <w:pPr>
        <w:ind w:left="660" w:right="20" w:hanging="328"/>
        <w:spacing w:after="0" w:line="254"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Further Penetrating Existing Customers. </w:t>
      </w:r>
      <w:r>
        <w:rPr>
          <w:rFonts w:ascii="Arial" w:cs="Arial" w:eastAsia="Arial" w:hAnsi="Arial"/>
          <w:sz w:val="18"/>
          <w:szCs w:val="18"/>
          <w:color w:val="auto"/>
        </w:rPr>
        <w:t>Our growth will depend in part on our ability to continue to expand our relationships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by deploying on additional endpoints in their environment and cross selling more cloud modules. When customers deploy our lightweight agent,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 wide for all customers. The power of our land-and-expand strategy is evidenced by our 125% dollar-based net retention rate as of January 31, 2021.</w:t>
      </w:r>
    </w:p>
    <w:p>
      <w:pPr>
        <w:spacing w:after="0" w:line="194" w:lineRule="exact"/>
        <w:rPr>
          <w:rFonts w:ascii="Arial" w:cs="Arial" w:eastAsia="Arial" w:hAnsi="Arial"/>
          <w:sz w:val="18"/>
          <w:szCs w:val="18"/>
          <w:i w:val="1"/>
          <w:iCs w:val="1"/>
          <w:color w:val="auto"/>
        </w:rPr>
      </w:pPr>
    </w:p>
    <w:p>
      <w:pPr>
        <w:ind w:left="660" w:right="100" w:hanging="328"/>
        <w:spacing w:after="0" w:line="259"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Leveraging Our Falcon Platform to Enter New Markets. </w:t>
      </w:r>
      <w:r>
        <w:rPr>
          <w:rFonts w:ascii="Arial" w:cs="Arial" w:eastAsia="Arial" w:hAnsi="Arial"/>
          <w:sz w:val="18"/>
          <w:szCs w:val="18"/>
          <w:color w:val="auto"/>
        </w:rPr>
        <w:t>Because we leverage a single data model and open cloud architecture, we are uniquely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positioned to continue innovating and rapidly deploying new cloud modules on our platform. For example, Falcon Discover includes use cases outside of security, such as application license management, AWS spend analysis, and asset inventory. Because our lightweight agent collects diverse endpoint data</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once for repeated use, we can expand our addressable market by rapidly adding new cloud modules that leverage this data. We intend to continue to develop new cloud modules for broader endpoint use cases.</w:t>
      </w:r>
    </w:p>
    <w:p>
      <w:pPr>
        <w:spacing w:after="0" w:line="170" w:lineRule="exact"/>
        <w:rPr>
          <w:sz w:val="20"/>
          <w:szCs w:val="20"/>
          <w:color w:val="auto"/>
        </w:rPr>
      </w:pPr>
    </w:p>
    <w:p>
      <w:pPr>
        <w:ind w:left="660" w:right="120" w:hanging="328"/>
        <w:spacing w:after="0" w:line="255"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Broadening Our Reach into New Customer Segments. </w:t>
      </w:r>
      <w:r>
        <w:rPr>
          <w:rFonts w:ascii="Arial" w:cs="Arial" w:eastAsia="Arial" w:hAnsi="Arial"/>
          <w:sz w:val="18"/>
          <w:szCs w:val="18"/>
          <w:color w:val="auto"/>
        </w:rPr>
        <w:t>While we initially targeted large sophisticated enterprises, we have expanded our go-to-market efforts to include customers of all 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spacing w:after="0" w:line="192" w:lineRule="exact"/>
        <w:rPr>
          <w:rFonts w:ascii="Arial" w:cs="Arial" w:eastAsia="Arial" w:hAnsi="Arial"/>
          <w:sz w:val="18"/>
          <w:szCs w:val="18"/>
          <w:i w:val="1"/>
          <w:iCs w:val="1"/>
          <w:color w:val="auto"/>
        </w:rPr>
      </w:pPr>
    </w:p>
    <w:p>
      <w:pPr>
        <w:ind w:left="660" w:hanging="328"/>
        <w:spacing w:after="0" w:line="301"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Extending Our Falcon Platform and Ecosystem. </w:t>
      </w:r>
      <w:r>
        <w:rPr>
          <w:rFonts w:ascii="Arial" w:cs="Arial" w:eastAsia="Arial" w:hAnsi="Arial"/>
          <w:sz w:val="16"/>
          <w:szCs w:val="16"/>
          <w:color w:val="auto"/>
        </w:rPr>
        <w:t>We designed our architecture to be open, interoperable, and highly extensible. We launched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CrowdStrike Store, the first open cloud-based application PaaS for cybersecurity, which provides an ecosystem of trusted partners and applications for our customers. In the future we plan to continue investing in the CrowdStrike Store to empower our partners by making it easier to build applications and to enable our customers to more easily discover, try, and purchase additional cloud modules from both trusted partners and us.</w:t>
      </w:r>
    </w:p>
    <w:p>
      <w:pPr>
        <w:spacing w:after="0" w:line="157" w:lineRule="exact"/>
        <w:rPr>
          <w:rFonts w:ascii="Arial" w:cs="Arial" w:eastAsia="Arial" w:hAnsi="Arial"/>
          <w:sz w:val="16"/>
          <w:szCs w:val="16"/>
          <w:i w:val="1"/>
          <w:iCs w:val="1"/>
          <w:color w:val="auto"/>
        </w:rPr>
      </w:pPr>
    </w:p>
    <w:p>
      <w:pPr>
        <w:ind w:left="660" w:right="20" w:hanging="328"/>
        <w:spacing w:after="0" w:line="255"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Broadening Our Reach into the U.S. Federal Government Vertical. </w:t>
      </w:r>
      <w:r>
        <w:rPr>
          <w:rFonts w:ascii="Arial" w:cs="Arial" w:eastAsia="Arial" w:hAnsi="Arial"/>
          <w:sz w:val="18"/>
          <w:szCs w:val="18"/>
          <w:color w:val="auto"/>
        </w:rPr>
        <w:t>We are investing in the acquisition of customers in the U.S.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vertical. Our platform is authorized by several federal agencies via the Federal Risk and Authorization Management Program (“FedRAMP”). To further meet the compliance demands of the federal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w:t>
      </w:r>
    </w:p>
    <w:p>
      <w:pPr>
        <w:spacing w:after="0" w:line="192" w:lineRule="exact"/>
        <w:rPr>
          <w:rFonts w:ascii="Arial" w:cs="Arial" w:eastAsia="Arial" w:hAnsi="Arial"/>
          <w:sz w:val="18"/>
          <w:szCs w:val="18"/>
          <w:i w:val="1"/>
          <w:iCs w:val="1"/>
          <w:color w:val="auto"/>
        </w:rPr>
      </w:pPr>
    </w:p>
    <w:p>
      <w:pPr>
        <w:ind w:left="660" w:right="80" w:hanging="328"/>
        <w:spacing w:after="0" w:line="259"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Expanding Our International Footprint. </w:t>
      </w:r>
      <w:r>
        <w:rPr>
          <w:rFonts w:ascii="Arial" w:cs="Arial" w:eastAsia="Arial" w:hAnsi="Arial"/>
          <w:sz w:val="18"/>
          <w:szCs w:val="18"/>
          <w:color w:val="auto"/>
        </w:rPr>
        <w:t>We are expanding our international operations and intend to invest globally to broaden our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footprint. We grew our international revenue from $124.9 million for fiscal 2020, to $247.0 million for fiscal 2021, representing an increase of 98%. We intend to grow our international customer base by increasing our investments in our overseas operations, including adding headcount in Europe, the Middle East, Asia-Pacific, and Japan and establishing overseas data centers.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Falcon Platform</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Falcon platform is composed of two tightly integrated proprietary technologies: our lightweight agent and Threat Graph. The Falcon platform offers a unified set of cloud-delivered technologies that power a wide range of modules including next-generation antivirus, EDR, device control, host firewall management, managed threat hunting, IT hygiene, vulnerability management, and threat intelligence. The Falcon platform also encompasses recently acquired technologies where integration may be ongoing. We can rapidly and cost effectively develop and deliver additional cloud modules on our Falcon platform, and are expanding options for our new customers to test modules on a trial basis and in-application trials for existing customers. Our expanding set of open APIs allows customers and partners to build their own capabilities on top of the Falcon platform. With our Falcon platform, we can crowdsource data and deliver a variety of cloud modules to detect and stop breaches.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Cloud Modules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Our cloud modules integrate seamlessly with the Falcon platform to provide functionality in the endpoint security, security and IT operations (including vulnerability management), and threat intelligence markets. Today, our cloud modules include: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Security</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Falcon Cloud Workload Protection—Cloud Runtime Protection. </w:t>
      </w:r>
      <w:r>
        <w:rPr>
          <w:rFonts w:ascii="Arial" w:cs="Arial" w:eastAsia="Arial" w:hAnsi="Arial"/>
          <w:sz w:val="18"/>
          <w:szCs w:val="18"/>
          <w:color w:val="auto"/>
        </w:rPr>
        <w:t>Falcon Cloud Workload Protection provides comprehensive breach protection at run-time for workloads and containers as well as detecting vulnerabilities before services and images are deployed. Falcon Cloud Workload Protection reduces the attack surface by automatically detecting vulnerabilities, hidden malware, secrets, keys, and more, enabling customers to build, run, and deploy secure applications with speed and confidence.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i w:val="1"/>
          <w:iCs w:val="1"/>
          <w:color w:val="auto"/>
        </w:rPr>
        <w:t xml:space="preserve">Falcon Horizon—Cloud Security Posture Management. </w:t>
      </w:r>
      <w:r>
        <w:rPr>
          <w:rFonts w:ascii="Arial" w:cs="Arial" w:eastAsia="Arial" w:hAnsi="Arial"/>
          <w:sz w:val="17"/>
          <w:szCs w:val="17"/>
          <w:color w:val="auto"/>
        </w:rPr>
        <w:t>Falcon Horizon delivers unified visibility, threat detection and continuous monitoring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for multi-cloud environments. Falcon Horizon automates the process to detect cloud related misconfigurations, vulnerabilities, and identity-based risks, providing step-by-step remediation and giving developers guardrails to avoid costly mistakes.</w:t>
      </w:r>
    </w:p>
    <w:p>
      <w:pPr>
        <w:spacing w:after="0" w:line="16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i w:val="1"/>
          <w:iCs w:val="1"/>
          <w:color w:val="auto"/>
        </w:rPr>
        <w:t xml:space="preserve">Discover for Cloud and Containers—Cloud Service Discovery. </w:t>
      </w:r>
      <w:r>
        <w:rPr>
          <w:rFonts w:ascii="Arial" w:cs="Arial" w:eastAsia="Arial" w:hAnsi="Arial"/>
          <w:sz w:val="16"/>
          <w:szCs w:val="16"/>
          <w:color w:val="auto"/>
        </w:rPr>
        <w:t>Discover for Cloud and Containers delivers comprehensive visibility of cloud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configurations, workloads and containers across multi-cloud environments so customers can mitigate risks and reduce the attack surface.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Endpoint Security</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i w:val="1"/>
          <w:iCs w:val="1"/>
          <w:color w:val="auto"/>
        </w:rPr>
        <w:t>Falcon Prevent—Next-Generation Antivirus</w:t>
      </w:r>
      <w:r>
        <w:rPr>
          <w:rFonts w:ascii="Arial" w:cs="Arial" w:eastAsia="Arial" w:hAnsi="Arial"/>
          <w:sz w:val="18"/>
          <w:szCs w:val="18"/>
          <w:color w:val="auto"/>
        </w:rPr>
        <w:t>. Falcon Prevent provides next-generation antivirus capabilities to customers, delivering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to defend customers against both malware and fileless attacks.</w:t>
      </w:r>
    </w:p>
    <w:p>
      <w:pPr>
        <w:spacing w:after="0" w:line="170" w:lineRule="exact"/>
        <w:rPr>
          <w:sz w:val="20"/>
          <w:szCs w:val="20"/>
          <w:color w:val="auto"/>
        </w:rPr>
      </w:pPr>
    </w:p>
    <w:p>
      <w:pPr>
        <w:ind w:right="1100" w:firstLine="324"/>
        <w:spacing w:after="0" w:line="277" w:lineRule="auto"/>
        <w:rPr>
          <w:sz w:val="20"/>
          <w:szCs w:val="20"/>
          <w:color w:val="auto"/>
        </w:rPr>
      </w:pPr>
      <w:r>
        <w:rPr>
          <w:rFonts w:ascii="Arial" w:cs="Arial" w:eastAsia="Arial" w:hAnsi="Arial"/>
          <w:sz w:val="18"/>
          <w:szCs w:val="18"/>
          <w:i w:val="1"/>
          <w:iCs w:val="1"/>
          <w:color w:val="auto"/>
        </w:rPr>
        <w:t xml:space="preserve">Falcon Insight—Endpoint Detection and Response. </w:t>
      </w:r>
      <w:r>
        <w:rPr>
          <w:rFonts w:ascii="Arial" w:cs="Arial" w:eastAsia="Arial" w:hAnsi="Arial"/>
          <w:sz w:val="18"/>
          <w:szCs w:val="18"/>
          <w:color w:val="auto"/>
        </w:rPr>
        <w:t>Falcon Insight provides EDR capabilities to customers, allowing for continuous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visibility to notify our customers what is happening on their endpoints in real time.</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Falcon Device Control—Device Control. </w:t>
      </w:r>
      <w:r>
        <w:rPr>
          <w:rFonts w:ascii="Arial" w:cs="Arial" w:eastAsia="Arial" w:hAnsi="Arial"/>
          <w:sz w:val="18"/>
          <w:szCs w:val="18"/>
          <w:color w:val="auto"/>
        </w:rPr>
        <w:t>Falcon Device Control provides administrators with a high degree of visibility and granular control of USB</w:t>
      </w:r>
      <w:r>
        <w:rPr>
          <w:rFonts w:ascii="Arial" w:cs="Arial" w:eastAsia="Arial" w:hAnsi="Arial"/>
          <w:sz w:val="18"/>
          <w:szCs w:val="18"/>
          <w:i w:val="1"/>
          <w:iCs w:val="1"/>
          <w:color w:val="auto"/>
        </w:rPr>
        <w:t xml:space="preserve"> </w:t>
      </w:r>
      <w:r>
        <w:rPr>
          <w:rFonts w:ascii="Arial" w:cs="Arial" w:eastAsia="Arial" w:hAnsi="Arial"/>
          <w:sz w:val="18"/>
          <w:szCs w:val="18"/>
          <w:color w:val="auto"/>
        </w:rPr>
        <w:t>peripheral devices.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Falcon Firewall Management—Host Firewall Management. </w:t>
      </w:r>
      <w:r>
        <w:rPr>
          <w:rFonts w:ascii="Arial" w:cs="Arial" w:eastAsia="Arial" w:hAnsi="Arial"/>
          <w:sz w:val="18"/>
          <w:szCs w:val="18"/>
          <w:color w:val="auto"/>
        </w:rPr>
        <w:t>Falcon Firewall Management provides centralized management of the firewall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native to the host operating system, allowing customers to create, enforce, and maintain host firewall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IT Operations</w:t>
      </w:r>
    </w:p>
    <w:p>
      <w:pPr>
        <w:spacing w:after="0" w:line="225" w:lineRule="exact"/>
        <w:rPr>
          <w:sz w:val="20"/>
          <w:szCs w:val="20"/>
          <w:color w:val="auto"/>
        </w:rPr>
      </w:pPr>
    </w:p>
    <w:p>
      <w:pPr>
        <w:jc w:val="both"/>
        <w:ind w:right="600" w:firstLine="324"/>
        <w:spacing w:after="0" w:line="263" w:lineRule="auto"/>
        <w:rPr>
          <w:sz w:val="20"/>
          <w:szCs w:val="20"/>
          <w:color w:val="auto"/>
        </w:rPr>
      </w:pPr>
      <w:r>
        <w:rPr>
          <w:rFonts w:ascii="Arial" w:cs="Arial" w:eastAsia="Arial" w:hAnsi="Arial"/>
          <w:sz w:val="18"/>
          <w:szCs w:val="18"/>
          <w:i w:val="1"/>
          <w:iCs w:val="1"/>
          <w:color w:val="auto"/>
        </w:rPr>
        <w:t xml:space="preserve">Falcon Discover—IT Hygiene. </w:t>
      </w:r>
      <w:r>
        <w:rPr>
          <w:rFonts w:ascii="Arial" w:cs="Arial" w:eastAsia="Arial" w:hAnsi="Arial"/>
          <w:sz w:val="18"/>
          <w:szCs w:val="18"/>
          <w:color w:val="auto"/>
        </w:rPr>
        <w:t>Falcon Discover identifies rogue systems and applications in our customers’ networks, and monitors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privileged user accounts anywhere in a customer’s environments. The module also enables use cases outside of security, such as application license management, AWS spend analysis, and asset inventory.</w:t>
      </w:r>
    </w:p>
    <w:p>
      <w:pPr>
        <w:spacing w:after="0" w:line="184"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i w:val="1"/>
          <w:iCs w:val="1"/>
          <w:color w:val="auto"/>
        </w:rPr>
        <w:t xml:space="preserve">Falcon Spotlight—Vulnerability Management. </w:t>
      </w:r>
      <w:r>
        <w:rPr>
          <w:rFonts w:ascii="Arial" w:cs="Arial" w:eastAsia="Arial" w:hAnsi="Arial"/>
          <w:sz w:val="17"/>
          <w:szCs w:val="17"/>
          <w:color w:val="auto"/>
        </w:rPr>
        <w:t>Falcon Spotlight identifies vulnerabilities in real time that exist across our customer endpoints. The</w:t>
      </w:r>
      <w:r>
        <w:rPr>
          <w:rFonts w:ascii="Arial" w:cs="Arial" w:eastAsia="Arial" w:hAnsi="Arial"/>
          <w:sz w:val="17"/>
          <w:szCs w:val="17"/>
          <w:i w:val="1"/>
          <w:iCs w:val="1"/>
          <w:color w:val="auto"/>
        </w:rPr>
        <w:t xml:space="preserve"> </w:t>
      </w:r>
      <w:r>
        <w:rPr>
          <w:rFonts w:ascii="Arial" w:cs="Arial" w:eastAsia="Arial" w:hAnsi="Arial"/>
          <w:sz w:val="17"/>
          <w:szCs w:val="17"/>
          <w:color w:val="auto"/>
        </w:rPr>
        <w:t>module does not depend on scanning systems for vulnerabilities, a process that can often take days or weeks for an enterprise, and instead leverages data already collected by our agent to provide instant and accurate real-time visibility into an enterprise’s vulnerability exposure.</w:t>
      </w:r>
    </w:p>
    <w:p>
      <w:pPr>
        <w:spacing w:after="0" w:line="16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i w:val="1"/>
          <w:iCs w:val="1"/>
          <w:color w:val="auto"/>
        </w:rPr>
        <w:t xml:space="preserve">Falcon Forensics—Forensic Data for Analysis of Cybersecurity Incidents. </w:t>
      </w:r>
      <w:r>
        <w:rPr>
          <w:rFonts w:ascii="Arial" w:cs="Arial" w:eastAsia="Arial" w:hAnsi="Arial"/>
          <w:sz w:val="18"/>
          <w:szCs w:val="18"/>
          <w:color w:val="auto"/>
        </w:rPr>
        <w:t>Falcon Forensics streamlines the collection of point-in-time and historic</w:t>
      </w:r>
      <w:r>
        <w:rPr>
          <w:rFonts w:ascii="Arial" w:cs="Arial" w:eastAsia="Arial" w:hAnsi="Arial"/>
          <w:sz w:val="18"/>
          <w:szCs w:val="18"/>
          <w:i w:val="1"/>
          <w:iCs w:val="1"/>
          <w:color w:val="auto"/>
        </w:rPr>
        <w:t xml:space="preserve"> </w:t>
      </w:r>
      <w:r>
        <w:rPr>
          <w:rFonts w:ascii="Arial" w:cs="Arial" w:eastAsia="Arial" w:hAnsi="Arial"/>
          <w:sz w:val="18"/>
          <w:szCs w:val="18"/>
          <w:color w:val="auto"/>
        </w:rPr>
        <w:t>forensic triage data for robust analysis of cybersecurity incidents, enabling responders to quickly identify relevant data with preset dashboards and rapidly investigate.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Managed Services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Falcon Complete—Turnkey Security Solution. </w:t>
      </w:r>
      <w:r>
        <w:rPr>
          <w:rFonts w:ascii="Arial" w:cs="Arial" w:eastAsia="Arial" w:hAnsi="Arial"/>
          <w:sz w:val="18"/>
          <w:szCs w:val="18"/>
          <w:color w:val="auto"/>
        </w:rPr>
        <w:t>Falcon Complete provides comprehensive monitoring, management, response, and remediation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customers and is designed to bring enterprise level security to companies that may lack enterprise level resources. It is backed by an underwritten limited warranty policy for breaches.</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i w:val="1"/>
          <w:iCs w:val="1"/>
          <w:color w:val="auto"/>
        </w:rPr>
        <w:t xml:space="preserve">Falcon OverWatch—Threat Hunting. </w:t>
      </w:r>
      <w:r>
        <w:rPr>
          <w:rFonts w:ascii="Arial" w:cs="Arial" w:eastAsia="Arial" w:hAnsi="Arial"/>
          <w:sz w:val="18"/>
          <w:szCs w:val="18"/>
          <w:color w:val="auto"/>
        </w:rPr>
        <w:t>Falcon OverWatch is a threat hunting solution that consists of an elite team of dedicated security experts who</w:t>
      </w:r>
      <w:r>
        <w:rPr>
          <w:rFonts w:ascii="Arial" w:cs="Arial" w:eastAsia="Arial" w:hAnsi="Arial"/>
          <w:sz w:val="18"/>
          <w:szCs w:val="18"/>
          <w:i w:val="1"/>
          <w:iCs w:val="1"/>
          <w:color w:val="auto"/>
        </w:rPr>
        <w:t xml:space="preserve"> </w:t>
      </w:r>
      <w:r>
        <w:rPr>
          <w:rFonts w:ascii="Arial" w:cs="Arial" w:eastAsia="Arial" w:hAnsi="Arial"/>
          <w:sz w:val="18"/>
          <w:szCs w:val="18"/>
          <w:color w:val="auto"/>
        </w:rPr>
        <w:t>work with the power of Threat Graph to proactively identify threats for our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Threat Intelligence</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Falcon X—Threat Intelligence. </w:t>
      </w:r>
      <w:r>
        <w:rPr>
          <w:rFonts w:ascii="Arial" w:cs="Arial" w:eastAsia="Arial" w:hAnsi="Arial"/>
          <w:sz w:val="18"/>
          <w:szCs w:val="18"/>
          <w:color w:val="auto"/>
        </w:rPr>
        <w:t>Falcon X integrates threat intelligence into endpoint protection and provides automated analysis of detected threats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insight into the capabilities, motivation and attribution of attacks. In addition to the standard Falcon X offering, we also offer premium options that include global threat research and reporting from our team of intelligence analysts.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 xml:space="preserve">Falcon Search Engine—Malware Search. </w:t>
      </w:r>
      <w:r>
        <w:rPr>
          <w:rFonts w:ascii="Arial" w:cs="Arial" w:eastAsia="Arial" w:hAnsi="Arial"/>
          <w:sz w:val="18"/>
          <w:szCs w:val="18"/>
          <w:color w:val="auto"/>
        </w:rPr>
        <w:t>Falcon Search Engine enables customers to search in real time across approximately 2.8 petabytes of</w:t>
      </w:r>
      <w:r>
        <w:rPr>
          <w:rFonts w:ascii="Arial" w:cs="Arial" w:eastAsia="Arial" w:hAnsi="Arial"/>
          <w:sz w:val="18"/>
          <w:szCs w:val="18"/>
          <w:i w:val="1"/>
          <w:iCs w:val="1"/>
          <w:color w:val="auto"/>
        </w:rPr>
        <w:t xml:space="preserve"> </w:t>
      </w:r>
      <w:r>
        <w:rPr>
          <w:rFonts w:ascii="Arial" w:cs="Arial" w:eastAsia="Arial" w:hAnsi="Arial"/>
          <w:sz w:val="18"/>
          <w:szCs w:val="18"/>
          <w:color w:val="auto"/>
        </w:rPr>
        <w:t>malware collected in our Falcon platform and indexed by our proprietary binary data indexing technology.</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Falcon Sandbox—Malware Analysis. </w:t>
      </w:r>
      <w:r>
        <w:rPr>
          <w:rFonts w:ascii="Arial" w:cs="Arial" w:eastAsia="Arial" w:hAnsi="Arial"/>
          <w:sz w:val="18"/>
          <w:szCs w:val="18"/>
          <w:color w:val="auto"/>
        </w:rPr>
        <w:t>Falcon Sandbox allows our customers to analyze unknown files for malicious behavior by detonating them safely</w:t>
      </w:r>
      <w:r>
        <w:rPr>
          <w:rFonts w:ascii="Arial" w:cs="Arial" w:eastAsia="Arial" w:hAnsi="Arial"/>
          <w:sz w:val="18"/>
          <w:szCs w:val="18"/>
          <w:i w:val="1"/>
          <w:iCs w:val="1"/>
          <w:color w:val="auto"/>
        </w:rPr>
        <w:t xml:space="preserve"> </w:t>
      </w:r>
      <w:r>
        <w:rPr>
          <w:rFonts w:ascii="Arial" w:cs="Arial" w:eastAsia="Arial" w:hAnsi="Arial"/>
          <w:sz w:val="18"/>
          <w:szCs w:val="18"/>
          <w:color w:val="auto"/>
        </w:rPr>
        <w:t>in virtual machines.</w:t>
      </w:r>
    </w:p>
    <w:p>
      <w:pPr>
        <w:spacing w:after="0" w:line="170"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i w:val="1"/>
          <w:iCs w:val="1"/>
          <w:color w:val="auto"/>
        </w:rPr>
        <w:t>Falcon X Recon—Situational Awareness</w:t>
      </w:r>
      <w:r>
        <w:rPr>
          <w:rFonts w:ascii="Arial" w:cs="Arial" w:eastAsia="Arial" w:hAnsi="Arial"/>
          <w:sz w:val="17"/>
          <w:szCs w:val="17"/>
          <w:color w:val="auto"/>
        </w:rPr>
        <w:t>. Falcon X Recon allows our customers to identify and mitigate digital risks on the hidden areas of the clear,</w:t>
      </w:r>
      <w:r>
        <w:rPr>
          <w:rFonts w:ascii="Arial" w:cs="Arial" w:eastAsia="Arial" w:hAnsi="Arial"/>
          <w:sz w:val="17"/>
          <w:szCs w:val="17"/>
          <w:i w:val="1"/>
          <w:iCs w:val="1"/>
          <w:color w:val="auto"/>
        </w:rPr>
        <w:t xml:space="preserve"> </w:t>
      </w:r>
      <w:r>
        <w:rPr>
          <w:rFonts w:ascii="Arial" w:cs="Arial" w:eastAsia="Arial" w:hAnsi="Arial"/>
          <w:sz w:val="17"/>
          <w:szCs w:val="17"/>
          <w:color w:val="auto"/>
        </w:rPr>
        <w:t>deep and dark web. These risks include digital fraud, data theft exposure, social media impersonations, and much more.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Identity Protection</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 xml:space="preserve">Falcon Zero Trust—Zero Trust Security. </w:t>
      </w:r>
      <w:r>
        <w:rPr>
          <w:rFonts w:ascii="Arial" w:cs="Arial" w:eastAsia="Arial" w:hAnsi="Arial"/>
          <w:sz w:val="18"/>
          <w:szCs w:val="18"/>
          <w:color w:val="auto"/>
        </w:rPr>
        <w:t>Frictionless Zero Trust security with real-time threat prevention and IT policy enforcement using identity,</w:t>
      </w:r>
      <w:r>
        <w:rPr>
          <w:rFonts w:ascii="Arial" w:cs="Arial" w:eastAsia="Arial" w:hAnsi="Arial"/>
          <w:sz w:val="18"/>
          <w:szCs w:val="18"/>
          <w:i w:val="1"/>
          <w:iCs w:val="1"/>
          <w:color w:val="auto"/>
        </w:rPr>
        <w:t xml:space="preserve"> </w:t>
      </w:r>
      <w:r>
        <w:rPr>
          <w:rFonts w:ascii="Arial" w:cs="Arial" w:eastAsia="Arial" w:hAnsi="Arial"/>
          <w:sz w:val="18"/>
          <w:szCs w:val="18"/>
          <w:color w:val="auto"/>
        </w:rPr>
        <w:t>behavioral and risk analytics.</w:t>
      </w:r>
    </w:p>
    <w:p>
      <w:pPr>
        <w:spacing w:after="0" w:line="17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i w:val="1"/>
          <w:iCs w:val="1"/>
          <w:color w:val="auto"/>
        </w:rPr>
        <w:t xml:space="preserve">Falcon Identity Threat Detection—Identity Threat Detection. </w:t>
      </w:r>
      <w:r>
        <w:rPr>
          <w:rFonts w:ascii="Arial" w:cs="Arial" w:eastAsia="Arial" w:hAnsi="Arial"/>
          <w:sz w:val="18"/>
          <w:szCs w:val="18"/>
          <w:color w:val="auto"/>
        </w:rPr>
        <w:t>Visibility for identity-based attacks and anomalies, comparing live traffic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behavior baselines and rules to detect attacks and lateral movement.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 Management</w:t>
      </w:r>
    </w:p>
    <w:p>
      <w:pPr>
        <w:spacing w:after="0" w:line="26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 xml:space="preserve">Humio—Log Management. </w:t>
      </w:r>
      <w:r>
        <w:rPr>
          <w:rFonts w:ascii="Arial" w:cs="Arial" w:eastAsia="Arial" w:hAnsi="Arial"/>
          <w:sz w:val="18"/>
          <w:szCs w:val="18"/>
          <w:color w:val="auto"/>
        </w:rPr>
        <w:t>Humio is a high-performance, index-free cloud log management solution that allows customers to collect logs from any</w:t>
      </w:r>
      <w:r>
        <w:rPr>
          <w:rFonts w:ascii="Arial" w:cs="Arial" w:eastAsia="Arial" w:hAnsi="Arial"/>
          <w:sz w:val="18"/>
          <w:szCs w:val="18"/>
          <w:i w:val="1"/>
          <w:iCs w:val="1"/>
          <w:color w:val="auto"/>
        </w:rPr>
        <w:t xml:space="preserve"> </w:t>
      </w:r>
      <w:r>
        <w:rPr>
          <w:rFonts w:ascii="Arial" w:cs="Arial" w:eastAsia="Arial" w:hAnsi="Arial"/>
          <w:sz w:val="18"/>
          <w:szCs w:val="18"/>
          <w:color w:val="auto"/>
        </w:rPr>
        <w:t>data source and to search and query streaming data in real-time.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have designed an innovative architecture from the ground up to overcome the limitations of existing security products and deliver cloud-based solutions. The key design principles of our Falcon platform include:</w:t>
      </w:r>
    </w:p>
    <w:p>
      <w:pPr>
        <w:spacing w:after="0" w:line="170"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i w:val="1"/>
          <w:iCs w:val="1"/>
          <w:color w:val="auto"/>
        </w:rPr>
        <w:t xml:space="preserve">Cloud Native Architecture. </w:t>
      </w:r>
      <w:r>
        <w:rPr>
          <w:rFonts w:ascii="Arial" w:cs="Arial" w:eastAsia="Arial" w:hAnsi="Arial"/>
          <w:sz w:val="16"/>
          <w:szCs w:val="16"/>
          <w:color w:val="auto"/>
        </w:rPr>
        <w:t>We built the Falcon platform entirely in and for the cloud, enabling collection and analysis of a massive, crowdsourced</w:t>
      </w:r>
      <w:r>
        <w:rPr>
          <w:rFonts w:ascii="Arial" w:cs="Arial" w:eastAsia="Arial" w:hAnsi="Arial"/>
          <w:sz w:val="16"/>
          <w:szCs w:val="16"/>
          <w:i w:val="1"/>
          <w:iCs w:val="1"/>
          <w:color w:val="auto"/>
        </w:rPr>
        <w:t xml:space="preserve"> </w:t>
      </w:r>
      <w:r>
        <w:rPr>
          <w:rFonts w:ascii="Arial" w:cs="Arial" w:eastAsia="Arial" w:hAnsi="Arial"/>
          <w:sz w:val="16"/>
          <w:szCs w:val="16"/>
          <w:color w:val="auto"/>
        </w:rPr>
        <w:t>dataset from all of our customers to stop breaches. Our platform is designed to be redundant, resilient, and high 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15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i w:val="1"/>
          <w:iCs w:val="1"/>
          <w:color w:val="auto"/>
        </w:rPr>
        <w:t xml:space="preserve">Falcon Agent. </w:t>
      </w:r>
      <w:r>
        <w:rPr>
          <w:rFonts w:ascii="Arial" w:cs="Arial" w:eastAsia="Arial" w:hAnsi="Arial"/>
          <w:sz w:val="17"/>
          <w:szCs w:val="17"/>
          <w:color w:val="auto"/>
        </w:rPr>
        <w:t>We designed an intelligent lightweight agent that is installed on each endpoint or cloud workload. These agents incorporate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identification and prevention of known malware, machine learning for unknown malware, exploit blocking and advanced behavioral techniques, to protect workloads across all endpoints while capturing and recording high fidelity endpoint data. Our agents continue to protect workloads running on endpoints even when offline. The agent recommences transmitting data to our Falcon platform when the connection to the cloud has been re-established. Our lightweight agent is built to support Windows, Mac and Linux operating systems. The agent is hardened against attacks and uses a combination of kernel and user-mode modules to collect high fidelity endpoint events as they take place on a system. It correlates these events with a local situational model on the endpoint, analyzes via agent-based machine learning models and is capable of taking a variety of preventative and responsive actions on the endpoint, either automatically or via human control. Events are streamed by the agent to the cloud in real time in order to be further analyzed in the Threat Graph, where additional correlation and AI algorithms can be applied. The agent is also capable of being remotely reconfigured in real time based on analytics in our cloud platform in order to collect and analyze different events or take other actions.</w:t>
      </w:r>
    </w:p>
    <w:p>
      <w:pPr>
        <w:spacing w:after="0" w:line="1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Threat Graph. </w:t>
      </w:r>
      <w:r>
        <w:rPr>
          <w:rFonts w:ascii="Arial" w:cs="Arial" w:eastAsia="Arial" w:hAnsi="Arial"/>
          <w:sz w:val="17"/>
          <w:szCs w:val="17"/>
          <w:color w:val="auto"/>
        </w:rPr>
        <w:t>Threat Graph is a proprietary, powerful, and dynamic graph database. Threat Graph continually looks for malicious activity by</w:t>
      </w:r>
      <w:r>
        <w:rPr>
          <w:rFonts w:ascii="Arial" w:cs="Arial" w:eastAsia="Arial" w:hAnsi="Arial"/>
          <w:sz w:val="17"/>
          <w:szCs w:val="17"/>
          <w:i w:val="1"/>
          <w:iCs w:val="1"/>
          <w:color w:val="auto"/>
        </w:rPr>
        <w:t xml:space="preserve"> </w:t>
      </w:r>
      <w:r>
        <w:rPr>
          <w:rFonts w:ascii="Arial" w:cs="Arial" w:eastAsia="Arial" w:hAnsi="Arial"/>
          <w:sz w:val="17"/>
          <w:szCs w:val="17"/>
          <w:color w:val="auto"/>
        </w:rPr>
        <w:t>combining AI with behavioral pattern-matching techniques to look beyond file features and track the behaviors of every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The graph data model allows the AI algorithms to identify relationships between events that are not directly related but which could indicate an attack that would otherwise remain undetected. We believe that our AI algorithms are advantaged by the rich proprietary dataset that we use to</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train them. Threat Graph provides customers with complete real time and historical visibility and insight into events occurring on their endpoints for hunting and searching.</w:t>
      </w:r>
    </w:p>
    <w:p>
      <w:pPr>
        <w:spacing w:after="0" w:line="17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Threat Graph also provides query and hunting capability over the full set of high 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High Fidelity Data and Smart Filtering. </w:t>
      </w:r>
      <w:r>
        <w:rPr>
          <w:rFonts w:ascii="Arial" w:cs="Arial" w:eastAsia="Arial" w:hAnsi="Arial"/>
          <w:sz w:val="16"/>
          <w:szCs w:val="16"/>
          <w:color w:val="auto"/>
        </w:rPr>
        <w:t>Absent an intelligent agent, a typical endpoint generates approximately 100 gigabytes of unfiltered system</w:t>
      </w:r>
      <w:r>
        <w:rPr>
          <w:rFonts w:ascii="Arial" w:cs="Arial" w:eastAsia="Arial" w:hAnsi="Arial"/>
          <w:sz w:val="16"/>
          <w:szCs w:val="16"/>
          <w:i w:val="1"/>
          <w:iCs w:val="1"/>
          <w:color w:val="auto"/>
        </w:rPr>
        <w:t xml:space="preserve"> </w:t>
      </w:r>
      <w:r>
        <w:rPr>
          <w:rFonts w:ascii="Arial" w:cs="Arial" w:eastAsia="Arial" w:hAnsi="Arial"/>
          <w:sz w:val="16"/>
          <w:szCs w:val="16"/>
          <w:color w:val="auto"/>
        </w:rPr>
        <w:t>event data per day. After this data is compressed, or data shaped, a typical enterprise organization with 100,000 endpoints would generate over one petabyte of endpoint events daily. The presence of a local graph model in our agent enables it to track the state of the machine in real time, perform rapid machine learning and behavioral analysis, and provide efficient event streaming to the cloud. We call this “smart filtering.” This allows us to keep performance overhead on the endpoint to a minimum, dramatically reduce the bandwidth required for agent-cloud communication, efficiently process large volumes of data, and separate the signal from the noise. The Falcon agent collects and analyzes unfiltered data with local machine learning and behavioral algorithms on the endpoint but only streams high fidelity endpoint events to the cloud to only send what is necessary for detection, prevention and investigation of attacks. This smart filtering architecture allows us to reduce network load for customers to approximately five megabytes per endpoint per day.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16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i w:val="1"/>
          <w:iCs w:val="1"/>
          <w:color w:val="auto"/>
        </w:rPr>
        <w:t xml:space="preserve">Management Interface. </w:t>
      </w:r>
      <w:r>
        <w:rPr>
          <w:rFonts w:ascii="Arial" w:cs="Arial" w:eastAsia="Arial" w:hAnsi="Arial"/>
          <w:sz w:val="17"/>
          <w:szCs w:val="17"/>
          <w:color w:val="auto"/>
        </w:rPr>
        <w:t>The Falcon platform management interface gives customers an intuitive and informative view of their complete environment,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 timely alerts and detailed search capabilities. We provide real-time endpoint and cloud workload visibility to allow customers to review details and respond to threats instantly and effectively, from anywhere, and maintain an index of these events for future use.</w:t>
      </w:r>
    </w:p>
    <w:p>
      <w:pPr>
        <w:spacing w:after="0" w:line="16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APIs and Integrations. </w:t>
      </w:r>
      <w:r>
        <w:rPr>
          <w:rFonts w:ascii="Arial" w:cs="Arial" w:eastAsia="Arial" w:hAnsi="Arial"/>
          <w:sz w:val="18"/>
          <w:szCs w:val="18"/>
          <w:color w:val="auto"/>
        </w:rPr>
        <w:t>Our Falcon platform and architecture is built around a rich set of APIs that efficiently and effectively complement and expand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existing security infrastructure, such as security information event management, or SIEMs, and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Center Operations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have data center co-location facilities throughout the United States and in Europe, and we also utilize AWS data centers located in the United States and Europe. Our technology infrastructure, combined with select use of AWS resources, provides us with a distributed and scalable architecture on a global scale.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29"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In addition to our Falcon platform and cloud modules, we also offer incident response and forensic investigatory services, technical assessment and strategic advisory services, as well as training to assist organizations that have experienced a breach or are assessing their security posture and ability to respond to breaches.</w:t>
      </w:r>
    </w:p>
    <w:p>
      <w:pPr>
        <w:spacing w:after="0" w:line="184" w:lineRule="exact"/>
        <w:rPr>
          <w:sz w:val="20"/>
          <w:szCs w:val="20"/>
          <w:color w:val="auto"/>
        </w:rPr>
      </w:pPr>
    </w:p>
    <w:p>
      <w:pPr>
        <w:ind w:left="660" w:right="220" w:hanging="328"/>
        <w:spacing w:after="0" w:line="272" w:lineRule="auto"/>
        <w:tabs>
          <w:tab w:leader="none" w:pos="655"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Incident Response/ Forensics Services. </w:t>
      </w:r>
      <w:r>
        <w:rPr>
          <w:rFonts w:ascii="Arial" w:cs="Arial" w:eastAsia="Arial" w:hAnsi="Arial"/>
          <w:sz w:val="17"/>
          <w:szCs w:val="17"/>
          <w:color w:val="auto"/>
        </w:rPr>
        <w:t>Our incident response services typically begin by deploying our lightweight agent to a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endpoints to provide comprehensive visibility and determine if an attacker is currently in the environment, what assets have been compromised, and how much damage has been done. We also provide customized remediation planning by providing a strategy to eject attackers out of the network, lock down credentials from further use, and ensure adversaries stay out. In addition to providing valuable breach remediation to our customers, our incident response services also act as a strong lead generation engine for our Falcon platform and cloud modules. After experiencing the benefits of our platform firsthand, many of our incident response customers become subscription customers. Among organizations who first became a customer after February 1, 2019, for each $1.00 spent by those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customers on their initial engagement for our incident response or proactive services, as of January 31, 2021, we derived an average of $5.51 in ARR from those subscription contracts.</w:t>
      </w:r>
    </w:p>
    <w:p>
      <w:pPr>
        <w:spacing w:after="0" w:line="170" w:lineRule="exact"/>
        <w:rPr>
          <w:sz w:val="20"/>
          <w:szCs w:val="20"/>
          <w:color w:val="auto"/>
        </w:rPr>
      </w:pPr>
    </w:p>
    <w:p>
      <w:pPr>
        <w:ind w:left="660" w:hanging="328"/>
        <w:spacing w:after="0" w:line="293" w:lineRule="auto"/>
        <w:tabs>
          <w:tab w:leader="none" w:pos="655"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Technical Assessment and Strategic Advisory Services. </w:t>
      </w:r>
      <w:r>
        <w:rPr>
          <w:rFonts w:ascii="Arial" w:cs="Arial" w:eastAsia="Arial" w:hAnsi="Arial"/>
          <w:sz w:val="16"/>
          <w:szCs w:val="16"/>
          <w:color w:val="auto"/>
        </w:rPr>
        <w:t>Our proactive security services include technical assessment services designed to help</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understand their cyber maturity levels. These services include cybersecurity maturity assessments, security program in-depth assessments, service organization control assessments, cloud security assessments, IT hygiene assessments and active directory security assessments. We also advise customers on readiness and preparation through the execution of table-top exercises, live fire exercises, red team/blue team assessments and advanced adversary emulation exercises. These services are designed to evaluate our customers’ security profile so they can identify areas of vulnerability, secure their network and improve their response if their defenses are breached.</w:t>
      </w:r>
    </w:p>
    <w:p>
      <w:pPr>
        <w:spacing w:after="0" w:line="164" w:lineRule="exact"/>
        <w:rPr>
          <w:rFonts w:ascii="Arial" w:cs="Arial" w:eastAsia="Arial" w:hAnsi="Arial"/>
          <w:sz w:val="16"/>
          <w:szCs w:val="16"/>
          <w:i w:val="1"/>
          <w:iCs w:val="1"/>
          <w:color w:val="auto"/>
        </w:rPr>
      </w:pPr>
    </w:p>
    <w:p>
      <w:pPr>
        <w:ind w:left="660" w:right="80" w:hanging="328"/>
        <w:spacing w:after="0" w:line="255"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Training. </w:t>
      </w:r>
      <w:r>
        <w:rPr>
          <w:rFonts w:ascii="Arial" w:cs="Arial" w:eastAsia="Arial" w:hAnsi="Arial"/>
          <w:sz w:val="18"/>
          <w:szCs w:val="18"/>
          <w:color w:val="auto"/>
        </w:rPr>
        <w:t>We offer training and certification services to customers and partners on CrowdStrike technologies and cybersecurity topics to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the adoption of CrowdStrike and to broaden and deepen their skills. CrowdStrike University is an online learning management system that organizes all CrowdStrike e-learning, instructor-led training and certification in one place, providing a personalized learning experience for individuals who have an active training subscription. Beginning the first quarter of fiscal year 2022 CrowdStrike University plans to offer proctored exam certifications through industry leading training partner Pearson Vue for its Falcon Administration, Incident Response, and Threat Hunting training programs.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Some of the world’s largest enterprises, government organizations, and high profile brands trust us to protect their business. As of January 31, 2021, we had 9,896 subscription customers worldwide.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Insight, and we intend to continue to develop new cloud modules based on our customer’s feedback. Our business is not dependent on any particular end customer.</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Our sales and marketing organizations work together closely to drive market awareness, build a strong sales pipeline and cultivate customer relationships to drive revenue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primarily sell subscriptions to our Falcon platform and cloud modules through our direct sales team, which is comprised of field sales and inside sales professionals who are segmented by a customer’s number of endpoints. Our sales team also leverages our network of channel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the cybersecurity threats, and identifying and naming adversary groups. We also engage in paid media, web marketing, industry and trade conferences (including our annual Fal.Con conference), analyst engagements, whitepaper development, demand generation via digital and web, and targeted displacement campaigns. We employ a wide range of digital programs, including search engine marketing, online and social media initiatives, and content syndication to increase traffic to our website and encourage new customers to sign up for a 15-day free trial of the Falcon platform. Additionally, we engage in joint marketing activities with our channel and technology alliance partners. In December 2017, we began to employ a trial-to-pay model in which we offer 15-day free trial access to Falcon Prevent to prospective customers directly from our website, a program that has continued to grow over time. In May 2018, we announced that Falcon Prevent was available for trial and purchase from the AWS Marketplace and have since</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expanded our modules available through the AWS Marketplace. In February 2019, we launched the CrowdStrike Store, a marketplace platform that enables customers access to third-party applications and add-on capabilities to extend the value of the Falcon platform. In 2020, we significantly expanded our technical and go-to-market alliances, including new partnerships with identity providers and business consulting firms in addition to launching new capabilities in the identity protection space.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Partnership Ecosystem</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work with a number of technology alliance partners to design go-to-market strategies that combine our platform with products 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We launched the CrowdStrike Store, the first open cloud-based application PaaS for cybersecurity and the industry’s first unified security cloud ecosystem of trusted third-party applications. In addition, we recently announced the launch of Falcon for Amazon Web Services (AWS). Available in the AWS Marketplace, Falcon for AWS allows customers to easily purchase and take advantage of the metered billing (pay-as-you-go) pricing option to scale their consumption as their business needs change.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Our research and development organization is responsible for the design, architecture, operation and quality of our cloud native Falcon platform. In addition, the research and development organization works closely with our customer success teams to ensure customer satisfaction is the top priority.</w:t>
      </w:r>
    </w:p>
    <w:p>
      <w:pPr>
        <w:spacing w:after="0" w:line="12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reports on emerging security issues. We invest substantial resources in research and development to enhance our Falcon platform, and develop new cloud modules, features and functionality. We believe timely development of new, and enhancement of our,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w:t>
      </w:r>
    </w:p>
    <w:p>
      <w:pPr>
        <w:spacing w:after="0" w:line="16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research and development leadership team is located in Seattle, Washington and Sunnyvale, California. We also maintain research and development centers in Irvine, California, and Israel. We employ subject matter experts in a number of jurisdictions around the world. We plan to continue to dedicate significant resources to research and development.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market for our services is intensely competitive and characterized by rapid changes in technology, customer requirements, and industry standards and by frequent new product and service offerings and improvements. We compete with an array of established and emerging security solution vendors. Conditions in our market could change rapidly and significantly as a result of technological advancements, partnerships, or acquisitions by our competitors or continuing market consolidation. With the introduction of new technologies and market entrants, we expect the competitive environment to remain intense. Our competitors include the following by general category:</w:t>
      </w:r>
    </w:p>
    <w:p>
      <w:pPr>
        <w:spacing w:after="0" w:line="122" w:lineRule="exact"/>
        <w:rPr>
          <w:sz w:val="20"/>
          <w:szCs w:val="20"/>
          <w:color w:val="auto"/>
        </w:rPr>
      </w:pPr>
    </w:p>
    <w:p>
      <w:pPr>
        <w:ind w:left="660" w:right="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legacy antivirus product providers, such as McAfee, LLC, Broadcom Inc.’s Symantec Enterprise division, and Microsoft Corporation, who offer a broad range of approaches and solutions with traditional antivirus and signature-based protection;</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VMware Carbon Black and SentinelOne, who offer point products based on malware-only or application whitelisting techniques; and</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on the basis of a number of factors, including but not limited to our:</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identify security threats and prevent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integrate with other participants in the security ecosystem;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 to value, price, and total cost of ownership;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 awareness, reputation, and trust in the provider’s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strength of sales, marketing, and channel partner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support, incident response, and proactive services.</w:t>
      </w:r>
    </w:p>
    <w:p>
      <w:pPr>
        <w:spacing w:after="0" w:line="225"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and workload security solutions.</w:t>
      </w:r>
    </w:p>
    <w:p>
      <w:pPr>
        <w:spacing w:after="0" w:line="28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18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As of January 31, 2021, we had 65 issued patents and 102 pending patent applications in the United States and other countries. Our issued patents expire between 2032 and 2039. These patents and patent applications seek to protect our proprietary inventions relevant to our business. 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Our Business—The success of our business depends in part on our ability to protect and enforce our intellectual property rights.”</w:t>
      </w:r>
    </w:p>
    <w:p>
      <w:pPr>
        <w:spacing w:after="0" w:line="16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consolidated financial statements, and are considered by us to be backlog. As of January 31, 2021, we had backlog of approximately $448.2 million. Of this amount, approximately $164.4 million is not reasonably expected to be billed in fiscal 2021.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100" w:firstLine="324"/>
        <w:spacing w:after="0" w:line="241" w:lineRule="auto"/>
        <w:rPr>
          <w:sz w:val="20"/>
          <w:szCs w:val="20"/>
          <w:color w:val="auto"/>
        </w:rPr>
      </w:pPr>
      <w:r>
        <w:rPr>
          <w:rFonts w:ascii="Arial" w:cs="Arial" w:eastAsia="Arial" w:hAnsi="Arial"/>
          <w:sz w:val="18"/>
          <w:szCs w:val="18"/>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of January 31, 2021, we had 3,394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Retention, and Talent Development</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Supporting our people is a foundational value for CrowdStrike. We believe the company’s success depends on our ability to attract, develop and retain key personnel. The skills, experience and industry knowledge of key employees significantly benefit our operations and performance.</w:t>
      </w:r>
    </w:p>
    <w:p>
      <w:pPr>
        <w:spacing w:after="0" w:line="146"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talent sourcing is aligned to our organizational strategy to provide the expertise and skills needed to move our mission forward. We have created a high performance talent model that pinpoints the top traits and qualities we look for in talent and that may already exist within the organization, then consistently use that model to develop interview questions, screen candidates, and make hiring decisions.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continue to market to and recruit technical talent in diverse communities by engaging as a high-level sponsor or partner of professional conferences and organizations such as Grace Hopper, Society of Women Engineers, Blavity Afrotech World, Hire Military, Black Girls Code, Thurgood Marshall College Foundation, and others.</w:t>
      </w:r>
    </w:p>
    <w:p>
      <w:pPr>
        <w:spacing w:after="0" w:line="18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To attract high performers, we have a team dedicated to building and promoting our employer brand focused on creating a strong employer value proposition:</w:t>
      </w:r>
    </w:p>
    <w:p>
      <w:pPr>
        <w:spacing w:after="0" w:line="11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pay and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Flexible working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Role and task diversity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development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Organizational reputation and culture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provide robust compensation and benefits programs to help meet the needs of our employees. In addition to base salary, these programs (which vary by country/region) include annual bonuses, equity awards, an employee stock purchase plan, a 401(k) plan, healthcare and insurance benefits, health savings and flexible spending accounts, paid time off, family leave, family care resources, flexible work schedules, adoption and surrogacy assistance, employee assistance programs, tuition assistance and on-site services such as health and fitness centers.</w:t>
      </w:r>
    </w:p>
    <w:p>
      <w:pPr>
        <w:spacing w:after="0" w:line="17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invest resources to develop the talent needed to remain a leader in cybersecurity. We deliver numerous training opportunities, provide rotational assignment opportunities, have expanded our focus on continuous learning and development, and implemented new methodologies to manage performance, provide feedback, and develop talent.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Remote-First Distributed Workforce</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For CrowdStrike, the ability to work remotely is a deliberate strategy that we believe fuels rapid innovation and attracts the best and brightest around the world. Our culture is purpose-built around a remote-first way of working, creating a competitive advantage for both the company and its customers and minimizing disruption from localized issues such as natural disasters, political events, or health emergencies like COVID-19.</w:t>
      </w:r>
    </w:p>
    <w:p>
      <w:pPr>
        <w:spacing w:after="0" w:line="16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CrowdStrike has had a distributed workforce since its inception. Before COVID-19, 70% of our workforce, including nearly all engineering and technology teams, worked on a remote basis. 100% of our workforce is remote in response to COVID-19 and we do not have immediate plans to return to physical offices.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Since the Company’s inception, we recognized that creating high-functioning, effective remote-first teams would require careful planning and system design to not only establish the culture but help it grow and evolve organically. We have designed our processes, systems, and teams so that people can perform their jobs without needing to be physically present in the same room or even in the same time zone. Part of supporting our remote-first culture also involves actively encouraging personal well-being through initiatives, including wellness programs, engagement programs (speaker series, employee resource groups, gift exchanges, mentorship opportunities, virtual events, etc.), community outreach activities, recognition programs, and groups to connect people, no matter where they are geographically, with similar interests, life circumstances or backgrounds.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 diverse, equitable, and inclusive culture fuels creative excellence and innovation, helping people achieve their best work. We continue to strive to advance our efforts to build an equitable workplace and formally establish it as part of CrowdStrike's mission and organization.</w:t>
      </w:r>
    </w:p>
    <w:p>
      <w:pPr>
        <w:spacing w:after="0" w:line="146"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We strive to create an environment where everyone feels seen, heard, and empowered to succeed. Through employee resource groups, internal development programs, allyship training, speaker series, and networking opportunities, we are empowered to come together to create a workplace that reflects the diverse communities around us.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Setting a diverse workforce up for success requires a commitment to the practices of inclusion in everything we do. What a practice of inclusion means to us is that we are creating an environment and providing tools that help our people understand how to actively involve every employee’s ideas, knowledge, perspectives, approaches, and styles and how to engage all of our people via a mindful approach to organizational design and experiences that feels accessible and relevant to everyone.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Resource Groups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Employee Resource Groups are an integral component of our commitment to foster community, promote a sense of belonging, facilitate organizational change, and drive a greater understanding of the diversity of perspectives we have across CrowdStrike. In addition to the Embracing Equity majority ally group, we have five official Employee Resource Groups and we are anticipate additional groups in the future:</w:t>
      </w:r>
    </w:p>
    <w:p>
      <w:pPr>
        <w:spacing w:after="0" w:line="13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Women of CrowdStrike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Veterans of CrowdStrike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Pride Team (LGBTQ)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Green Team (Sustainability)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Team BELIEVE (Black employees)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Our Employee Resource Groups are employee led, self-directed, voluntary groups that align with our organizational mission, values, and goals that offer opportunities for groups to network, recommend business initiatives and process improvements, increase organizational awareness and allyship, and create opportunities for talent development. Employees who join an Employee Resource Group can:</w:t>
      </w:r>
    </w:p>
    <w:p>
      <w:pPr>
        <w:spacing w:after="0" w:line="111" w:lineRule="exact"/>
        <w:rPr>
          <w:sz w:val="20"/>
          <w:szCs w:val="20"/>
          <w:color w:val="auto"/>
        </w:rPr>
      </w:pPr>
    </w:p>
    <w:p>
      <w:pPr>
        <w:ind w:left="5540" w:right="3320" w:hanging="5208"/>
        <w:spacing w:after="0" w:line="919" w:lineRule="auto"/>
        <w:tabs>
          <w:tab w:leader="none" w:pos="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Network and build community with people with similar interests, life circumstances or backgrounds.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Serve as champions for inclusion and belonging at CrowdStrike and help identify opportunities for us to become more inclusive.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 initiatives and best practices throughout the organization and make recommendations to the business to help spark and facilitate change.</w:t>
      </w:r>
    </w:p>
    <w:p>
      <w:pPr>
        <w:spacing w:after="0" w:line="244" w:lineRule="exact"/>
        <w:rPr>
          <w:rFonts w:ascii="Arial" w:cs="Arial" w:eastAsia="Arial" w:hAnsi="Arial"/>
          <w:sz w:val="16"/>
          <w:szCs w:val="16"/>
          <w:color w:val="auto"/>
        </w:rPr>
      </w:pPr>
    </w:p>
    <w:p>
      <w:pPr>
        <w:ind w:left="4760"/>
        <w:spacing w:after="0"/>
        <w:rPr>
          <w:rFonts w:ascii="Arial" w:cs="Arial" w:eastAsia="Arial" w:hAnsi="Arial"/>
          <w:sz w:val="16"/>
          <w:szCs w:val="16"/>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with respect to our current executive officers as of March 18,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4"/>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George Kurtz</w:t>
            </w:r>
          </w:p>
        </w:tc>
        <w:tc>
          <w:tcPr>
            <w:tcW w:w="100" w:type="dxa"/>
            <w:vAlign w:val="bottom"/>
          </w:tcPr>
          <w:p>
            <w:pPr>
              <w:spacing w:after="0"/>
              <w:rPr>
                <w:sz w:val="19"/>
                <w:szCs w:val="19"/>
                <w:color w:val="auto"/>
              </w:rPr>
            </w:pPr>
          </w:p>
        </w:tc>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Burt W. Podbere</w:t>
            </w:r>
          </w:p>
        </w:tc>
        <w:tc>
          <w:tcPr>
            <w:tcW w:w="2240" w:type="dxa"/>
            <w:vAlign w:val="bottom"/>
          </w:tcPr>
          <w:p>
            <w:pPr>
              <w:ind w:lef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8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Colin Black</w:t>
            </w:r>
          </w:p>
        </w:tc>
        <w:tc>
          <w:tcPr>
            <w:tcW w:w="224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8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Michael Carpenter</w:t>
            </w:r>
          </w:p>
        </w:tc>
        <w:tc>
          <w:tcPr>
            <w:tcW w:w="224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President, Global Sales and Field Operations</w:t>
            </w:r>
          </w:p>
        </w:tc>
      </w:tr>
      <w:tr>
        <w:trPr>
          <w:trHeight w:val="28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Shawn Henry</w:t>
            </w:r>
          </w:p>
        </w:tc>
        <w:tc>
          <w:tcPr>
            <w:tcW w:w="2240" w:type="dxa"/>
            <w:vAlign w:val="bottom"/>
          </w:tcPr>
          <w:p>
            <w:pPr>
              <w:ind w:left="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President, CrowdStrike Services and Chief Security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family relationship between any of our directors or executive officers and any other director or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Kurtz - President, Chief Executive Officer, and Director</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Mr. Kurtz is one of our co-founders and has served as our President, Chief Executive Officer, and a member of our board of 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Since November 2017, he has also served as Chairman as a board member, and as President for the CrowdStrike Foundation, a nonprofit established to support the next generation of talent and research in cybersecurity and artificial intelligence through scholarships, grants, and other activities. He has also served on the board of directors of Hewlett Packard Enterprise, an enterprise information technology company, since June 2019. Mr. Kurtz holds a B.S. in Accounting from Seton Hall University. Mr. Kurtz also holds a CPA license from the State of New Jersey with an inactive status.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 W. Podbere - Chief Financial Officer</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Mr. Podbere has served as our Chief Financial Officer since September 2015. From May 2014 to August 2015, Mr. Podbere served as Chief Financial Officer for OpenDNS, Inc. (acquired by Cisco in 2015), a cloud-delivered network security company, where he oversaw the finance function. From October 2011 to April 2014, he served as Chief Financial Officer for Net Optics, Inc. (acquired by Ixia in 2013), a manufacturer of network monitoring and intelligent access solutions for physical and virtual networks. Since November 2017, he has also served as Treasurer and as a board member for the CrowdStrike Foundation, a nonprofit established to support the next generation of talent and research in cybersecurity and artificial intelligence through scholarships, grants, and other activities. Mr. Podbere is a Chartered Accountant and holds a B.A. from McGill University.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Colin Black - Chief Operating Officer</w:t>
      </w:r>
    </w:p>
    <w:p>
      <w:pPr>
        <w:spacing w:after="0" w:line="202" w:lineRule="exact"/>
        <w:rPr>
          <w:sz w:val="20"/>
          <w:szCs w:val="20"/>
          <w:color w:val="auto"/>
        </w:rPr>
      </w:pPr>
    </w:p>
    <w:p>
      <w:pPr>
        <w:ind w:right="100" w:firstLine="324"/>
        <w:spacing w:after="0" w:line="225" w:lineRule="auto"/>
        <w:rPr>
          <w:sz w:val="20"/>
          <w:szCs w:val="20"/>
          <w:color w:val="auto"/>
        </w:rPr>
      </w:pPr>
      <w:r>
        <w:rPr>
          <w:rFonts w:ascii="Arial" w:cs="Arial" w:eastAsia="Arial" w:hAnsi="Arial"/>
          <w:sz w:val="18"/>
          <w:szCs w:val="18"/>
          <w:color w:val="auto"/>
        </w:rPr>
        <w:t>Mr. Black has served as our Chief Operating Officer since January 2017 and as our Chief Information Officer from November 2015 to December 2017. From May 2012 to November 2015, he served as Chief Information Officer for Kratos Defense and Security Solutions. Inc., a provider of advanced engineering, security, surveillance, and information technology services. From August 2008 to May 2012, he served as Chief Information Officer for Cymer, LLC. a developer and manufacturer of lithography light sources used in the semiconductor industry. Since November 2017, he has also served as a board member, and until November 2020 as Secretary, for the CrowdStrike Foundation, a nonprofit established to support the next generation of talent and research in cybersecurity and artificial intelligence through scholarships, grants, and other activities. Mr. Black holds a B.S. in Electronics Engineering from the University of Glasgow.</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Carpenter - President Global Sales and Field Operations</w:t>
      </w:r>
    </w:p>
    <w:p>
      <w:pPr>
        <w:spacing w:after="0" w:line="21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Mr. Carpenter has served as our President, Global Sales and Field Operations since November 2016. From February 2014 to September 2016, he served as President of Global Sales and Field Operations for Tanium Inc., an endpoint security and systems management company. From December 2012 to January 2014, Mr. Carpenter served as President. Americas Sales for Intel Security Group, a global computer security software company. Mr. Carpenter holds a B.A. in Accounting from the University of Massachusetts Lowell.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Henry - President, CrowdStrike Services and Chief Security Officer</w:t>
      </w:r>
    </w:p>
    <w:p>
      <w:pPr>
        <w:spacing w:after="0" w:line="2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Mr. Henry has served as President of CrowdStrike Services and our Chief Security Officer since March 2012. Mr. Henry previously worked for the FBI from 1987 through March 2012, including most recently as Executive Assistant Director of the FBI's Criminal, Cyber, Response and Services Branch. Since June 2016, Mr. Henry has served as a faculty member specializing in cybersecurity for the National Association of Corporate Directors, an organization providing training and education for private and public company directors. Since June 2015, Mr. Henry has served as a cybersecurity and national security analyst for NBC News. Mr. Henry holds a B.B.A. from Hofstra University and an M.S. in Criminal Justice from Virginia Commonwealth University.</w:t>
      </w:r>
    </w:p>
    <w:p>
      <w:pPr>
        <w:spacing w:after="0" w:line="1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Annual Report on Form 10-K.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these reports are filed with the SEC pursuant to Sections 13(a) and 15(d) of the Exchange Act. Such reports and other information filed or furnished by us with the SEC are available free of charge on our website at https://ir.crowdstrike.com/financial-information/sec-filings, as soon as reasonably practicable after we file such material with, or furnish it to, the SEC. The SEC maintains a website that contains the materials we file with or furnish to the SEC at www.sec.gov.</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OF RISK FACTORS</w:t>
      </w:r>
    </w:p>
    <w:p>
      <w:pPr>
        <w:spacing w:after="0" w:line="2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Annual Report on Form 10-K, as well as the other information in this Annual Report on Form 10-K and the other filings that we make with the SEC.</w:t>
      </w:r>
    </w:p>
    <w:p>
      <w:pPr>
        <w:spacing w:after="0" w:line="187" w:lineRule="exact"/>
        <w:rPr>
          <w:sz w:val="20"/>
          <w:szCs w:val="20"/>
          <w:color w:val="auto"/>
        </w:rPr>
      </w:pPr>
    </w:p>
    <w:p>
      <w:pPr>
        <w:ind w:left="660" w:right="32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have experienced rapid growth in recent periods, and if we do not manage our future growth, our business and results of operations will be adversely affected.</w:t>
      </w:r>
    </w:p>
    <w:p>
      <w:pPr>
        <w:spacing w:after="0" w:line="194"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We have a history of losses and may not be able to achieve or sustain profitability in the future.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9"/>
          <w:szCs w:val="19"/>
          <w:color w:val="auto"/>
        </w:rPr>
      </w:pPr>
      <w:r>
        <w:rPr>
          <w:rFonts w:ascii="Arial" w:cs="Arial" w:eastAsia="Arial" w:hAnsi="Arial"/>
          <w:sz w:val="16"/>
          <w:szCs w:val="16"/>
          <w:color w:val="auto"/>
        </w:rPr>
        <w:t>Our limited operating history makes it difficult to evaluate our current business and future prospects, and may increase the risk of your investment.</w:t>
      </w:r>
    </w:p>
    <w:p>
      <w:pPr>
        <w:spacing w:after="0" w:line="204" w:lineRule="exact"/>
        <w:rPr>
          <w:rFonts w:ascii="Arial" w:cs="Arial" w:eastAsia="Arial" w:hAnsi="Arial"/>
          <w:sz w:val="19"/>
          <w:szCs w:val="19"/>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COVID-19 pandemic could adversely affect global economic conditions and our business, operating results and future revenue.</w:t>
      </w:r>
    </w:p>
    <w:p>
      <w:pPr>
        <w:spacing w:after="0" w:line="201" w:lineRule="exact"/>
        <w:rPr>
          <w:rFonts w:ascii="Arial" w:cs="Arial" w:eastAsia="Arial" w:hAnsi="Arial"/>
          <w:sz w:val="22"/>
          <w:szCs w:val="22"/>
          <w:color w:val="auto"/>
        </w:rPr>
      </w:pPr>
    </w:p>
    <w:p>
      <w:pPr>
        <w:ind w:left="660" w:right="28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If organizations do not adopt cloud-based SaaS-delivered endpoint security solutions, our ability to grow our business and results of operations may be adversely affected.</w:t>
      </w:r>
    </w:p>
    <w:p>
      <w:pPr>
        <w:spacing w:after="0" w:line="180"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If we are unable to attract new customers, our future results of operations could be harmed.</w:t>
      </w:r>
    </w:p>
    <w:p>
      <w:pPr>
        <w:spacing w:after="0" w:line="215" w:lineRule="exact"/>
        <w:rPr>
          <w:rFonts w:ascii="Arial" w:cs="Arial" w:eastAsia="Arial" w:hAnsi="Arial"/>
          <w:sz w:val="22"/>
          <w:szCs w:val="22"/>
          <w:color w:val="auto"/>
        </w:rPr>
      </w:pPr>
    </w:p>
    <w:p>
      <w:pPr>
        <w:ind w:left="660" w:right="30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If our customers do not renew their subscriptions for our products and add additional cloud modules to their subscriptions, our future results of operations could be harmed.</w:t>
      </w:r>
    </w:p>
    <w:p>
      <w:pPr>
        <w:spacing w:after="0" w:line="203" w:lineRule="exact"/>
        <w:rPr>
          <w:rFonts w:ascii="Arial" w:cs="Arial" w:eastAsia="Arial" w:hAnsi="Arial"/>
          <w:sz w:val="22"/>
          <w:szCs w:val="22"/>
          <w:color w:val="auto"/>
        </w:rPr>
      </w:pPr>
    </w:p>
    <w:p>
      <w:pPr>
        <w:ind w:left="660" w:right="22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We face intense competition and could lose market share to our competitors, which could adversely affect our business, financial condition, and results of operations.</w:t>
      </w:r>
    </w:p>
    <w:p>
      <w:pPr>
        <w:spacing w:after="0" w:line="203" w:lineRule="exact"/>
        <w:rPr>
          <w:rFonts w:ascii="Arial" w:cs="Arial" w:eastAsia="Arial" w:hAnsi="Arial"/>
          <w:sz w:val="22"/>
          <w:szCs w:val="22"/>
          <w:color w:val="auto"/>
        </w:rPr>
      </w:pPr>
    </w:p>
    <w:p>
      <w:pPr>
        <w:ind w:left="660" w:right="32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216" w:lineRule="exact"/>
        <w:rPr>
          <w:rFonts w:ascii="Arial" w:cs="Arial" w:eastAsia="Arial" w:hAnsi="Arial"/>
          <w:sz w:val="22"/>
          <w:szCs w:val="22"/>
          <w:color w:val="auto"/>
        </w:rPr>
      </w:pPr>
    </w:p>
    <w:p>
      <w:pPr>
        <w:ind w:left="660" w:right="140" w:hanging="328"/>
        <w:spacing w:after="0" w:line="251" w:lineRule="auto"/>
        <w:tabs>
          <w:tab w:leader="none" w:pos="655" w:val="left"/>
        </w:tabs>
        <w:numPr>
          <w:ilvl w:val="0"/>
          <w:numId w:val="18"/>
        </w:numPr>
        <w:rPr>
          <w:rFonts w:ascii="Arial" w:cs="Arial" w:eastAsia="Arial" w:hAnsi="Arial"/>
          <w:sz w:val="21"/>
          <w:szCs w:val="21"/>
          <w:color w:val="auto"/>
        </w:rPr>
      </w:pPr>
      <w:r>
        <w:rPr>
          <w:rFonts w:ascii="Arial" w:cs="Arial" w:eastAsia="Arial" w:hAnsi="Arial"/>
          <w:sz w:val="17"/>
          <w:szCs w:val="17"/>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91" w:lineRule="exact"/>
        <w:rPr>
          <w:rFonts w:ascii="Arial" w:cs="Arial" w:eastAsia="Arial" w:hAnsi="Arial"/>
          <w:sz w:val="21"/>
          <w:szCs w:val="21"/>
          <w:color w:val="auto"/>
        </w:rPr>
      </w:pPr>
    </w:p>
    <w:p>
      <w:pPr>
        <w:ind w:left="660" w:right="28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Our business is focused on cloud-based data analytics, and cybersecurity, privacy, and other regulations may affect how we collect and process certain types of data.</w:t>
      </w:r>
    </w:p>
    <w:p>
      <w:pPr>
        <w:spacing w:after="0" w:line="203" w:lineRule="exact"/>
        <w:rPr>
          <w:rFonts w:ascii="Arial" w:cs="Arial" w:eastAsia="Arial" w:hAnsi="Arial"/>
          <w:sz w:val="22"/>
          <w:szCs w:val="22"/>
          <w:color w:val="auto"/>
        </w:rPr>
      </w:pPr>
    </w:p>
    <w:p>
      <w:pPr>
        <w:ind w:left="660" w:right="20" w:hanging="328"/>
        <w:spacing w:after="0" w:line="238"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216" w:lineRule="exact"/>
        <w:rPr>
          <w:rFonts w:ascii="Arial" w:cs="Arial" w:eastAsia="Arial" w:hAnsi="Arial"/>
          <w:sz w:val="22"/>
          <w:szCs w:val="22"/>
          <w:color w:val="auto"/>
        </w:rPr>
      </w:pPr>
    </w:p>
    <w:p>
      <w:pPr>
        <w:ind w:left="660" w:right="78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If we do not effectively expand and train our direct sales force, we may be unable to add new customers or increase sales to our existing customers, and our business will be adversely affected.</w:t>
      </w:r>
    </w:p>
    <w:p>
      <w:pPr>
        <w:spacing w:after="0" w:line="203" w:lineRule="exact"/>
        <w:rPr>
          <w:rFonts w:ascii="Arial" w:cs="Arial" w:eastAsia="Arial" w:hAnsi="Arial"/>
          <w:sz w:val="22"/>
          <w:szCs w:val="22"/>
          <w:color w:val="auto"/>
        </w:rPr>
      </w:pPr>
    </w:p>
    <w:p>
      <w:pPr>
        <w:ind w:left="660" w:right="60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203"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216" w:lineRule="exact"/>
        <w:rPr>
          <w:rFonts w:ascii="Arial" w:cs="Arial" w:eastAsia="Arial" w:hAnsi="Arial"/>
          <w:sz w:val="22"/>
          <w:szCs w:val="22"/>
          <w:color w:val="auto"/>
        </w:rPr>
      </w:pPr>
    </w:p>
    <w:p>
      <w:pPr>
        <w:ind w:left="660" w:right="520" w:hanging="328"/>
        <w:spacing w:after="0" w:line="297" w:lineRule="auto"/>
        <w:tabs>
          <w:tab w:leader="none" w:pos="655" w:val="left"/>
        </w:tabs>
        <w:numPr>
          <w:ilvl w:val="0"/>
          <w:numId w:val="18"/>
        </w:numPr>
        <w:rPr>
          <w:rFonts w:ascii="Arial" w:cs="Arial" w:eastAsia="Arial" w:hAnsi="Arial"/>
          <w:sz w:val="19"/>
          <w:szCs w:val="19"/>
          <w:color w:val="auto"/>
        </w:rPr>
      </w:pPr>
      <w:r>
        <w:rPr>
          <w:rFonts w:ascii="Arial" w:cs="Arial" w:eastAsia="Arial" w:hAnsi="Arial"/>
          <w:sz w:val="16"/>
          <w:szCs w:val="16"/>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have experienced rapid revenue growth in recent periods and we expect to continue to invest broadly across our organization to support our growth. For example, our headcount grew from 324 employees as of January 31, 2016 to 3,394 employees as of January 31, 2021.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51" w:lineRule="exact"/>
        <w:rPr>
          <w:sz w:val="20"/>
          <w:szCs w:val="20"/>
          <w:color w:val="auto"/>
        </w:rPr>
      </w:pPr>
    </w:p>
    <w:p>
      <w:pPr>
        <w:ind w:left="980" w:right="1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43"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29"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incurred net losses in all periods since our inception, and we may not achieve or maintain profitability in the future. We experienced net losses of $140.1 million, $141.8 million, and $92.6 million for fiscal 2019, fiscal 2020, and fiscal 2021, respectively. As of January 31, 2021, we had an accumulated deficit of $730.1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have incurred and expect to continue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makes it difficult to evaluate our current business and future prospects, and may increase the risk of your investment.</w:t>
      </w:r>
    </w:p>
    <w:p>
      <w:pPr>
        <w:spacing w:after="0" w:line="24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operating results and future revenue.</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2020, the World Health Organization declared COVID-19 a global pandemic. This contagious disease outbreak has spread across the globe and is impacting worldwide economic activity and financial markets. In light of the uncertain and rapidly evolving situation relating to the spread of COVID-19, we have taken precautionary measures intended to mitigate the spread of the virus and minimize the risk to our employees, customers, partners, and the communities in which we operate. These measures include transitioning our employee population to work remotely from home until at least April 30, 2021, imposing travel restrictions for our employees, shifting customer, partner and investor events to virtual-only formats, and limiting capacity at any of our offices which have reopened or may reopen during the pandemic’s duration. These precautionary measures could negatively affect our customer success efforts, delay and lengthen our sales cycles, impact our sales and marketing efforts, reduce employee efficiency and productivity, slow our international expansion efforts, increase cybersecurity risks, and create operational or other challenges, any of which could harm our business and results of operations. Moreover, due to our subscription-based business model, the effect of the COVID-19 pandemic may not be fully reflected in our results of operations until future periods, if at all.</w:t>
      </w:r>
    </w:p>
    <w:p>
      <w:pPr>
        <w:spacing w:after="0" w:line="18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w:t>
      </w:r>
    </w:p>
    <w:p>
      <w:pPr>
        <w:spacing w:after="0" w:line="18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Annual Report on Form 10-K. It is not possible at this time to estimate the impact that the COVID-19 pandemic could have on our business, as the impact will depend on future developments, which are highly uncertain and cannot be predicted.</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9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37" w:lineRule="exact"/>
        <w:rPr>
          <w:sz w:val="20"/>
          <w:szCs w:val="20"/>
          <w:color w:val="auto"/>
        </w:rPr>
      </w:pPr>
    </w:p>
    <w:p>
      <w:pPr>
        <w:ind w:left="980" w:right="5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4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competitors include the following by general category:</w:t>
      </w:r>
    </w:p>
    <w:p>
      <w:pPr>
        <w:spacing w:after="0" w:line="185" w:lineRule="exact"/>
        <w:rPr>
          <w:sz w:val="20"/>
          <w:szCs w:val="20"/>
          <w:color w:val="auto"/>
        </w:rPr>
      </w:pPr>
    </w:p>
    <w:p>
      <w:pPr>
        <w:ind w:left="980" w:right="240" w:hanging="324"/>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legacy antivirus product providers, such as McAfee, LLC, Broadcom Inc.’s Symantec Enterprise division, and Microsoft Corporation, who offer a broad range of approaches and solutions including traditional antivirus and signature-based protection;</w:t>
      </w:r>
    </w:p>
    <w:p>
      <w:pPr>
        <w:spacing w:after="0" w:line="119" w:lineRule="exact"/>
        <w:rPr>
          <w:rFonts w:ascii="Arial" w:cs="Arial" w:eastAsia="Arial" w:hAnsi="Arial"/>
          <w:sz w:val="17"/>
          <w:szCs w:val="17"/>
          <w:color w:val="auto"/>
        </w:rPr>
      </w:pPr>
    </w:p>
    <w:p>
      <w:pPr>
        <w:ind w:left="980" w:right="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VMware Carbon Black and SentinelOne, who offer point products based on malware-only or application whitelisting techniques; and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30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6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24"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6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It is virtually impossible for us to entirely eliminate the risk of such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and or all of which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systems or data or data of our customers would be especially detrimental to our reputation, customer confidence in our solution, and our business.</w:t>
      </w:r>
    </w:p>
    <w:p>
      <w:pPr>
        <w:spacing w:after="0" w:line="237"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8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factors, many of which are beyond our control, can affect the delivery, availability, and the performance of our Falcon platform:</w:t>
      </w:r>
    </w:p>
    <w:p>
      <w:pPr>
        <w:spacing w:after="0" w:line="19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198"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29"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43"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184"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43" w:lineRule="exact"/>
        <w:rPr>
          <w:sz w:val="20"/>
          <w:szCs w:val="20"/>
          <w:color w:val="auto"/>
        </w:rPr>
      </w:pPr>
    </w:p>
    <w:p>
      <w:pPr>
        <w:ind w:left="980" w:right="10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20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competitive developments, including consolidation among our customers or competitors;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level of awareness of cybersecurity threats, particularly advanced cyberattacks, and the market adoption of our Falcon platform;</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184"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both domestic and in our foreign markets;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media coverage or publicity;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events;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expansion of our business;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5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8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78"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6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37" w:lineRule="exact"/>
        <w:rPr>
          <w:sz w:val="20"/>
          <w:szCs w:val="20"/>
          <w:color w:val="auto"/>
        </w:rPr>
      </w:pPr>
    </w:p>
    <w:p>
      <w:pPr>
        <w:ind w:left="980" w:right="44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143"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46"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29"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56"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timely and cost-effectively scale and adapt our existing technology to meet our customers’ performance and other requirements.</w:t>
      </w:r>
    </w:p>
    <w:p>
      <w:pPr>
        <w:spacing w:after="0" w:line="2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9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2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7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derived approximately 23%, 26%, and 28% of our total revenue from our international customers for fiscal 2019, fiscal 2020, fiscal 2021,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4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difficulty in negotiating contracts with standard terms, enforcing contracts and managing collections, and longer collection periods;</w:t>
      </w:r>
    </w:p>
    <w:p>
      <w:pPr>
        <w:spacing w:after="0" w:line="209" w:lineRule="exact"/>
        <w:rPr>
          <w:rFonts w:ascii="Arial" w:cs="Arial" w:eastAsia="Arial" w:hAnsi="Arial"/>
          <w:sz w:val="17"/>
          <w:szCs w:val="17"/>
          <w:color w:val="auto"/>
        </w:rPr>
      </w:pPr>
    </w:p>
    <w:p>
      <w:pPr>
        <w:ind w:left="660" w:right="5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184"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184"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4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84"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right="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143" w:lineRule="exact"/>
        <w:rPr>
          <w:rFonts w:ascii="Arial" w:cs="Arial" w:eastAsia="Arial" w:hAnsi="Arial"/>
          <w:sz w:val="18"/>
          <w:szCs w:val="18"/>
          <w:color w:val="auto"/>
        </w:rPr>
      </w:pPr>
    </w:p>
    <w:p>
      <w:pPr>
        <w:ind w:left="660" w:right="9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difficulty in identifying, attracting and retaining local qualified personnel, and the costs and expenses associated with such activities;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Euro, Australian Dollar, and Canadian Dollar,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9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87"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CrowdStrike is a highly-visible public company whose management, products, business, results of operations, statements and actions are scrutinized by third-parties whose influence could negatively impact the perception of our brand and the market value of our Class A common stock.</w:t>
      </w:r>
    </w:p>
    <w:p>
      <w:pPr>
        <w:spacing w:after="0" w:line="10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Class A common stock.</w:t>
      </w:r>
    </w:p>
    <w:p>
      <w:pPr>
        <w:spacing w:after="0" w:line="1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 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7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and Regulatory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25"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6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6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time, during which we could be unable to continue to offer our affected services or features, effort and expense and may ultimately not be successful.</w:t>
      </w:r>
    </w:p>
    <w:p>
      <w:pPr>
        <w:spacing w:after="0" w:line="23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the Health Insurance Portability and Accountability Act,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71" w:lineRule="exact"/>
        <w:rPr>
          <w:sz w:val="20"/>
          <w:szCs w:val="20"/>
          <w:color w:val="auto"/>
        </w:rPr>
      </w:pPr>
    </w:p>
    <w:p>
      <w:pPr>
        <w:jc w:val="both"/>
        <w:ind w:right="120" w:firstLine="324"/>
        <w:spacing w:after="0" w:line="257" w:lineRule="auto"/>
        <w:rPr>
          <w:sz w:val="20"/>
          <w:szCs w:val="20"/>
          <w:color w:val="auto"/>
        </w:rPr>
      </w:pPr>
      <w:r>
        <w:rPr>
          <w:rFonts w:ascii="Arial" w:cs="Arial" w:eastAsia="Arial" w:hAnsi="Arial"/>
          <w:sz w:val="18"/>
          <w:szCs w:val="18"/>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adopted the European General Data Protection Regulation, or GDPR, that became fully effective in May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8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which went into effect on January 1, 2020, with enforcement commencing on July 1, 2020. The CCPA has been characterized as the first “GDPR-like” privacy statute to be enacted in the United States because it contains a number of provisions similar to certain provisions of the GDPR. In addition, the California Privacy Rights Act of 2020, or the CPRA was passed by California voters in November 2020. The CPRA amends the CCPA by creating additional privacy rights for California consumers and additional obligations on businesses, which could subject us to additional compliance costs as well as potential fines, individual claims and commercial liabilities. The majority of the CPRA provisions will take effect on January 1, 2023. 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which will take effect on January 1, 2023, was signed into law.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17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65"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70"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12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our license to do business in the jurisdictions in which we operate;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result in reduced sales of our products, substantial product inventory write-offs, reputational damage, penalties, and other sanctions, any of which could harm our business, reputation, and results of operations.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4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74"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9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7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6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9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12"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pay monetary damages or enter into royalty and licensing agreements that we would not normally find acceptable;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(including all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8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92"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71"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6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and you could lose all or part of your investment.</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34"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1" w:lineRule="exact"/>
        <w:rPr>
          <w:rFonts w:ascii="Arial" w:cs="Arial" w:eastAsia="Arial" w:hAnsi="Arial"/>
          <w:sz w:val="18"/>
          <w:szCs w:val="18"/>
          <w:color w:val="auto"/>
        </w:rPr>
      </w:pPr>
    </w:p>
    <w:p>
      <w:pPr>
        <w:ind w:left="980" w:right="46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94"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Kurtz;</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8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4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February 28, 2021, we had 195,247,309 shares of Class A common stock outstanding and 28,628,920 shares of Class B common stock outstanding.</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All of the shares of Class A common stock sold in our initial public offering are freely tradable without restrictions or further registration under the Securities Act of 1933, except for any shares held by our affiliates as defined in Rule 144 under the Securities Act.</w:t>
      </w:r>
    </w:p>
    <w:p>
      <w:pPr>
        <w:spacing w:after="0" w:line="170"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9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As of January 31, 2021, our executive officers, directors, one of our current stockholders and its respective affiliates held, in aggregate, 58% of the voting power of our outstanding capital stock. Furthermore, one of our current stockholders and its respective affiliates held, in aggregate, 24%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6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are subordinate to our debts and other liabilities, resulting in a greater risk of loss for stockholders.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170" w:lineRule="exact"/>
        <w:rPr>
          <w:sz w:val="20"/>
          <w:szCs w:val="20"/>
          <w:color w:val="auto"/>
        </w:rPr>
      </w:pPr>
    </w:p>
    <w:p>
      <w:pPr>
        <w:jc w:val="both"/>
        <w:ind w:right="160" w:firstLine="324"/>
        <w:spacing w:after="0" w:line="296" w:lineRule="auto"/>
        <w:rPr>
          <w:sz w:val="20"/>
          <w:szCs w:val="20"/>
          <w:color w:val="auto"/>
        </w:rPr>
      </w:pPr>
      <w:r>
        <w:rPr>
          <w:rFonts w:ascii="Arial" w:cs="Arial" w:eastAsia="Arial" w:hAnsi="Arial"/>
          <w:sz w:val="16"/>
          <w:szCs w:val="16"/>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84"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8" w:lineRule="exact"/>
        <w:rPr>
          <w:sz w:val="20"/>
          <w:szCs w:val="20"/>
          <w:color w:val="auto"/>
        </w:rPr>
      </w:pPr>
    </w:p>
    <w:p>
      <w:pPr>
        <w:ind w:left="980" w:hanging="324"/>
        <w:spacing w:after="0" w:line="263"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56"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29" w:lineRule="exact"/>
        <w:rPr>
          <w:rFonts w:ascii="Arial" w:cs="Arial" w:eastAsia="Arial" w:hAnsi="Arial"/>
          <w:sz w:val="18"/>
          <w:szCs w:val="18"/>
          <w:color w:val="auto"/>
        </w:rPr>
      </w:pPr>
    </w:p>
    <w:p>
      <w:pPr>
        <w:ind w:left="980" w:right="240" w:hanging="324"/>
        <w:spacing w:after="0" w:line="342"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83" w:lineRule="exact"/>
        <w:rPr>
          <w:rFonts w:ascii="Arial" w:cs="Arial" w:eastAsia="Arial" w:hAnsi="Arial"/>
          <w:sz w:val="16"/>
          <w:szCs w:val="16"/>
          <w:color w:val="auto"/>
        </w:rPr>
      </w:pPr>
    </w:p>
    <w:p>
      <w:pPr>
        <w:ind w:left="980" w:right="540" w:hanging="324"/>
        <w:spacing w:after="0" w:line="342"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96" w:lineRule="exact"/>
        <w:rPr>
          <w:rFonts w:ascii="Arial" w:cs="Arial" w:eastAsia="Arial" w:hAnsi="Arial"/>
          <w:sz w:val="16"/>
          <w:szCs w:val="16"/>
          <w:color w:val="auto"/>
        </w:rPr>
      </w:pPr>
    </w:p>
    <w:p>
      <w:pPr>
        <w:ind w:left="980" w:right="160" w:hanging="324"/>
        <w:spacing w:after="0" w:line="259"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46" w:lineRule="exact"/>
        <w:rPr>
          <w:rFonts w:ascii="Arial" w:cs="Arial" w:eastAsia="Arial" w:hAnsi="Arial"/>
          <w:sz w:val="18"/>
          <w:szCs w:val="18"/>
          <w:color w:val="auto"/>
        </w:rPr>
      </w:pPr>
    </w:p>
    <w:p>
      <w:pPr>
        <w:ind w:left="980" w:right="80" w:hanging="324"/>
        <w:spacing w:after="0" w:line="286" w:lineRule="auto"/>
        <w:tabs>
          <w:tab w:leader="none" w:pos="9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24" w:lineRule="exact"/>
        <w:rPr>
          <w:rFonts w:ascii="Arial" w:cs="Arial" w:eastAsia="Arial" w:hAnsi="Arial"/>
          <w:sz w:val="17"/>
          <w:szCs w:val="17"/>
          <w:color w:val="auto"/>
        </w:rPr>
      </w:pPr>
    </w:p>
    <w:p>
      <w:pPr>
        <w:ind w:left="980" w:right="8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80" w:hanging="324"/>
        <w:spacing w:after="0" w:line="263"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198"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43"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7"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As of January 31, 2021, we had $750.0 million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43" w:lineRule="exact"/>
        <w:rPr>
          <w:sz w:val="20"/>
          <w:szCs w:val="20"/>
          <w:color w:val="auto"/>
        </w:rPr>
      </w:pPr>
    </w:p>
    <w:p>
      <w:pPr>
        <w:ind w:left="980" w:right="12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43"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184"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our revolving facility and the indenture that governs our Senior Notes contain restrictive covenants that limit our ability to engage in activities that may be in our long-term best interest. Our failure to comply with those covenants could result in an event of default which, if not cured or waived, could result in the acceleration of substantially all of our indebtedness.</w:t>
      </w:r>
    </w:p>
    <w:p>
      <w:pPr>
        <w:spacing w:after="0" w:line="18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7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43"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 merge with, or sell all or substantially all of our assets to, another person.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covenants in the indenture and supplemental indenture that govern the Senior Notes are subject to exceptions and qualifications.</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57"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withstand a future downturn in our business, the industry or the economy in general;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best interest;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These restrictions may affect our ability to expand our business, which could have a material adverse effect on our business, financial condition and results of operations.</w:t>
      </w:r>
    </w:p>
    <w:p>
      <w:pPr>
        <w:spacing w:after="0" w:line="17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phase-out, replacement or unavailability of LIBOR could adversely affect our cost of capital or our financial condition.</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head of the United Kingdom Financial Conduct Authority has announced the desire to phase out the use of LIBOR by the end of 2021. Our revolving facility provides that LIBOR may be substituted in certain circumstances with an alternative benchmark interest rate, subject to notice to all lenders and the absence of objection by the lenders. Any such substitution could have an adverse impact on our cost of capital. Currently, there is no definitive information regarding which alternative benchmark interest rate that will replace LIBOR, how such alternative benchmark interest rate may differ from LIBOR, and when such substitution may occur. As such, we cannot determine the potential effect of such transition on our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7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24"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18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209" w:lineRule="exact"/>
        <w:rPr>
          <w:rFonts w:ascii="Arial" w:cs="Arial" w:eastAsia="Arial" w:hAnsi="Arial"/>
          <w:sz w:val="17"/>
          <w:szCs w:val="17"/>
          <w:color w:val="auto"/>
        </w:rPr>
      </w:pPr>
    </w:p>
    <w:p>
      <w:pPr>
        <w:ind w:left="980" w:right="26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legal, regulatory or compliance requirements;</w:t>
      </w:r>
    </w:p>
    <w:p>
      <w:pPr>
        <w:spacing w:after="0" w:line="184"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43"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84"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January 31, 2021, we had aggregate U.S. federal and California net operating loss carryforwards of $1.1 billion and $122.6 million, respectively, which may be available to offset future taxable income for income tax purposes. If not utilized, the federal and California net operating loss carryforwards will begin to expire in 2031. As of January 31, 2021, we had net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operating loss carryforwards for other states of $660.7 million that will begin to expire in 2024. As of January 31, 2021, we had federal and California research and development credit carryforwards of $38.7 million and $8.7 million, respectively. The federal research and development credit carryforwards will begin to expire in 2031, and the California carryforwards are carried forward indefinitely. As of January 31, 2021, we had aggregate United Kingdom net operating loss carryforwards of $50.2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9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7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corporate headquarters occupies approximately 68,791 square feet in Sunnyvale, California under a lease that expires in 2025. We also lease offices in California, Maryland, Missouri, Minnesota, Texas, Virginia, Oregon, and Washington, as well as locations internationally, including in Australia, Germany, India, Romania, Japan, Israel, Spain, the United Arab Emirates, Singapore, and the United Kingdom.</w:t>
      </w:r>
    </w:p>
    <w:p>
      <w:pPr>
        <w:spacing w:after="0" w:line="16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believe that our existing facilities are sufficient for our current needs. In the future, we may need to add new facilities and expand our existing facilities as we add employees, grow our infrastructure and evolve our business, and we believe that suitable additional or substitute space will be available on commercially reasonable terms to meet our future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12, “Commitments and Contingencies” in our Notes to Consolidated Financial Statements in Part II, Item 8 of this Annual Report on Form 10-K.</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Markets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Our Class A common stock has been listed and traded on the Nasdaq Global Select Market under the symbol “CRWD” since June 12, 2019. Prior to that date, there was no public market for our Class A common stock. There is no public market for our Class B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of January 31, 2021, we had 24 holders of record of our Class A common stock and 98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is limited by restrictions on our ability to pay dividends or make distributions under the terms of our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information required by this item with respect to our equity compensation plans is incorporated by reference to our Proxy Statement for the 2021 Annual Meeting of Stockholders to be filed with the Securities and Exchange Commission within 120 days of the fiscal year ended January 31,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 of Unregistered Equity Securities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September 30, 2020, we agreed to issue up to $5.3 million of shares of our Class A common stock, subject to service-based vesting and other conditions, to certain individual stockholders of Preempt Security in connection with our acquisition of Preempt Security. The transaction was exempt from registration under Section 4(a)(2) of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22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On June 11, 2019, the SEC declared our registration statement on Form S-1 (File No. 333-231461) for our IPO effective. There have been no material changes in the planned use of proceeds from our IPO as described in our final prospectus filed with the SEC on June 13,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CrowdStrike Holdings, Inc. under the Securities Act or the Exchange Act.</w:t>
      </w:r>
    </w:p>
    <w:p>
      <w:pPr>
        <w:spacing w:after="0" w:line="17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have presented below the cumulative total return to our stockholders between June 12, 2019 (the date our common stock commenced trading on the Nasdaq) through January 31, 2021 in comparison to the Standard &amp; Poor’s 500 Index and Standard &amp; Poor Information Technology Index. All values assume a $100 initial investment and data for the Standard &amp; Poor’s 500 Index and Standard &amp; Poor Information Technology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108585</wp:posOffset>
            </wp:positionV>
            <wp:extent cx="5614670" cy="42862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1467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Company/ Index</w:t>
            </w:r>
          </w:p>
        </w:tc>
        <w:tc>
          <w:tcPr>
            <w:tcW w:w="10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June 12, 2019</w:t>
            </w:r>
          </w:p>
        </w:tc>
        <w:tc>
          <w:tcPr>
            <w:tcW w:w="8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July 31, 2019</w:t>
            </w:r>
          </w:p>
        </w:tc>
        <w:tc>
          <w:tcPr>
            <w:tcW w:w="100" w:type="dxa"/>
            <w:vAlign w:val="bottom"/>
          </w:tcPr>
          <w:p>
            <w:pPr>
              <w:spacing w:after="0"/>
              <w:rPr>
                <w:sz w:val="12"/>
                <w:szCs w:val="12"/>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January 31,</w:t>
            </w: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April 30, 2020</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July 31, 2020</w:t>
            </w:r>
          </w:p>
        </w:tc>
        <w:tc>
          <w:tcPr>
            <w:tcW w:w="12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October 31,</w:t>
            </w:r>
          </w:p>
        </w:tc>
        <w:tc>
          <w:tcPr>
            <w:tcW w:w="120" w:type="dxa"/>
            <w:vAlign w:val="bottom"/>
          </w:tcPr>
          <w:p>
            <w:pPr>
              <w:spacing w:after="0"/>
              <w:rPr>
                <w:sz w:val="12"/>
                <w:szCs w:val="12"/>
                <w:color w:val="auto"/>
              </w:rPr>
            </w:pPr>
          </w:p>
        </w:tc>
        <w:tc>
          <w:tcPr>
            <w:tcW w:w="800" w:type="dxa"/>
            <w:vAlign w:val="bottom"/>
          </w:tcPr>
          <w:p>
            <w:pPr>
              <w:jc w:val="right"/>
              <w:ind w:right="72"/>
              <w:spacing w:after="0"/>
              <w:rPr>
                <w:sz w:val="20"/>
                <w:szCs w:val="20"/>
                <w:color w:val="auto"/>
              </w:rPr>
            </w:pPr>
            <w:r>
              <w:rPr>
                <w:rFonts w:ascii="Arial" w:cs="Arial" w:eastAsia="Arial" w:hAnsi="Arial"/>
                <w:sz w:val="13"/>
                <w:szCs w:val="13"/>
                <w:b w:val="1"/>
                <w:bCs w:val="1"/>
                <w:color w:val="auto"/>
                <w:w w:val="89"/>
              </w:rPr>
              <w:t>January 31,</w:t>
            </w:r>
          </w:p>
        </w:tc>
        <w:tc>
          <w:tcPr>
            <w:tcW w:w="0" w:type="dxa"/>
            <w:vAlign w:val="bottom"/>
          </w:tcPr>
          <w:p>
            <w:pPr>
              <w:spacing w:after="0"/>
              <w:rPr>
                <w:sz w:val="1"/>
                <w:szCs w:val="1"/>
                <w:color w:val="auto"/>
              </w:rPr>
            </w:pPr>
          </w:p>
        </w:tc>
      </w:tr>
      <w:tr>
        <w:trPr>
          <w:trHeight w:val="170"/>
        </w:trPr>
        <w:tc>
          <w:tcPr>
            <w:tcW w:w="330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5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5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8"/>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CrowdStrike Holdings, Inc.</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105.33</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372.07</w:t>
            </w:r>
          </w:p>
        </w:tc>
        <w:tc>
          <w:tcPr>
            <w:tcW w:w="0" w:type="dxa"/>
            <w:vAlign w:val="bottom"/>
          </w:tcPr>
          <w:p>
            <w:pPr>
              <w:spacing w:after="0"/>
              <w:rPr>
                <w:sz w:val="1"/>
                <w:szCs w:val="1"/>
                <w:color w:val="auto"/>
              </w:rPr>
            </w:pPr>
          </w:p>
        </w:tc>
      </w:tr>
      <w:tr>
        <w:trPr>
          <w:trHeight w:val="186"/>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S&amp;P 500</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108.59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118.69</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107.71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121.57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122.02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139.17</w:t>
            </w:r>
          </w:p>
        </w:tc>
        <w:tc>
          <w:tcPr>
            <w:tcW w:w="0" w:type="dxa"/>
            <w:vAlign w:val="bottom"/>
          </w:tcPr>
          <w:p>
            <w:pPr>
              <w:spacing w:after="0"/>
              <w:rPr>
                <w:sz w:val="1"/>
                <w:szCs w:val="1"/>
                <w:color w:val="auto"/>
              </w:rPr>
            </w:pPr>
          </w:p>
        </w:tc>
      </w:tr>
      <w:tr>
        <w:trPr>
          <w:trHeight w:val="192"/>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S&amp;P Information Technology</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selected consolidated statements of operations data presented below for fiscal 2021, fiscal 2020, and fiscal 2019 and the consolidated balance sheets data as of January 31, 2021 and 2020 are derived from our audited consolidated financial statements that are included elsewhere in this Annual Report on Form 10-K. The selected consolidated statements of operations data for fiscal 2018 and 2017 and the consolidated balance sheets data as of January 31, 2019, 2018, and 2017 have been derived from our audited consolidated financial statements that are not included elsewhere in this Annual Report on Form 10-K. Our historical results are not necessarily indicative of the results that may be expected in the future. Effective February 1, 2020, we adopted the Accounting Standards Update (“ASU”) 2016-02, Leases (Topic 842) as discussed in Note 2, “Summary of Significant Accounting Policies” to our consolidated financial statements in this Annual Report on Form 10-K. Prior periods were not retrospectively adjusted, and accordingly, the consolidated statements of operations for the years ended January 31, 2020, 2019, 2018, and 2017 and the consolidated balance sheets as of January 31, 2020, 2019, 2018, and 2017 were prepared using the prior lease accounting standard referred to as ASC Topic 840. Effective February 1, 2019, the Company adopted ASU 2014-09, Revenue from Contracts with Customers (“ASC 606”) as discussed in Note 2, “Summary of Significant Accounting Policies” to our consolidated financial statements in this Annual Report on Form 10-K. Prior periods were not retrospectively adjusted, and accordingly, the consolidated statement of operations data for the years ended January 31, 2019, 2018, and 2017 and the consolidated balance sheets data as of January 31, 2019, 2018, and 2017 were prepared using the prior revenue recognition standard referred to as ASC 605. The selected consolidated financial data and other data set forth below should be read in conjunction with the section entitled “Management’s Discussion and Analysis of Financial Condition and Results of Operations” and our consolidated financial statements and related notes included elsewhere in this Annual Report on Form 10-K.</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659"/>
              <w:spacing w:after="0"/>
              <w:rPr>
                <w:sz w:val="20"/>
                <w:szCs w:val="20"/>
                <w:color w:val="auto"/>
              </w:rPr>
            </w:pPr>
            <w:r>
              <w:rPr>
                <w:rFonts w:ascii="Arial" w:cs="Arial" w:eastAsia="Arial" w:hAnsi="Arial"/>
                <w:sz w:val="16"/>
                <w:szCs w:val="16"/>
                <w:b w:val="1"/>
                <w:bCs w:val="1"/>
                <w:color w:val="auto"/>
                <w:w w:val="93"/>
              </w:rPr>
              <w:t>Year Ended January 31,</w:t>
            </w: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96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(in thousands, except per share data)</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 of Operations Data: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804,670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37,895</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14,850</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874,438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249,824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118,752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52,745</w:t>
            </w: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Subscription </w:t>
            </w:r>
            <w:r>
              <w:rPr>
                <w:rFonts w:ascii="Arial" w:cs="Arial" w:eastAsia="Arial" w:hAnsi="Arial"/>
                <w:sz w:val="23"/>
                <w:szCs w:val="23"/>
                <w:color w:val="auto"/>
                <w:vertAlign w:val="superscript"/>
              </w:rPr>
              <w:t>(1)(2)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24,378</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Professional services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18,030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9,628</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 of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141,627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87,238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54,486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34,006</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644,893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339,786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162,586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64,266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18,739</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401,316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266,595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172,682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104,277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53,748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39,145</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16,402</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485,851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299,450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109,295</w:t>
            </w:r>
          </w:p>
        </w:tc>
        <w:tc>
          <w:tcPr>
            <w:tcW w:w="0" w:type="dxa"/>
            <w:vAlign w:val="bottom"/>
          </w:tcPr>
          <w:p>
            <w:pPr>
              <w:spacing w:after="0"/>
              <w:rPr>
                <w:sz w:val="1"/>
                <w:szCs w:val="1"/>
                <w:color w:val="auto"/>
              </w:rPr>
            </w:pPr>
          </w:p>
        </w:tc>
      </w:tr>
      <w:tr>
        <w:trPr>
          <w:trHeight w:val="206"/>
        </w:trPr>
        <w:tc>
          <w:tcPr>
            <w:tcW w:w="42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(92,529)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(146,065)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(136,864)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(131,440)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(90,556)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(91,253)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(92,629)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(141,779)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(135,490)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(91,340)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Accretion of redeemable convertible preferred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(17,012)</w:t>
            </w:r>
          </w:p>
        </w:tc>
        <w:tc>
          <w:tcPr>
            <w:tcW w:w="0" w:type="dxa"/>
            <w:vAlign w:val="bottom"/>
          </w:tcPr>
          <w:p>
            <w:pPr>
              <w:spacing w:after="0"/>
              <w:rPr>
                <w:sz w:val="1"/>
                <w:szCs w:val="1"/>
                <w:color w:val="auto"/>
              </w:rPr>
            </w:pPr>
          </w:p>
        </w:tc>
      </w:tr>
      <w:tr>
        <w:trPr>
          <w:trHeight w:val="149"/>
        </w:trPr>
        <w:tc>
          <w:tcPr>
            <w:tcW w:w="42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Net loss attributable to Class A and Class B common</w:t>
            </w: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(92,629)</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(141,779)</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(140,077)</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(141,343)</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(108,352)</w:t>
            </w:r>
          </w:p>
        </w:tc>
        <w:tc>
          <w:tcPr>
            <w:tcW w:w="0" w:type="dxa"/>
            <w:vAlign w:val="bottom"/>
          </w:tcPr>
          <w:p>
            <w:pPr>
              <w:spacing w:after="0"/>
              <w:rPr>
                <w:sz w:val="1"/>
                <w:szCs w:val="1"/>
                <w:color w:val="auto"/>
              </w:rPr>
            </w:pPr>
          </w:p>
        </w:tc>
      </w:tr>
      <w:tr>
        <w:trPr>
          <w:trHeight w:val="20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basic and diluted</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4"/>
              </w:rPr>
              <w:t>Net loss per share attributable to Class A and Class B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280" w:type="dxa"/>
            <w:vAlign w:val="bottom"/>
            <w:vMerge w:val="continue"/>
          </w:tcPr>
          <w:p>
            <w:pPr>
              <w:spacing w:after="0"/>
              <w:rPr>
                <w:sz w:val="9"/>
                <w:szCs w:val="9"/>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9"/>
                <w:szCs w:val="9"/>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9"/>
                <w:szCs w:val="9"/>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9"/>
                <w:szCs w:val="9"/>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9"/>
                <w:szCs w:val="9"/>
                <w:color w:val="auto"/>
              </w:rPr>
            </w:pPr>
          </w:p>
        </w:tc>
        <w:tc>
          <w:tcPr>
            <w:tcW w:w="280" w:type="dxa"/>
            <w:vAlign w:val="bottom"/>
            <w:vMerge w:val="restart"/>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0"/>
        </w:trPr>
        <w:tc>
          <w:tcPr>
            <w:tcW w:w="4280" w:type="dxa"/>
            <w:vAlign w:val="bottom"/>
          </w:tcPr>
          <w:p>
            <w:pPr>
              <w:ind w:left="20"/>
              <w:spacing w:after="0" w:line="186" w:lineRule="exact"/>
              <w:rPr>
                <w:sz w:val="20"/>
                <w:szCs w:val="20"/>
                <w:color w:val="auto"/>
              </w:rPr>
            </w:pPr>
            <w:r>
              <w:rPr>
                <w:rFonts w:ascii="Arial" w:cs="Arial" w:eastAsia="Arial" w:hAnsi="Arial"/>
                <w:sz w:val="16"/>
                <w:szCs w:val="16"/>
                <w:color w:val="auto"/>
              </w:rPr>
              <w:t>stockholders, basic and diluted</w:t>
            </w:r>
            <w:r>
              <w:rPr>
                <w:rFonts w:ascii="Arial" w:cs="Arial" w:eastAsia="Arial" w:hAnsi="Arial"/>
                <w:sz w:val="21"/>
                <w:szCs w:val="21"/>
                <w:color w:val="auto"/>
                <w:vertAlign w:val="superscript"/>
              </w:rPr>
              <w:t>(5)</w:t>
            </w:r>
          </w:p>
        </w:tc>
        <w:tc>
          <w:tcPr>
            <w:tcW w:w="3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Weighted-average shares used in computing net loss per share</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3"/>
              </w:rPr>
              <w:t>attributable to Class A and Class B common stockholders, basic</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217,756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148,062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44,863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41,876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39,706</w:t>
            </w:r>
          </w:p>
        </w:tc>
        <w:tc>
          <w:tcPr>
            <w:tcW w:w="0" w:type="dxa"/>
            <w:vAlign w:val="bottom"/>
          </w:tcPr>
          <w:p>
            <w:pPr>
              <w:spacing w:after="0"/>
              <w:rPr>
                <w:sz w:val="1"/>
                <w:szCs w:val="1"/>
                <w:color w:val="auto"/>
              </w:rPr>
            </w:pPr>
          </w:p>
        </w:tc>
      </w:tr>
      <w:tr>
        <w:trPr>
          <w:trHeight w:val="205"/>
        </w:trPr>
        <w:tc>
          <w:tcPr>
            <w:tcW w:w="4280" w:type="dxa"/>
            <w:vAlign w:val="bottom"/>
            <w:tcBorders>
              <w:bottom w:val="single" w:sz="8" w:color="CCEEFF"/>
            </w:tcBorders>
            <w:shd w:val="clear" w:color="auto" w:fill="CCEEFF"/>
          </w:tcPr>
          <w:p>
            <w:pPr>
              <w:ind w:left="20"/>
              <w:spacing w:after="0" w:line="186" w:lineRule="exact"/>
              <w:rPr>
                <w:sz w:val="20"/>
                <w:szCs w:val="20"/>
                <w:color w:val="auto"/>
              </w:rPr>
            </w:pPr>
            <w:r>
              <w:rPr>
                <w:rFonts w:ascii="Arial" w:cs="Arial" w:eastAsia="Arial" w:hAnsi="Arial"/>
                <w:sz w:val="16"/>
                <w:szCs w:val="16"/>
                <w:color w:val="auto"/>
              </w:rPr>
              <w:t>and diluted</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w w:val="91"/>
              </w:rPr>
              <w:t>Year Ended January 31,</w:t>
            </w: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0"/>
        </w:trPr>
        <w:tc>
          <w:tcPr>
            <w:tcW w:w="4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cost of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Professional services cost of revenue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12"/>
        </w:trPr>
        <w:tc>
          <w:tcPr>
            <w:tcW w:w="4260" w:type="dxa"/>
            <w:vAlign w:val="bottom"/>
          </w:tcPr>
          <w:p>
            <w:pPr>
              <w:ind w:left="360"/>
              <w:spacing w:after="0"/>
              <w:rPr>
                <w:sz w:val="20"/>
                <w:szCs w:val="20"/>
                <w:color w:val="auto"/>
              </w:rPr>
            </w:pPr>
            <w:r>
              <w:rPr>
                <w:rFonts w:ascii="Arial" w:cs="Arial" w:eastAsia="Arial" w:hAnsi="Arial"/>
                <w:sz w:val="16"/>
                <w:szCs w:val="16"/>
                <w:color w:val="auto"/>
              </w:rPr>
              <w:t>Total stock-based compensation expense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149,675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79,940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1,994</w:t>
            </w:r>
          </w:p>
        </w:tc>
      </w:tr>
      <w:tr>
        <w:trPr>
          <w:trHeight w:val="21"/>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amortization of acquired intangible assets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January 31,</w:t>
            </w: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0"/>
        </w:trPr>
        <w:tc>
          <w:tcPr>
            <w:tcW w:w="4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cost of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1,057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340" w:type="dxa"/>
            <w:vAlign w:val="bottom"/>
          </w:tcPr>
          <w:p>
            <w:pPr>
              <w:ind w:left="360"/>
              <w:spacing w:after="0"/>
              <w:rPr>
                <w:sz w:val="20"/>
                <w:szCs w:val="20"/>
                <w:color w:val="auto"/>
              </w:rPr>
            </w:pPr>
            <w:r>
              <w:rPr>
                <w:rFonts w:ascii="Arial" w:cs="Arial" w:eastAsia="Arial" w:hAnsi="Arial"/>
                <w:sz w:val="16"/>
                <w:szCs w:val="16"/>
                <w:color w:val="auto"/>
              </w:rPr>
              <w:t>Total amortization of purchased intangibles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1,448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4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acquisition-related expenses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January 31,</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2017</w:t>
            </w:r>
          </w:p>
        </w:tc>
      </w:tr>
      <w:tr>
        <w:trPr>
          <w:trHeight w:val="250"/>
        </w:trPr>
        <w:tc>
          <w:tcPr>
            <w:tcW w:w="4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Pr>
          <w:p>
            <w:pPr>
              <w:ind w:left="360"/>
              <w:spacing w:after="0"/>
              <w:rPr>
                <w:sz w:val="20"/>
                <w:szCs w:val="20"/>
                <w:color w:val="auto"/>
              </w:rPr>
            </w:pPr>
            <w:r>
              <w:rPr>
                <w:rFonts w:ascii="Arial" w:cs="Arial" w:eastAsia="Arial" w:hAnsi="Arial"/>
                <w:sz w:val="16"/>
                <w:szCs w:val="16"/>
                <w:color w:val="auto"/>
              </w:rPr>
              <w:t>Total acquisition-related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amortization of debt issuance costs and discount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January 31,</w:t>
            </w: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2017</w:t>
            </w:r>
          </w:p>
        </w:tc>
      </w:tr>
      <w:tr>
        <w:trPr>
          <w:trHeight w:val="250"/>
        </w:trPr>
        <w:tc>
          <w:tcPr>
            <w:tcW w:w="4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360"/>
              <w:spacing w:after="0"/>
              <w:rPr>
                <w:sz w:val="20"/>
                <w:szCs w:val="20"/>
                <w:color w:val="auto"/>
              </w:rPr>
            </w:pPr>
            <w:r>
              <w:rPr>
                <w:rFonts w:ascii="Arial" w:cs="Arial" w:eastAsia="Arial" w:hAnsi="Arial"/>
                <w:sz w:val="16"/>
                <w:szCs w:val="16"/>
                <w:color w:val="auto"/>
              </w:rPr>
              <w:t>Total amortization of debt issuance costs and discount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60" w:firstLine="8"/>
        <w:spacing w:after="0" w:line="349" w:lineRule="auto"/>
        <w:tabs>
          <w:tab w:leader="none" w:pos="391" w:val="left"/>
        </w:tabs>
        <w:numPr>
          <w:ilvl w:val="0"/>
          <w:numId w:val="45"/>
        </w:numPr>
        <w:rPr>
          <w:rFonts w:ascii="Arial" w:cs="Arial" w:eastAsia="Arial" w:hAnsi="Arial"/>
          <w:sz w:val="14"/>
          <w:szCs w:val="14"/>
          <w:color w:val="auto"/>
        </w:rPr>
      </w:pPr>
      <w:r>
        <w:rPr>
          <w:rFonts w:ascii="Arial" w:cs="Arial" w:eastAsia="Arial" w:hAnsi="Arial"/>
          <w:sz w:val="14"/>
          <w:szCs w:val="14"/>
          <w:color w:val="auto"/>
        </w:rPr>
        <w:t>See Note 2 and Note 16 to our consolidated financial statements elsewhere in this Annual Report on Form 10-K for an explanation of the method used to calculate our basic and diluted net loss per share attributable to our common stockholders and the weighted-average number of shares used in the computation of the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2"/>
              </w:rPr>
              <w:t>As of January 31,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0"/>
        </w:trPr>
        <w:tc>
          <w:tcPr>
            <w:tcW w:w="4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Sheets Data: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Cash, cash equivalents and marketable securities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1,918,608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912,064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191,655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65,772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33,450</w:t>
            </w:r>
          </w:p>
        </w:tc>
      </w:tr>
      <w:tr>
        <w:trPr>
          <w:trHeight w:val="219"/>
        </w:trPr>
        <w:tc>
          <w:tcPr>
            <w:tcW w:w="42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Working capital (deficit)</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1,428,721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(19,013)</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2,732,533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1,404,906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433,219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217,703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91,371</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 and noncurrent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76,551</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738,029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214,728</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(730,116)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(637,487)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(519,126)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(378,948)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(243,458)</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 (deficit)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(243,453)</w:t>
            </w:r>
          </w:p>
        </w:tc>
      </w:tr>
      <w:tr>
        <w:trPr>
          <w:trHeight w:val="182"/>
        </w:trPr>
        <w:tc>
          <w:tcPr>
            <w:tcW w:w="4240" w:type="dxa"/>
            <w:vAlign w:val="bottom"/>
          </w:tcPr>
          <w:p>
            <w:pPr>
              <w:spacing w:after="0"/>
              <w:rPr>
                <w:sz w:val="20"/>
                <w:szCs w:val="20"/>
                <w:color w:val="auto"/>
              </w:rPr>
            </w:pPr>
            <w:r>
              <w:rPr>
                <w:rFonts w:ascii="Arial" w:cs="Arial" w:eastAsia="Arial" w:hAnsi="Arial"/>
                <w:sz w:val="14"/>
                <w:szCs w:val="14"/>
                <w:color w:val="auto"/>
              </w:rPr>
              <w:t>______________________________</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86"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Working capital (deficit) is defined as current assets less current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“Special Note Regarding Forward-Looking Statements.” You should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 Our fiscal years ended January 31, 2021, January 31, 2020, and January 31, 2019, are referred to herein as fiscal 2021, fiscal 2020, and fiscal 2019, respectively.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84"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We believe we are defining a new category called the Security Cloud, with the power to transform the security industry much the same way the cloud has transformed the customer relationship management, human resources,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cloud workloads, cloud containers, mobile,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Our single lightweight agent is installed on each endpoint or the cloud workload host and provides local detection and prevention capabilities while also intelligently collecting and streaming high fidelity data to our platform for real-time decision-making. Our Threat Graph processes, correlates, and analyzes this data in the cloud using a combination of AI and behavioral pattern-matching techniques. By analyzing and correlating information across our massive, crowdsourced dataset, we are able to deploy our AI algorithms at cloud-scale and build a more intelligent, effective solution to detect threats and stop breaches that on-premise or single instance cloud products cannot match. Today, we offer 19 cloud modules via a SaaS subscription-based model that spans multiple large markets, including corporate workload security, security and vulnerability management, managed security services, IT operations management, threat intelligence services, identity protection and log management.</w:t>
      </w:r>
    </w:p>
    <w:p>
      <w:pPr>
        <w:spacing w:after="0" w:line="16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$5.9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March 2020, the World Health Organization declared the COVID-19 outbreak to be a pandemic. Since then, the COVID-19 pandemic has rapidly spread across the globe and has already resulted in significant volatility, uncertainty, and economic disruption. Thus far, the impact of the pandemic has been modest with some customers, particularly in heavily impacted industries, requesting special billing or payment terms. Our gross retention rate for the fourth quarter of fiscal 2021 remained consistently high and our dollar-based net retention rate once again exceeded 120 percent as we continued to expand module adoption within new and existing customers. In March 2020, we implemented several measures to help protect the health and safety of our employees around the globe including restricting all travel and transitioning 100% of our workforce to be remote. In addition, in response to the uncertain macroeconomic environment, we converted all of our marketable securities to cash and cash equivalents, and as of January 31, 2021, all of our investments were classified as cash.</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continue to conduct business as usual with modifications to employee travel, employee work locations, customer interactions, and cancellation of certain marketing events, among other things.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 operations until future periods, if at all. The extent of the impact of the COVID-19 pandemic will depend on several factors, including the pace of reopening the economy around the world; the possible resurgence in the spread of the virus; the development cycle of therapeutics and vaccines; the impact on our customers and our sales cycles; the impact on our customer, employee, and industry events; and the effect on our vendors. Please see Part I, Item 1A, “Risk Factors” in this Annual Report on Form 10-K for a further description of the material risks we currently face, including risks related to the COVID-19 pandemic.</w:t>
      </w:r>
    </w:p>
    <w:p>
      <w:pPr>
        <w:spacing w:after="0" w:line="194"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March 2020, we launched two initiatives to help our customers quickly onboard new remote workers without sacrificing protection or having to worry about a procurement cycle. This included a surge relief plan that allows our customers to surge the number of endpoints for a limited time. Additionally, we launched a Falcon Prevent for Home Use program that allows our customers’ company administrators to install Falcon Prevent on their employees’ home systems. We believe both of these initiatives have been well received by our customers.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September 30, 2020, we acquired Preempt Security, a privately-held Delaware corporation that developed real-time access control and threat prevention technology (the “Acquisition”). The total consideration transferred was $91.2 million which consisted of $87.4 million in cash and $3.8 million representing the fair value of replacement equity awards attributable to pre-acquisition service. The purchase price was allocated, on a preliminary basis, to identified intangible assets, which include developed technology, customer relationships and trade names, of $16.4 million, net tangible assets acquired of $(0.5) million and goodwill of $75.3 million, representing the excess of the purchase price over the fair value of net tangible and intangible assets acquired. With this acquisition, we plan to offer customers enhanced Zero Trust security capabilities and strengthen our Falcon platform with conditional access technology. The addition of Preempt Security’s technology to the Falcon platform will help customers achieve end-to-end visibility and enforcement on identity data.</w:t>
      </w:r>
    </w:p>
    <w:p>
      <w:pPr>
        <w:spacing w:after="0" w:line="192"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On January 4, 2021, we amended and restated our existing credit agreement (the “A&amp;R Credit Agreement” and the facility thereunder the “Revolving Facility”) among CrowdStrike, Inc., as borrower, CrowdStrike Holdings, Inc., as guarantor, and Silicon Valley Bank and the other lenders party thereto, providing us with a revolving line of credit of up to $750.0 million, including a letter of credit sub-facility in the aggregate amount of $100.0 million, and a swingline sub-facility in the aggregate amount of $50.0 million. We also have the option to request an incremental facility of up to an additional $250.0 million from one or more of the lenders under the A&amp;R Credit Agreement. The A&amp;R Credit Agreement is guaranteed by all of our material domestic subsidiaries. The maturity date under the A&amp;R Credit Agreement is January 2, 2026.</w:t>
      </w:r>
    </w:p>
    <w:p>
      <w:pPr>
        <w:spacing w:after="0" w:line="17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January 20, 2021, we issued and sold $750.0 million aggregate principal amount of 3.000% Senior Notes due 2029 (the “Senior Notes”). The Senior Notes are guaranteed by one of our subsidiaries, CrowdStrike, Inc., as of the closing date, and thereafter will be guaranteed by any of our domestic subsidiaries that become borrowers or guarantors under our senior secured revolving credit facility. The Senior Notes and the guarantee are general unsecured senior obligations and rank equal in right of payment to all of our existing and future senior indebtedness. Interest will be payable semi-annually at a rate of 3.000% per year. The Senior Notes will mature on February 15, 2029. We may redeem the Senior Notes prior to maturity under certain circumstances. The net proceeds from the debt offering were $739.6 million after deducting the underwriting commissions of $9.4 million and $1.0 million of issuance costs, which were paid as of January 31, 2021.</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7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84"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Adoption of Our Solutions. </w:t>
      </w:r>
      <w:r>
        <w:rPr>
          <w:rFonts w:ascii="Arial" w:cs="Arial" w:eastAsia="Arial" w:hAnsi="Arial"/>
          <w:sz w:val="16"/>
          <w:szCs w:val="16"/>
          <w:color w:val="auto"/>
        </w:rPr>
        <w:t>We believe our future success depends in large part on the growth in the market for cloud-based SaaS-delivered endpoint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 to attract new customers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9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b w:val="1"/>
          <w:bCs w:val="1"/>
          <w:i w:val="1"/>
          <w:iCs w:val="1"/>
          <w:color w:val="auto"/>
        </w:rPr>
        <w:t xml:space="preserve">Maintain Customer Retention and Increase Sales. </w:t>
      </w:r>
      <w:r>
        <w:rPr>
          <w:rFonts w:ascii="Arial" w:cs="Arial" w:eastAsia="Arial" w:hAnsi="Arial"/>
          <w:sz w:val="17"/>
          <w:szCs w:val="17"/>
          <w:color w:val="auto"/>
        </w:rPr>
        <w:t>Our ability to increase revenue depends in large part on our ability to retain our existing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increase the ARR of their 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We currently have 19 cloud modules that span multiple large markets.</w:t>
      </w:r>
    </w:p>
    <w:p>
      <w:pPr>
        <w:spacing w:after="0" w:line="17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Invest in Growth. </w:t>
      </w:r>
      <w:r>
        <w:rPr>
          <w:rFonts w:ascii="Arial" w:cs="Arial" w:eastAsia="Arial" w:hAnsi="Arial"/>
          <w:sz w:val="16"/>
          <w:szCs w:val="16"/>
          <w:color w:val="auto"/>
        </w:rPr>
        <w:t>We believe that our market opportunity is large and requires us to continue to invest significantly in sales and marketing efforts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number of our subscription customers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As of January 31,</w:t>
            </w:r>
          </w:p>
        </w:tc>
        <w:tc>
          <w:tcPr>
            <w:tcW w:w="144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customers</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1420" w:type="dxa"/>
            <w:vAlign w:val="bottom"/>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103 %</w:t>
            </w:r>
          </w:p>
        </w:tc>
      </w:tr>
    </w:tbl>
    <w:p>
      <w:pPr>
        <w:spacing w:after="0" w:line="20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added 4,465 net new subscription customers during fiscal 2021, including 64 from the acquisition of Preempt Security, for a total of 9,896 subscription customers as of January 31, 2021, representing 82% growth year-over-year.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Recurring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ARR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The following table sets forth our ARR as of the dates presented: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66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1"/>
              </w:rPr>
              <w:t>As of January 31,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23"/>
        </w:trPr>
        <w:tc>
          <w:tcPr>
            <w:tcW w:w="6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64"/>
        </w:trPr>
        <w:tc>
          <w:tcPr>
            <w:tcW w:w="6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1,050,051</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600,456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312,656</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121 %</w:t>
            </w:r>
          </w:p>
        </w:tc>
      </w:tr>
    </w:tbl>
    <w:p>
      <w:pPr>
        <w:spacing w:after="0" w:line="20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ARR increased 75% year-over-year and grew to $1.1 billion as of January 31, 2021, of which $449.6 million was net new ARR added during fiscal 2021, including $6.8 million from the acquisition of Preempt Security.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2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As of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5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Dollar-based net retention rate</w:t>
            </w:r>
          </w:p>
        </w:tc>
        <w:tc>
          <w:tcPr>
            <w:tcW w:w="9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125 %</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r>
    </w:tbl>
    <w:p>
      <w:pPr>
        <w:spacing w:after="0" w:line="20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 additional cloud modules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6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 and malware analysis,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7"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Professional Services Cost of Revenue. </w:t>
      </w:r>
      <w:r>
        <w:rPr>
          <w:rFonts w:ascii="Arial" w:cs="Arial" w:eastAsia="Arial" w:hAnsi="Arial"/>
          <w:sz w:val="16"/>
          <w:szCs w:val="16"/>
          <w:color w:val="auto"/>
        </w:rPr>
        <w:t>Professional services cost of revenue consists primarily of employee-related costs, such as salaries and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expense, technology, property and equipment depreciation, and an allocated portion of facilities and administrative costs.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84"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employee-related expenses such as salaries, commissions, and bonuses.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amortize any such expenses paid for the renewal of a subscription to sales and marketing expense over the term of the renewal.</w:t>
      </w:r>
    </w:p>
    <w:p>
      <w:pPr>
        <w:spacing w:after="0" w:line="205" w:lineRule="exact"/>
        <w:rPr>
          <w:sz w:val="20"/>
          <w:szCs w:val="20"/>
          <w:color w:val="auto"/>
        </w:rPr>
      </w:pPr>
    </w:p>
    <w:p>
      <w:pPr>
        <w:ind w:right="200" w:firstLine="324"/>
        <w:spacing w:after="0" w:line="243"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18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 such as salaries and bonuses; 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76"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 salaries and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74" w:lineRule="exact"/>
        <w:rPr>
          <w:sz w:val="20"/>
          <w:szCs w:val="20"/>
          <w:color w:val="auto"/>
        </w:rPr>
      </w:pPr>
    </w:p>
    <w:p>
      <w:pPr>
        <w:ind w:right="360" w:firstLine="324"/>
        <w:spacing w:after="0" w:line="270" w:lineRule="auto"/>
        <w:rPr>
          <w:sz w:val="20"/>
          <w:szCs w:val="20"/>
          <w:color w:val="auto"/>
        </w:rPr>
      </w:pPr>
      <w:r>
        <w:rPr>
          <w:rFonts w:ascii="Arial" w:cs="Arial" w:eastAsia="Arial" w:hAnsi="Arial"/>
          <w:sz w:val="17"/>
          <w:szCs w:val="17"/>
          <w:color w:val="auto"/>
        </w:rPr>
        <w:t>As a public company, 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interest expense on our secured revolving credit facility, interest expense from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issuance costs, and contractual interest expense for our Senior Notes issued in January 2021. We expect interest expense to be higher in fiscal 2022 as a result of the issuance of our Senior Notes.</w:t>
      </w:r>
    </w:p>
    <w:p>
      <w:pPr>
        <w:spacing w:after="0" w:line="184"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consists primarily of income earned on our cash equivalents and marketable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related to the fair value of warrants for our redeemable convertible preferred stock and foreign currency transaction gains and losses.</w:t>
      </w:r>
    </w:p>
    <w:p>
      <w:pPr>
        <w:spacing w:after="0" w:line="124"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Provision for income taxes consists of federal and state income taxes in the United States and income taxes and</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our consolidated statements of operations in dollar amounts and as a percentage of total revenue for each period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presented: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1"/>
              </w:rPr>
              <w:t>Year Ended January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3"/>
        </w:trPr>
        <w:tc>
          <w:tcPr>
            <w:tcW w:w="7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 in thousands)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804,670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436,323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219,401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30,423</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249,824</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line="230" w:lineRule="exact"/>
              <w:rPr>
                <w:sz w:val="20"/>
                <w:szCs w:val="20"/>
                <w:color w:val="auto"/>
              </w:rPr>
            </w:pPr>
            <w:r>
              <w:rPr>
                <w:rFonts w:ascii="Arial" w:cs="Arial" w:eastAsia="Arial" w:hAnsi="Arial"/>
                <w:sz w:val="18"/>
                <w:szCs w:val="18"/>
                <w:color w:val="auto"/>
              </w:rPr>
              <w:t>Subscription</w:t>
            </w:r>
            <w:r>
              <w:rPr>
                <w:rFonts w:ascii="Arial" w:cs="Arial" w:eastAsia="Arial" w:hAnsi="Arial"/>
                <w:sz w:val="23"/>
                <w:szCs w:val="23"/>
                <w:color w:val="auto"/>
                <w:vertAlign w:val="superscript"/>
              </w:rPr>
              <w:t>(1)(2)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185,212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69,208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Professional services</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87,238</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162,586</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172,682</w:t>
            </w: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214,670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130,188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84,551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(1)(3)</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42,217</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299,450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(136,864)</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line="230" w:lineRule="exact"/>
              <w:rPr>
                <w:sz w:val="20"/>
                <w:szCs w:val="20"/>
                <w:color w:val="auto"/>
              </w:rPr>
            </w:pPr>
            <w:r>
              <w:rPr>
                <w:rFonts w:ascii="Arial" w:cs="Arial" w:eastAsia="Arial" w:hAnsi="Arial"/>
                <w:sz w:val="18"/>
                <w:szCs w:val="18"/>
                <w:color w:val="auto"/>
              </w:rPr>
              <w:t>Interest expense</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(139,782)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(138,710)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(140,077)</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4"/>
                <w:szCs w:val="14"/>
                <w:color w:val="auto"/>
              </w:rPr>
              <w:t>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7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60" w:type="dxa"/>
            <w:vAlign w:val="bottom"/>
          </w:tcPr>
          <w:p>
            <w:pPr>
              <w:ind w:left="340"/>
              <w:spacing w:after="0"/>
              <w:rPr>
                <w:sz w:val="20"/>
                <w:szCs w:val="20"/>
                <w:color w:val="auto"/>
              </w:rPr>
            </w:pPr>
            <w:r>
              <w:rPr>
                <w:rFonts w:ascii="Arial" w:cs="Arial" w:eastAsia="Arial" w:hAnsi="Arial"/>
                <w:sz w:val="18"/>
                <w:szCs w:val="18"/>
                <w:color w:val="auto"/>
              </w:rPr>
              <w:t>(1) Includes stock-based compensation expense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1"/>
              </w:rPr>
              <w:t>Year Ended January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4"/>
        </w:trPr>
        <w:tc>
          <w:tcPr>
            <w:tcW w:w="7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Professional services cost of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340"/>
              <w:spacing w:after="0"/>
              <w:rPr>
                <w:sz w:val="20"/>
                <w:szCs w:val="20"/>
                <w:color w:val="auto"/>
              </w:rPr>
            </w:pPr>
            <w:r>
              <w:rPr>
                <w:rFonts w:ascii="Arial" w:cs="Arial" w:eastAsia="Arial" w:hAnsi="Arial"/>
                <w:sz w:val="18"/>
                <w:szCs w:val="18"/>
                <w:color w:val="auto"/>
              </w:rPr>
              <w:t>(2) Includes amortization of acquired intangible assets as follows:</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06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1"/>
              </w:rPr>
              <w:t>Year Ended January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4"/>
        </w:trPr>
        <w:tc>
          <w:tcPr>
            <w:tcW w:w="7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Total amortization of purchased intangibles</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1,448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
        </w:trPr>
        <w:tc>
          <w:tcPr>
            <w:tcW w:w="7060" w:type="dxa"/>
            <w:vAlign w:val="bottom"/>
            <w:vMerge w:val="restart"/>
          </w:tcPr>
          <w:p>
            <w:pPr>
              <w:ind w:left="340"/>
              <w:spacing w:after="0"/>
              <w:rPr>
                <w:sz w:val="20"/>
                <w:szCs w:val="20"/>
                <w:color w:val="auto"/>
              </w:rPr>
            </w:pPr>
            <w:r>
              <w:rPr>
                <w:rFonts w:ascii="Arial" w:cs="Arial" w:eastAsia="Arial" w:hAnsi="Arial"/>
                <w:sz w:val="18"/>
                <w:szCs w:val="18"/>
                <w:color w:val="auto"/>
              </w:rPr>
              <w:t>(3) Includes acquisition-related expenses as follows:</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7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0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1"/>
              </w:rPr>
              <w:t>Year Ended January,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4"/>
        </w:trPr>
        <w:tc>
          <w:tcPr>
            <w:tcW w:w="7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Total acquisition-related expenses</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3,758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060" w:type="dxa"/>
            <w:vAlign w:val="bottom"/>
            <w:vMerge w:val="restart"/>
          </w:tcPr>
          <w:p>
            <w:pPr>
              <w:ind w:left="340"/>
              <w:spacing w:after="0"/>
              <w:rPr>
                <w:sz w:val="20"/>
                <w:szCs w:val="20"/>
                <w:color w:val="auto"/>
              </w:rPr>
            </w:pPr>
            <w:r>
              <w:rPr>
                <w:rFonts w:ascii="Arial" w:cs="Arial" w:eastAsia="Arial" w:hAnsi="Arial"/>
                <w:sz w:val="18"/>
                <w:szCs w:val="18"/>
                <w:color w:val="auto"/>
              </w:rPr>
              <w:t>(4)  Includes amortization of debt issuance costs and discount as follows:</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0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1"/>
              </w:rPr>
              <w:t>Year Ended January,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3"/>
        </w:trPr>
        <w:tc>
          <w:tcPr>
            <w:tcW w:w="70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Total amortization of debt issuance costs and discount</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our consolidated statements of operations as a percentage of total revenue for the periods presented:</w:t>
      </w:r>
    </w:p>
    <w:p>
      <w:pPr>
        <w:spacing w:after="0" w:line="69"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66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52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66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5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Total cost of revenue</w:t>
            </w:r>
          </w:p>
        </w:tc>
        <w:tc>
          <w:tcPr>
            <w:tcW w:w="5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76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2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66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2021 and Fiscal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total revenue from subscriptions and professional services for fiscal 2021, as compared to fiscal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Total revenue increased by $393.0 million, or 82%, in fiscal 2021, compared to fiscal 2020. Subscription revenue accounted for 92% of our total revenue in fiscal 2021, and 91% in fiscal 2020. Professional services revenue accounted for 8% of our total revenue in fiscal 2021 and 9% in fiscal 2020.</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Subscription revenue increased by $368.3 million, or 84%, in fiscal 2021, compared to fiscal 2020. This increase was primarily attributable to the addition of new subscription customers, as we increased our customer base by 82%, from 5,431 subscription customers in fiscal 2020 to 9,896 subscription customers in fiscal 2021. Subscription revenue from new customers, subscription revenue from the renewal of existing customers, and subscription revenue from the sale of additional endpoints and additional modules to existing customers accounted for 33%, 36%, and 31% of total subscription revenue in fiscal 2021, respectively. Subscription revenue from new customers, subscription revenue from the renewal of existing customers, and subscription revenue from the sale of additional endpoints and additional modules to existing customers accounted for 40%, 33%, and 27% of total subscription revenue in fiscal 2020, respectively.</w:t>
      </w:r>
    </w:p>
    <w:p>
      <w:pPr>
        <w:spacing w:after="0" w:line="19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Professional services revenue increased by $24.7 million, or 55%, in fiscal 2021, compared to fiscal 2020, and was primarily attributable to an increase in the number of professional service hours performed.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cost of revenue related to subscriptions and professional services for fiscal 2021, as compared to fiscal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Total cost of revenue increased by $87.9 million, or 62%, in fiscal 2021, compared to fiscal 2020. Subscription cost of revenue increased by $72.7 million, or 65%, in fiscal 2021, compared to fiscal 2020. The increase in subscription cost of revenue was primarily due to an increase in employee-related expenses of $27.6 million driven by a 74% increase in average headcount, an increase in cloud hosting and related services of $23.3 million driven by increased customer activity, an increase in depreciation of data center equipment of $7.8 million, an increase in stock-based compensation expense of $6.5 million, an increase in allocated overhead costs of $4.1 million, an increase in the amortization of internal use software of $1.6 million, and an increase in employee health insurance expense of $1.4 million, partially offset by a $1.2 million decrease in travel related costs due to the fact that, as a result of the COVID-19 pandemic, a majority of our workforce was working remotely and incurred limited travel costs during fiscal 2021.</w:t>
      </w:r>
    </w:p>
    <w:p>
      <w:pPr>
        <w:spacing w:after="0" w:line="193"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Professional services cost of revenue increased by $15.2 million, or 52%, in fiscal 2021, compared to fiscal 2020. The increase in professional services cost of revenue was primarily due to an increase in employee-related expenses of $11.4 million driven by an increase in average headcount of 47% and an increase in stock-based compensation expense of $3.5 million, partially offset by a $1.1 million decrease in travel related costs due to the fact that, as a result of the COVID-19 pandemic, a majority of our workforce was working remotely and incurred limited travel costs during fiscal 2021.</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shows gross profit and gross margin for subscriptions and professional services for fiscal 2021, as compared to fiscal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Year Ended</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6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6"/>
              </w:rPr>
              <w:t>January 31,</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7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77 %</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Professional services gross margin</w:t>
            </w:r>
          </w:p>
        </w:tc>
        <w:tc>
          <w:tcPr>
            <w:tcW w:w="460" w:type="dxa"/>
            <w:vAlign w:val="bottom"/>
          </w:tcPr>
          <w:p>
            <w:pPr>
              <w:ind w:left="60"/>
              <w:spacing w:after="0"/>
              <w:rPr>
                <w:sz w:val="20"/>
                <w:szCs w:val="20"/>
                <w:color w:val="auto"/>
              </w:rPr>
            </w:pPr>
            <w:r>
              <w:rPr>
                <w:rFonts w:ascii="Arial" w:cs="Arial" w:eastAsia="Arial" w:hAnsi="Arial"/>
                <w:sz w:val="18"/>
                <w:szCs w:val="18"/>
                <w:color w:val="auto"/>
                <w:w w:val="92"/>
              </w:rPr>
              <w:t>36 %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74 %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202"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Subscription gross margin increased by 3%, in fiscal 2021, compared to fiscal 2020. This increase was a result of continuing to shift more of our operations from third-party cloud service providers to colocation data centers, renegotiating the terms of a third-party cloud service provider contract, and continued optimization of our software development and our cloud database systems, which has resulted in reduced data center usage. This increase in gross margin was also due to the continued expansion of module adoption by our customer base. As of January 31, 2021, 63% of our customer base had adopted four or more modules and 47% of our customer base had adopted five or more modules. As of January 31, 2020, 54% of our customer base had adopted four or more modules and 33% of our customer base had adopted five or more modules. Our “collect once, reuse many” data strategy means that after the first module is paid for and covers the cost of data storage and most computational costs, each additional subscription module carries a higher margin. We expect gross margin to fluctuate quarter to quarter given the timing of turning on new cloud data centers in new geographies to accommodate increased activity and demand.</w:t>
      </w:r>
    </w:p>
    <w:p>
      <w:pPr>
        <w:spacing w:after="0" w:line="208"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Professional services gross margin increased by 2% in fiscal 2021, compared to fiscal 2020. The increase in professional services gross margin was due to an increase in utilization during fiscal 2021 compared to fiscal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sales and marketing expenses for fiscal 2021, as compared to fiscal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2"/>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Sales and marketing expenses increased by $134.7 million, or 51%, in fiscal 2021, compared to fiscal 2020. The increase in sales and marketing expenses was primarily due to an increase in employee-related expenses of $82.5 million driven by an increase in sales and marketing average headcount of 40%, an increase in stock-based compensation of $26.6 million, an increase in marketing programs of $21.5 million, an increase in allocated overhead costs of $5.5 million, an increase in employee health insurance expense of $2.0 million, an increase in company events expenses of $1.3 million, and an increase in contract labor costs of $1.1 million, partially offset by a $11.7 million decrease in travel-related costs due to the fact that, as a result of the COVID-19 pandemic, a majority of our workforce was working remotely and incurred limited travel costs during fiscal 2021.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i w:val="1"/>
                <w:iCs w:val="1"/>
                <w:color w:val="auto"/>
              </w:rPr>
              <w:t>Research and Development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80" w:type="dxa"/>
            <w:vAlign w:val="bottom"/>
            <w:gridSpan w:val="7"/>
          </w:tcPr>
          <w:p>
            <w:pPr>
              <w:ind w:left="340"/>
              <w:spacing w:after="0"/>
              <w:rPr>
                <w:sz w:val="20"/>
                <w:szCs w:val="20"/>
                <w:color w:val="auto"/>
              </w:rPr>
            </w:pPr>
            <w:r>
              <w:rPr>
                <w:rFonts w:ascii="Arial" w:cs="Arial" w:eastAsia="Arial" w:hAnsi="Arial"/>
                <w:sz w:val="18"/>
                <w:szCs w:val="18"/>
                <w:color w:val="auto"/>
                <w:w w:val="99"/>
              </w:rPr>
              <w:t>The following shows research and development expenses for fiscal 2021, as compared to fiscal 2020: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ind w:left="620"/>
              <w:spacing w:after="0" w:line="202" w:lineRule="exact"/>
              <w:rPr>
                <w:sz w:val="20"/>
                <w:szCs w:val="20"/>
                <w:color w:val="auto"/>
              </w:rPr>
            </w:pPr>
            <w:r>
              <w:rPr>
                <w:rFonts w:ascii="Arial" w:cs="Arial" w:eastAsia="Arial" w:hAnsi="Arial"/>
                <w:sz w:val="18"/>
                <w:szCs w:val="18"/>
                <w:b w:val="1"/>
                <w:bCs w:val="1"/>
                <w:color w:val="auto"/>
                <w:w w:val="92"/>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2"/>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Research and development expenses increased by $84.5 million, or 65% in fiscal 2021, compared to fiscal 2020. This increase was primarily due to an increase in employee-related expenses of $46.7 million driven by an increase in research and development average headcount of 59%, an increase in stock-based compensation of $24.9 million, an increase in cloud hosting and related costs of $7.3 million, an increase in allocated overhead costs of $5.2 million, an increase in depreciation of data center equipment of $3.6 million, and an increase in employee health insurance expense of $1.6 million, partially offset by a $3.1 million decrease in travel-related costs due to the fact that, as a result of the COVID-19 pandemic, a majority of our workforce was working remotely and incurred limited travel costs during fiscal 2021, and a decrease in expenses related to company events of $1.9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general and administrative expenses for fiscal 2021, as compared to fiscal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2"/>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General and administrative expenses increased by $32.4 million, or 36%, in fiscal 2021, compared to fiscal 2020. The increase in general and administrative expenses was primarily due an increase in employee-related expenses of $12.9 million driven by an increase in general and administrative average headcount of 51%, an increase in stock-based compensation expense of $8.2 million, an increase in consulting expense of $3.9 million primarily due to acquisition related expense and debt issuance costs, an increase in corporate insurance expense of $2.5 million due to an increase in directors and officers insurance as a result of being a public company, an increase in overhead costs of $2.0 million, an increase in accounting expenses of $1.5 million, an increase in business taxes and license fees of $1.4 million, and an increase in legal expenses of $1.3 million, partially offset by a decrease in expenses related to company events of $1.1 million and a decrease of $1.1 million in travel-related costs due to the fact that, as a result of the COVID-19 pandemic, a majority of our workforce was working remotely and incurred limited travel costs during fiscal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interest and other expense, net, for fiscal 2021, as compared to fiscal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Interest Expense consists primarily of interest expense from the amortization of debt issuance costs and contractual interest expense for our Senior Notes issued in January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Other income, net, was $6.2 million in fiscal 2021 compared to $6.7 million in fiscal 2020. This decrease of $0.5 million was driven primarily by a decrease in interest income of $6.7 million due to lower prevailing rates in fiscal 2021 compared to fiscal 2020 and a decrease in income from a legal settlement of $1.3 million which occurred during fiscal 2020, partially offset by a decrease in expense related to the fair value of redeemable convertible preferred stock warrants of $6.0 million as the warrants were converted into common stock upon our IPO in June 2019 and an increase in realized gain on marketable securities of $1.3 million due to our having liquidated our portfolio of marketable securities during the first quarter of fiscal 2021 in response to the economic uncertainty surrounding the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the provision for income taxes for fiscal 2021, as compared to fiscal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2"/>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80" w:firstLine="324"/>
        <w:spacing w:after="0" w:line="294" w:lineRule="auto"/>
        <w:rPr>
          <w:sz w:val="20"/>
          <w:szCs w:val="20"/>
          <w:color w:val="auto"/>
        </w:rPr>
      </w:pPr>
      <w:r>
        <w:rPr>
          <w:rFonts w:ascii="Arial" w:cs="Arial" w:eastAsia="Arial" w:hAnsi="Arial"/>
          <w:sz w:val="16"/>
          <w:szCs w:val="16"/>
          <w:color w:val="auto"/>
        </w:rPr>
        <w:t>The increase in the provision for income taxes of $2.8 million during fiscal 2021 compared to fiscal 2020 was primarily driven by an increase in international taxes from increased activity in certain foreign jurisdictions, withholding taxes related to customer payments, and U.S. income tax expense related to the realized gain on the sale of marketable securities, partially offset by a $0.9 million tax benefit from the acquisition of Preempt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2020 and Fiscal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total revenue from subscriptions and professional services for fiscal 2020, as compared to fiscal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14,667</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231,589</w:t>
            </w: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60"/>
        <w:spacing w:after="0" w:line="342" w:lineRule="auto"/>
        <w:rPr>
          <w:sz w:val="20"/>
          <w:szCs w:val="20"/>
          <w:color w:val="auto"/>
        </w:rPr>
      </w:pPr>
      <w:r>
        <w:rPr>
          <w:rFonts w:ascii="Arial" w:cs="Arial" w:eastAsia="Arial" w:hAnsi="Arial"/>
          <w:sz w:val="16"/>
          <w:szCs w:val="16"/>
          <w:color w:val="auto"/>
        </w:rPr>
        <w:t>Total revenue increased by $231.6 million, or 93%, in fiscal 2020, compared to fiscal 2019. Subscription revenue accounted for 91% of our total revenue in fiscal 2020 and 88% in fiscal 2019. Professional services revenue accounted for 9% of our total revenue in fiscal 2020 and 12% in fiscal 2019.</w:t>
      </w:r>
    </w:p>
    <w:p>
      <w:pPr>
        <w:spacing w:after="0" w:line="124"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Subscription revenue increased by $216.9 million, or 99%, in fiscal 2020, compared to fiscal 2019. This increase was primarily attributable to the addition of new subscription customers, as we increased our customer base by 116%, from 2,516 subscription customers in fiscal 2019 to 5,431 subscription customers in fiscal 2020. Subscription revenue from new customers, subscription revenue from the renewal of existing customers, and subscription revenue from the sale of additional endpoints and additional modules to existing customers accounted for 40%, 33%, and 27% of total subscription revenue in fiscal 2020, respectively. Subscription revenue from new customers, subscription revenue from the renewal of existing customers, and subscription revenue from the sale of additional endpoints and additional modules to existing customers accounted for 59%, 23%, and 18% of total subscription revenue in fiscal 2019, respectively.</w:t>
      </w:r>
    </w:p>
    <w:p>
      <w:pPr>
        <w:spacing w:after="0" w:line="19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Professional services revenue increased by $14.7 million, or 48%, in fiscal 2020, compared to fiscal 2019, and was primarily attributable to an increase in the number of professional service hours performed.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20" w:type="dxa"/>
            <w:vAlign w:val="bottom"/>
            <w:gridSpan w:val="11"/>
          </w:tcPr>
          <w:p>
            <w:pPr>
              <w:ind w:left="340"/>
              <w:spacing w:after="0"/>
              <w:rPr>
                <w:sz w:val="20"/>
                <w:szCs w:val="20"/>
                <w:color w:val="auto"/>
              </w:rPr>
            </w:pPr>
            <w:r>
              <w:rPr>
                <w:rFonts w:ascii="Arial" w:cs="Arial" w:eastAsia="Arial" w:hAnsi="Arial"/>
                <w:sz w:val="18"/>
                <w:szCs w:val="18"/>
                <w:color w:val="auto"/>
                <w:w w:val="95"/>
              </w:rPr>
              <w:t>The following shows cost of revenue related to subscriptions and professional services for fiscal 2020, as compared to fiscal 2019: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cost of revenue increased by $54.4 million, or 62%, in fiscal 2020, compared to fiscal 2019. Subscription cost of revenue increased by</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$43.3 million, or 63%, in fiscal 2020, compared to fiscal 2019. The increase in subscription cost of revenue was primarily due to an increase in employee-related payroll expenses of $17.1 million driven by a 114% increase in average headcount which included significant hiring of customer support employees, an increase in cloud hosting and related services of $10.1 million, an increase in stock-based compensation expense of $4.5 million, an increase in depreciation of data center equipment of $3.8 million, an increase in allocated overhead costs of $3.7 million, an increase in employee health insurance expense of $1.1 million, and an increase in the amortization of capitalized internal use software of $1.0 million.</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Professional services cost of revenue increased by $11.1 million, or 62%, in fiscal 2020, compared to fiscal 2019. The increase in professional services cost of revenue was primarily due to an increase in employee-related payroll expenses of $6.5 million driven by an increase in average headcount of 53%, an increase in stock-based compensation of $2.3 million, an increase in allocated overhead costs of $0.9 million, and an increase in cloud hosting and related services of $0.4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shows gross profit and gross margin for subscriptions and professional services for fiscal 2020, as compared to fiscal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gross profit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 gross profit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8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6"/>
              </w:rPr>
              <w:t>January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6"/>
        </w:trPr>
        <w:tc>
          <w:tcPr>
            <w:tcW w:w="7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2"/>
              </w:rPr>
              <w:t>74 %</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Professional services gross margin</w:t>
            </w:r>
          </w:p>
        </w:tc>
        <w:tc>
          <w:tcPr>
            <w:tcW w:w="480" w:type="dxa"/>
            <w:vAlign w:val="bottom"/>
          </w:tcPr>
          <w:p>
            <w:pPr>
              <w:ind w:left="80"/>
              <w:spacing w:after="0"/>
              <w:rPr>
                <w:sz w:val="20"/>
                <w:szCs w:val="20"/>
                <w:color w:val="auto"/>
              </w:rPr>
            </w:pPr>
            <w:r>
              <w:rPr>
                <w:rFonts w:ascii="Arial" w:cs="Arial" w:eastAsia="Arial" w:hAnsi="Arial"/>
                <w:sz w:val="18"/>
                <w:szCs w:val="18"/>
                <w:color w:val="auto"/>
                <w:w w:val="92"/>
              </w:rPr>
              <w:t>35 %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71 %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bl>
    <w:p>
      <w:pPr>
        <w:spacing w:after="0" w:line="20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Subscription gross margin increased by 6%, in fiscal 2020, compared to fiscal 2019.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and the uptake of multiple cloud modules by our customer base. Our “collect once, reuse many” data strategy means that after the first module is paid for and covers the cost of data storage and most computational costs, each additional subscription module carries a higher margin. The decrease in professional services gross margin was due to a decrease in utilization in fiscal 2020 compared to fiscal 2019.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sales and marketing expenses for fiscal 2020, as compared to fiscal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2"/>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Sales and marketing expenses increased by $93.9 million, or 54%, in fiscal 2020, compared to fiscal 2019. The increase in sales and marketing expenses was primarily due to an increase in employee-related payroll expenses of $36.5 million driven by an increase in average sales and marketing headcount of 54%, an increase in stock-based compensation of $18.7 million, an increase in marketing programs of $17.3 million, an increase in allocated overhead costs of $6.8 million, an increase in travel-related costs of $5.4 million, and an increase in employee health insurance expense of $2.2 million. As a result of adopting ASC 606 effective February 1, 2019, our commissions expense in fiscal 2020 was $21.7 million lower than it would have been under ASC 605.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research and development expenses for fiscal 2020, as compared to fiscal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2"/>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Research and development expenses increased by $45.6 million, or 54%, in fiscal 2020, compared to fiscal 2019. This increase was primarily due to an increase in employee-related payroll expenses of $24.5 million, driven by an increase in average research and development headcount of 45%. In addition, there was an increase of $7.6 million in stock-based compensation expense, an increase in cloud hosting and related costs of $6.3 million, an increase in allocated overhead costs of $3.7 million, an increase in employee health insurance expense of $1.3 million, and an increase in travel-related costs of $1.0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general and administrative expenses for fiscal 2020, as compared to fiscal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620"/>
              <w:spacing w:after="0"/>
              <w:rPr>
                <w:sz w:val="20"/>
                <w:szCs w:val="20"/>
                <w:color w:val="auto"/>
              </w:rPr>
            </w:pPr>
            <w:r>
              <w:rPr>
                <w:rFonts w:ascii="Arial" w:cs="Arial" w:eastAsia="Arial" w:hAnsi="Arial"/>
                <w:sz w:val="18"/>
                <w:szCs w:val="18"/>
                <w:b w:val="1"/>
                <w:bCs w:val="1"/>
                <w:color w:val="auto"/>
                <w:w w:val="92"/>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2"/>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General and administrative expenses increased by $46.9 million, or 111%, in fiscal 2020, compared to fiscal 2019. The increase in general and administrative expenses was primarily due to an increase in stock-based compensation expense of $26.9 million and an increase in employee-related payroll expenses of $9.9 million, driven by an increase in average general and administrative headcount of 66%. In addition, there was a $3.6 million increase in corporate insurance expense and a $1.6 million increase in allocated overhead costs.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and Other Income (Expense), Net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5"/>
          </w:tcPr>
          <w:p>
            <w:pPr>
              <w:jc w:val="right"/>
              <w:spacing w:after="0"/>
              <w:rPr>
                <w:sz w:val="20"/>
                <w:szCs w:val="20"/>
                <w:color w:val="auto"/>
              </w:rPr>
            </w:pPr>
            <w:r>
              <w:rPr>
                <w:rFonts w:ascii="Arial" w:cs="Arial" w:eastAsia="Arial" w:hAnsi="Arial"/>
                <w:sz w:val="18"/>
                <w:szCs w:val="18"/>
                <w:color w:val="auto"/>
                <w:w w:val="94"/>
              </w:rPr>
              <w:t>The following shows interest and other expense, net, for fiscal 2020, as compared to fiscal 2019:</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gridSpan w:val="6"/>
          </w:tcPr>
          <w:p>
            <w:pPr>
              <w:ind w:left="160"/>
              <w:spacing w:after="0"/>
              <w:rPr>
                <w:sz w:val="20"/>
                <w:szCs w:val="20"/>
                <w:color w:val="auto"/>
              </w:rPr>
            </w:pPr>
            <w:r>
              <w:rPr>
                <w:rFonts w:ascii="Arial" w:cs="Arial" w:eastAsia="Arial" w:hAnsi="Arial"/>
                <w:sz w:val="18"/>
                <w:szCs w:val="18"/>
                <w:b w:val="1"/>
                <w:bCs w:val="1"/>
                <w:color w:val="auto"/>
              </w:rPr>
              <w:t>(dollars 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Interest expense was essentially unchanged in fiscal 2020 compared to fiscal 2019 and is primarily due to the amortization of debt issuance costs on our $150.0 million loan facility which has not been drawn down.</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Other income (expense), net, was an income of $6.7 million in fiscal 2020 compared to an expense of $1.4 million in fiscal 2019. This increase in other income of $8.1 million was driven primarily by an increase in interest income of $9.0 million due to increased cash balances in fiscal 2020 as a result of our IPO and income from a legal settlement of $1.3 million, partially offset by an increase in the fair value of the redeemable convertible preferred stock warrants of $2.4 million. These warrants were converted to warrants to purchase common stock in connection with our IPO.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provision for income taxes for fiscal 2020, as compared to fiscal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3"/>
          </w:tcPr>
          <w:p>
            <w:pPr>
              <w:ind w:left="620"/>
              <w:spacing w:after="0"/>
              <w:rPr>
                <w:sz w:val="20"/>
                <w:szCs w:val="20"/>
                <w:color w:val="auto"/>
              </w:rPr>
            </w:pPr>
            <w:r>
              <w:rPr>
                <w:rFonts w:ascii="Arial" w:cs="Arial" w:eastAsia="Arial" w:hAnsi="Arial"/>
                <w:sz w:val="18"/>
                <w:szCs w:val="18"/>
                <w:b w:val="1"/>
                <w:bCs w:val="1"/>
                <w:color w:val="auto"/>
                <w:w w:val="94"/>
              </w:rPr>
              <w:t>Year Ended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4"/>
              </w:rPr>
              <w:t>January 31,</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(dollars in thousands)</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had a provision for income taxes of $2.0 million in fiscal 2020 and a provision for income taxes of $1.4 million in fiscal 2019 resulting in an increase in income tax expense of $0.6 million. The increase was driven primarily by an increase in our international income tax expense of $1.0 million due to increased activity in several countries during fiscal 2020, partially offset by an income tax benefit of $0.4 million related to the unrealized gain on our available-for-sale securities. We maintain a full valuation allowance against our deferred tax assets for US federal and state and U.K. income tax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measures, may be helpful to investors because such measures provide consistency and comparability with past financial performance and,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a reconciliation of our non-GAAP subscription gross profit to our GAAP subscription gross profit and of our non-GAAP subscription gross margin to our GAAP subscription gross margin as of the periods presented: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January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w w:val="87"/>
              </w:rPr>
              <w:t>(dollars in thousands)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subscription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804,670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436,323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219,401</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GAAP subscription gross profit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619,458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323,849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150,193</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Add: Amortization of acquired intangible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subscription 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632,220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329,398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151,209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subscription gross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74 %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subscription gross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define non-GAAP income (loss) from operations and non-GAAP operating margin as GAAP loss from operations and GAAP operating margin, respectively, excluding stock-based compensation expense, amortization of acquired intangible assets, and acquisition-related expenses. We believe non-GAAP income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a reconciliation of our non-GAAP income (loss) from operations to our GAAP loss from operations and our non-GAAP operating margin to our GAAP operating margin as of the periods presented: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January 31,</w:t>
            </w:r>
          </w:p>
        </w:tc>
        <w:tc>
          <w:tcPr>
            <w:tcW w:w="112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63"/>
        </w:trPr>
        <w:tc>
          <w:tcPr>
            <w:tcW w:w="6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w w:val="87"/>
              </w:rPr>
              <w:t>(dollars in thousands)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874,438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481,413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249,824</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GAAP loss from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(92,529)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(146,065)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(136,864)</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149,675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79,940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20,505</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Add: Amortization of acquired intangible assets</w:t>
            </w: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583</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Acquisition-related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Non-GAAP income (loss)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62,352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(65,638)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(115,776)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Free cash flow is a non-GAAP financial measure that we define as net cash provided by (used in) operating activities less purchases of property and equipment and capitalized internal-use software. 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 In addition, other companies may calculate free cash flow differently or not at all, which reduces the usefulness of free cash flow as a tool for comparison.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 reconciliation of free cash flow and free cash flow margin to net cash provided by (used in) operating activities: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b w:val="1"/>
                <w:bCs w:val="1"/>
                <w:color w:val="auto"/>
                <w:w w:val="91"/>
              </w:rPr>
              <w:t>Year Ended January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874,438</w:t>
            </w:r>
          </w:p>
        </w:tc>
        <w:tc>
          <w:tcPr>
            <w:tcW w:w="5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481,413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249,824</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GAAP net cash provided by (used in)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300"/>
              <w:spacing w:after="0"/>
              <w:rPr>
                <w:sz w:val="20"/>
                <w:szCs w:val="20"/>
                <w:color w:val="auto"/>
              </w:rPr>
            </w:pPr>
            <w:r>
              <w:rPr>
                <w:rFonts w:ascii="Arial" w:cs="Arial" w:eastAsia="Arial" w:hAnsi="Arial"/>
                <w:sz w:val="18"/>
                <w:szCs w:val="18"/>
                <w:color w:val="auto"/>
              </w:rPr>
              <w:t>356,566</w:t>
            </w:r>
          </w:p>
        </w:tc>
        <w:tc>
          <w:tcPr>
            <w:tcW w:w="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99,943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(22,968)</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Purchases of property and equipment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(52,799)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Capitalized internal-use software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5"/>
              </w:rPr>
              <w:t>(10,864)</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292,903</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12,456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(65,613)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net cash provided by (used in) investing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Pr>
          <w:p>
            <w:pPr>
              <w:ind w:left="300"/>
              <w:spacing w:after="0" w:line="203" w:lineRule="exact"/>
              <w:rPr>
                <w:sz w:val="20"/>
                <w:szCs w:val="20"/>
                <w:color w:val="auto"/>
              </w:rPr>
            </w:pPr>
            <w:r>
              <w:rPr>
                <w:rFonts w:ascii="Arial" w:cs="Arial" w:eastAsia="Arial" w:hAnsi="Arial"/>
                <w:sz w:val="18"/>
                <w:szCs w:val="18"/>
                <w:color w:val="auto"/>
              </w:rPr>
              <w:t>495,427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(629,631)</w:t>
            </w:r>
          </w:p>
        </w:tc>
        <w:tc>
          <w:tcPr>
            <w:tcW w:w="120" w:type="dxa"/>
            <w:vAlign w:val="bottom"/>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(142,030)</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net cash provided by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800,135</w:t>
            </w:r>
          </w:p>
        </w:tc>
        <w:tc>
          <w:tcPr>
            <w:tcW w:w="5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706,144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190,389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GAAP net cash provided by operating activities as a percentage of revenue</w:t>
            </w:r>
          </w:p>
        </w:tc>
        <w:tc>
          <w:tcPr>
            <w:tcW w:w="2060" w:type="dxa"/>
            <w:vAlign w:val="bottom"/>
          </w:tcPr>
          <w:p>
            <w:pPr>
              <w:jc w:val="right"/>
              <w:ind w:right="450"/>
              <w:spacing w:after="0"/>
              <w:rPr>
                <w:sz w:val="20"/>
                <w:szCs w:val="20"/>
                <w:color w:val="auto"/>
              </w:rPr>
            </w:pPr>
            <w:r>
              <w:rPr>
                <w:rFonts w:ascii="Arial" w:cs="Arial" w:eastAsia="Arial" w:hAnsi="Arial"/>
                <w:sz w:val="18"/>
                <w:szCs w:val="18"/>
                <w:color w:val="auto"/>
              </w:rPr>
              <w:t>41 %</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21 %</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Less: Purchases of property and equipment as a percentage of revenue</w:t>
            </w:r>
          </w:p>
        </w:tc>
        <w:tc>
          <w:tcPr>
            <w:tcW w:w="2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560" w:type="dxa"/>
            <w:vAlign w:val="bottom"/>
          </w:tcPr>
          <w:p>
            <w:pPr>
              <w:ind w:left="300"/>
              <w:spacing w:after="0"/>
              <w:rPr>
                <w:sz w:val="20"/>
                <w:szCs w:val="20"/>
                <w:color w:val="auto"/>
              </w:rPr>
            </w:pPr>
            <w:r>
              <w:rPr>
                <w:rFonts w:ascii="Arial" w:cs="Arial" w:eastAsia="Arial" w:hAnsi="Arial"/>
                <w:sz w:val="18"/>
                <w:szCs w:val="18"/>
                <w:color w:val="auto"/>
              </w:rPr>
              <w:t>Less: Capitalized internal-use software as a percentage of revenue</w:t>
            </w:r>
          </w:p>
        </w:tc>
        <w:tc>
          <w:tcPr>
            <w:tcW w:w="206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margin</w:t>
            </w:r>
          </w:p>
        </w:tc>
        <w:tc>
          <w:tcPr>
            <w:tcW w:w="20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33 %</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following table sets forth our unaudited quarterly statements of operations data for each of the quarters indicated. The unaudited quarterly statements of operations data set forth below have been prepared on the same basis as our audited consolidated financial statements and, in the opinion of management, reflect all adjustments, consisting only of normal recurring adjustments, that are necessary for the fair statement of such data. Our historical results are not necessarily indicative of the results that may be expected in the future, and the results for any quarter are not necessarily indicative of results to be expected for a full year or any other period. The following quarterly financial data should be read in conjunction with our consolidated financial statements and the related notes included elsewhere in this Annual Report on Form 10-K.</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0"/>
              </w:rPr>
              <w:t>July 31, 2020</w:t>
            </w:r>
          </w:p>
        </w:tc>
        <w:tc>
          <w:tcPr>
            <w:tcW w:w="120" w:type="dxa"/>
            <w:vAlign w:val="bottom"/>
            <w:vMerge w:val="restart"/>
          </w:tcPr>
          <w:p>
            <w:pPr>
              <w:spacing w:after="0"/>
              <w:rPr>
                <w:sz w:val="11"/>
                <w:szCs w:val="11"/>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9"/>
              </w:rPr>
              <w:t>April 30, 2020</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1"/>
                <w:szCs w:val="11"/>
                <w:color w:val="auto"/>
              </w:rPr>
            </w:pPr>
          </w:p>
        </w:tc>
        <w:tc>
          <w:tcPr>
            <w:tcW w:w="9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July 31, 2019</w:t>
            </w:r>
          </w:p>
        </w:tc>
        <w:tc>
          <w:tcPr>
            <w:tcW w:w="100" w:type="dxa"/>
            <w:vAlign w:val="bottom"/>
            <w:vMerge w:val="restart"/>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244,662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213,530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184,256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162,222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138,537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114,221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97,575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85,990</w:t>
            </w: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20,267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18,930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15,856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10,087</w:t>
            </w: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264,929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232,460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198,971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178,078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152,109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125,119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108,108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96,077</w:t>
            </w: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40"/>
              <w:spacing w:after="0" w:line="189" w:lineRule="exact"/>
              <w:rPr>
                <w:sz w:val="20"/>
                <w:szCs w:val="20"/>
                <w:color w:val="auto"/>
              </w:rPr>
            </w:pPr>
            <w:r>
              <w:rPr>
                <w:rFonts w:ascii="Arial" w:cs="Arial" w:eastAsia="Arial" w:hAnsi="Arial"/>
                <w:sz w:val="14"/>
                <w:szCs w:val="14"/>
                <w:color w:val="auto"/>
              </w:rPr>
              <w:t>Subscription</w:t>
            </w:r>
            <w:r>
              <w:rPr>
                <w:rFonts w:ascii="Arial" w:cs="Arial" w:eastAsia="Arial" w:hAnsi="Arial"/>
                <w:sz w:val="18"/>
                <w:szCs w:val="18"/>
                <w:color w:val="auto"/>
                <w:vertAlign w:val="superscript"/>
              </w:rPr>
              <w:t>(1)(2)</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54,348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49,583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29,221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23,691</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40"/>
              <w:spacing w:after="0" w:line="189"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(1)</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12,384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11,944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9,651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5,582</w:t>
            </w: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cost of revenue</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66,732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61,527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54,391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46,895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43,417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37,355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31,582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29,273</w:t>
            </w: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198,197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170,933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144,580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131,183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108,692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87,764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76,526</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66,804</w:t>
            </w: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Sales and marketing</w:t>
            </w:r>
            <w:r>
              <w:rPr>
                <w:rFonts w:ascii="Arial" w:cs="Arial" w:eastAsia="Arial" w:hAnsi="Arial"/>
                <w:sz w:val="18"/>
                <w:szCs w:val="18"/>
                <w:color w:val="auto"/>
                <w:vertAlign w:val="superscript"/>
              </w:rPr>
              <w:t>(1)(2)</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105,602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88,138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56,843</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line="18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(1)(2)</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66,070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57,539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50,483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40,578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31,630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23,875</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(1)(3)</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35,481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31,951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25,043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30,261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11,861</w:t>
            </w: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214,000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195,092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174,571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153,759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139,825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126,282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127,165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92,579</w:t>
            </w: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(25,775)</w:t>
            </w:r>
          </w:p>
        </w:tc>
        <w:tc>
          <w:tcPr>
            <w:tcW w:w="0" w:type="dxa"/>
            <w:vAlign w:val="bottom"/>
          </w:tcPr>
          <w:p>
            <w:pPr>
              <w:spacing w:after="0"/>
              <w:rPr>
                <w:sz w:val="1"/>
                <w:szCs w:val="1"/>
                <w:color w:val="auto"/>
              </w:rPr>
            </w:pPr>
          </w:p>
        </w:tc>
      </w:tr>
      <w:tr>
        <w:trPr>
          <w:trHeight w:val="189"/>
        </w:trPr>
        <w:tc>
          <w:tcPr>
            <w:tcW w:w="2580" w:type="dxa"/>
            <w:vAlign w:val="bottom"/>
          </w:tcPr>
          <w:p>
            <w:pPr>
              <w:ind w:left="140"/>
              <w:spacing w:after="0" w:line="189" w:lineRule="exact"/>
              <w:rPr>
                <w:sz w:val="20"/>
                <w:szCs w:val="20"/>
                <w:color w:val="auto"/>
              </w:rPr>
            </w:pPr>
            <w:r>
              <w:rPr>
                <w:rFonts w:ascii="Arial" w:cs="Arial" w:eastAsia="Arial" w:hAnsi="Arial"/>
                <w:sz w:val="14"/>
                <w:szCs w:val="14"/>
                <w:color w:val="auto"/>
              </w:rPr>
              <w:t>Interest expense</w:t>
            </w:r>
            <w:r>
              <w:rPr>
                <w:rFonts w:ascii="Arial" w:cs="Arial" w:eastAsia="Arial" w:hAnsi="Arial"/>
                <w:sz w:val="18"/>
                <w:szCs w:val="18"/>
                <w:color w:val="auto"/>
                <w:vertAlign w:val="superscript"/>
              </w:rPr>
              <w:t>(4)</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4,533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79"/>
        </w:trPr>
        <w:tc>
          <w:tcPr>
            <w:tcW w:w="258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(29,433)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(51,254)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(25,382)</w:t>
            </w: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55"/>
        </w:trPr>
        <w:tc>
          <w:tcPr>
            <w:tcW w:w="258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(19,002)</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(24,531)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(29,874)</w:t>
            </w:r>
          </w:p>
        </w:tc>
        <w:tc>
          <w:tcPr>
            <w:tcW w:w="1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(19,222)</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(28,408)</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(35,505)</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(51,889)</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(25,977)</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8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Net loss per share attributable to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2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8"/>
                <w:szCs w:val="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82"/>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basic and diluted</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Weighted-average shares used in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4"/>
                <w:szCs w:val="14"/>
                <w:color w:val="auto"/>
                <w:w w:val="94"/>
              </w:rPr>
              <w:t>computing net loss per share attributable to</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221,700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219,401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216,695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213,129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207,565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204,096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130,091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47,205</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common stockholders, basic and diluted</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r>
        <w:rPr>
          <w:rFonts w:ascii="Arial" w:cs="Arial" w:eastAsia="Arial" w:hAnsi="Arial"/>
          <w:sz w:val="16"/>
          <w:szCs w:val="16"/>
          <w:color w:val="auto"/>
        </w:rPr>
        <w:t>____________________</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stock-based compensation expense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2"/>
              </w:rPr>
              <w:t>July 31, 2020</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April 30, 2020</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1"/>
                <w:szCs w:val="11"/>
                <w:color w:val="auto"/>
              </w:rPr>
            </w:pPr>
          </w:p>
        </w:tc>
        <w:tc>
          <w:tcPr>
            <w:tcW w:w="9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July 31, 2019</w:t>
            </w:r>
          </w:p>
        </w:tc>
        <w:tc>
          <w:tcPr>
            <w:tcW w:w="100" w:type="dxa"/>
            <w:vAlign w:val="bottom"/>
            <w:vMerge w:val="restart"/>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88"/>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3,226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Professional services cost of revenue</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12,811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86"/>
        </w:trPr>
        <w:tc>
          <w:tcPr>
            <w:tcW w:w="25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11,771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11,251</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15"/>
        </w:trPr>
        <w:tc>
          <w:tcPr>
            <w:tcW w:w="2500" w:type="dxa"/>
            <w:vAlign w:val="bottom"/>
          </w:tcPr>
          <w:p>
            <w:pPr>
              <w:ind w:left="220"/>
              <w:spacing w:after="0" w:line="115" w:lineRule="exact"/>
              <w:rPr>
                <w:sz w:val="20"/>
                <w:szCs w:val="20"/>
                <w:color w:val="auto"/>
              </w:rPr>
            </w:pPr>
            <w:r>
              <w:rPr>
                <w:rFonts w:ascii="Arial" w:cs="Arial" w:eastAsia="Arial" w:hAnsi="Arial"/>
                <w:sz w:val="13"/>
                <w:szCs w:val="13"/>
                <w:color w:val="auto"/>
              </w:rPr>
              <w:t>Total stock-based compensation</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47,714</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40,610</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37,713</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23,638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24,363</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21,966</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29,859</w:t>
            </w:r>
          </w:p>
        </w:tc>
        <w:tc>
          <w:tcPr>
            <w:tcW w:w="100" w:type="dxa"/>
            <w:vAlign w:val="bottom"/>
          </w:tcPr>
          <w:p>
            <w:pPr>
              <w:spacing w:after="0"/>
              <w:rPr>
                <w:sz w:val="10"/>
                <w:szCs w:val="10"/>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167"/>
        </w:trPr>
        <w:tc>
          <w:tcPr>
            <w:tcW w:w="2500" w:type="dxa"/>
            <w:vAlign w:val="bottom"/>
          </w:tcPr>
          <w:p>
            <w:pPr>
              <w:ind w:left="220"/>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Includes amortization of acquired intangible assets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July 31, 2020</w:t>
            </w:r>
          </w:p>
        </w:tc>
        <w:tc>
          <w:tcPr>
            <w:tcW w:w="100" w:type="dxa"/>
            <w:vAlign w:val="bottom"/>
            <w:vMerge w:val="restart"/>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April 30, 2020</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1"/>
                <w:szCs w:val="11"/>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July 31, 2019</w:t>
            </w:r>
          </w:p>
        </w:tc>
        <w:tc>
          <w:tcPr>
            <w:tcW w:w="100" w:type="dxa"/>
            <w:vAlign w:val="bottom"/>
            <w:vMerge w:val="restart"/>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April 30, 2019</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6"/>
        </w:trPr>
        <w:tc>
          <w:tcPr>
            <w:tcW w:w="25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15"/>
        </w:trPr>
        <w:tc>
          <w:tcPr>
            <w:tcW w:w="2580" w:type="dxa"/>
            <w:vAlign w:val="bottom"/>
          </w:tcPr>
          <w:p>
            <w:pPr>
              <w:ind w:left="220"/>
              <w:spacing w:after="0" w:line="115" w:lineRule="exact"/>
              <w:rPr>
                <w:sz w:val="20"/>
                <w:szCs w:val="20"/>
                <w:color w:val="auto"/>
              </w:rPr>
            </w:pPr>
            <w:r>
              <w:rPr>
                <w:rFonts w:ascii="Arial" w:cs="Arial" w:eastAsia="Arial" w:hAnsi="Arial"/>
                <w:sz w:val="13"/>
                <w:szCs w:val="13"/>
                <w:color w:val="auto"/>
              </w:rPr>
              <w:t>Total amortization of purchased</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0"/>
                <w:szCs w:val="10"/>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0"/>
                <w:szCs w:val="10"/>
                <w:color w:val="auto"/>
              </w:rPr>
            </w:pPr>
          </w:p>
        </w:tc>
        <w:tc>
          <w:tcPr>
            <w:tcW w:w="40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intangibles</w:t>
            </w: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Includes acquisition-related expenses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8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July 31, 2020</w:t>
            </w:r>
          </w:p>
        </w:tc>
        <w:tc>
          <w:tcPr>
            <w:tcW w:w="100" w:type="dxa"/>
            <w:vAlign w:val="bottom"/>
            <w:vMerge w:val="restart"/>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2020</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1"/>
                <w:szCs w:val="11"/>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9"/>
              </w:rPr>
              <w:t>July 31, 2019</w:t>
            </w:r>
          </w:p>
        </w:tc>
        <w:tc>
          <w:tcPr>
            <w:tcW w:w="100" w:type="dxa"/>
            <w:vAlign w:val="bottom"/>
            <w:vMerge w:val="restart"/>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580" w:type="dxa"/>
            <w:vAlign w:val="bottom"/>
          </w:tcPr>
          <w:p>
            <w:pPr>
              <w:ind w:left="220"/>
              <w:spacing w:after="0"/>
              <w:rPr>
                <w:sz w:val="20"/>
                <w:szCs w:val="20"/>
                <w:color w:val="auto"/>
              </w:rPr>
            </w:pPr>
            <w:r>
              <w:rPr>
                <w:rFonts w:ascii="Arial" w:cs="Arial" w:eastAsia="Arial" w:hAnsi="Arial"/>
                <w:sz w:val="14"/>
                <w:szCs w:val="14"/>
                <w:color w:val="auto"/>
              </w:rPr>
              <w:t>Total acquisition-related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2,119</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Includes amortization of debt issuance costs and discount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July 31, 2020</w:t>
            </w:r>
          </w:p>
        </w:tc>
        <w:tc>
          <w:tcPr>
            <w:tcW w:w="100" w:type="dxa"/>
            <w:vAlign w:val="bottom"/>
            <w:vMerge w:val="restart"/>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April 30, 2020</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January 31,</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October 31,</w:t>
            </w:r>
          </w:p>
        </w:tc>
        <w:tc>
          <w:tcPr>
            <w:tcW w:w="8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July 31, 2019</w:t>
            </w:r>
          </w:p>
        </w:tc>
        <w:tc>
          <w:tcPr>
            <w:tcW w:w="100" w:type="dxa"/>
            <w:vAlign w:val="bottom"/>
            <w:vMerge w:val="restart"/>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April 30, 2019</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2580" w:type="dxa"/>
            <w:vAlign w:val="bottom"/>
          </w:tcPr>
          <w:p>
            <w:pPr>
              <w:ind w:left="220"/>
              <w:spacing w:after="0" w:line="115" w:lineRule="exact"/>
              <w:rPr>
                <w:sz w:val="20"/>
                <w:szCs w:val="20"/>
                <w:color w:val="auto"/>
              </w:rPr>
            </w:pPr>
            <w:r>
              <w:rPr>
                <w:rFonts w:ascii="Arial" w:cs="Arial" w:eastAsia="Arial" w:hAnsi="Arial"/>
                <w:sz w:val="13"/>
                <w:szCs w:val="13"/>
                <w:color w:val="auto"/>
              </w:rPr>
              <w:t>Total amortization of debt issuance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costs and discount</w:t>
            </w: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Percentage of Revenue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our statement of operations as a percentage of total revenue for each of the quarters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80" w:type="dxa"/>
            <w:vAlign w:val="bottom"/>
          </w:tcPr>
          <w:p>
            <w:pPr>
              <w:spacing w:after="0"/>
              <w:rPr>
                <w:sz w:val="11"/>
                <w:szCs w:val="11"/>
                <w:color w:val="auto"/>
              </w:rPr>
            </w:pPr>
          </w:p>
        </w:tc>
        <w:tc>
          <w:tcPr>
            <w:tcW w:w="118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January 31,</w:t>
            </w:r>
          </w:p>
        </w:tc>
        <w:tc>
          <w:tcPr>
            <w:tcW w:w="11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31,</w:t>
            </w: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July 31, 2020</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April 30, 2020</w:t>
            </w:r>
          </w:p>
        </w:tc>
        <w:tc>
          <w:tcPr>
            <w:tcW w:w="11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January 31,</w:t>
            </w:r>
          </w:p>
        </w:tc>
        <w:tc>
          <w:tcPr>
            <w:tcW w:w="116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October 31,</w:t>
            </w: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July 31, 2019</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1060" w:type="dxa"/>
            <w:vAlign w:val="bottom"/>
          </w:tcPr>
          <w:p>
            <w:pPr>
              <w:jc w:val="right"/>
              <w:spacing w:after="0"/>
              <w:rPr>
                <w:sz w:val="20"/>
                <w:szCs w:val="20"/>
                <w:color w:val="auto"/>
              </w:rPr>
            </w:pPr>
            <w:r>
              <w:rPr>
                <w:rFonts w:ascii="Arial" w:cs="Arial" w:eastAsia="Arial" w:hAnsi="Arial"/>
                <w:sz w:val="14"/>
                <w:szCs w:val="14"/>
                <w:color w:val="auto"/>
              </w:rPr>
              <w:t>92 %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6"/>
        </w:trPr>
        <w:tc>
          <w:tcPr>
            <w:tcW w:w="2280" w:type="dxa"/>
            <w:vAlign w:val="bottom"/>
          </w:tcPr>
          <w:p>
            <w:pPr>
              <w:ind w:left="360"/>
              <w:spacing w:after="0"/>
              <w:rPr>
                <w:sz w:val="20"/>
                <w:szCs w:val="20"/>
                <w:color w:val="auto"/>
              </w:rPr>
            </w:pPr>
            <w:r>
              <w:rPr>
                <w:rFonts w:ascii="Arial" w:cs="Arial" w:eastAsia="Arial" w:hAnsi="Arial"/>
                <w:sz w:val="14"/>
                <w:szCs w:val="14"/>
                <w:color w:val="auto"/>
              </w:rPr>
              <w:t>Total revenue</w:t>
            </w:r>
          </w:p>
        </w:tc>
        <w:tc>
          <w:tcPr>
            <w:tcW w:w="106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106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6"/>
        </w:trPr>
        <w:tc>
          <w:tcPr>
            <w:tcW w:w="2280" w:type="dxa"/>
            <w:vAlign w:val="bottom"/>
          </w:tcPr>
          <w:p>
            <w:pPr>
              <w:ind w:left="360"/>
              <w:spacing w:after="0"/>
              <w:rPr>
                <w:sz w:val="20"/>
                <w:szCs w:val="20"/>
                <w:color w:val="auto"/>
              </w:rPr>
            </w:pPr>
            <w:r>
              <w:rPr>
                <w:rFonts w:ascii="Arial" w:cs="Arial" w:eastAsia="Arial" w:hAnsi="Arial"/>
                <w:sz w:val="14"/>
                <w:szCs w:val="14"/>
                <w:color w:val="auto"/>
              </w:rPr>
              <w:t>Total cost of revenue</w:t>
            </w:r>
          </w:p>
        </w:tc>
        <w:tc>
          <w:tcPr>
            <w:tcW w:w="106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26 %</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86"/>
        </w:trPr>
        <w:tc>
          <w:tcPr>
            <w:tcW w:w="22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6"/>
        </w:trPr>
        <w:tc>
          <w:tcPr>
            <w:tcW w:w="228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1060" w:type="dxa"/>
            <w:vAlign w:val="bottom"/>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84 %</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86 %</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22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Loss before provision for income</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taxes</w:t>
            </w: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2"/>
        </w:trPr>
        <w:tc>
          <w:tcPr>
            <w:tcW w:w="22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Total revenue increased sequentially in each of the quarters presented primarily due to our addition of new customers, as well as sales of additional endpoints and modules to existing customers. We typically receive a higher percentage of our annual orders from new customers, as well as renewal orders from existing customers, in our fourth fiscal quarter as compared to other quarters due to the annual budget approval process of many of our customers. However, because we recognize revenue ratably over the term of our subscription contracts, a substantial portion of the revenue that we report in each period is attributable to orders that we received during previous periods. Consequently, increases or decreases in new sales or renewals in any one period may not be immediately reflected in our revenue for that period and may negatively affect our revenue in future periods. Accordingly, the effect of downturns in sales and market acceptance of our cloud platform, and potential changes in our rate of renewals, may not be fully reflected in our results of operations until future periods. Professional services revenue is dependent upon the number of hours performed in a quarter and can vary from period to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Total cost of revenue increased sequentially in each of the quarters presented was primarily driven by an increase in employee-related expenses, cloud hosting and related expenses, depreciation of data center equipment, stock-based compensation expenses and amortization of internal-use software.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Gross Margin Trends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overall increase in gross margin over the course of the periods presented was primarily due to the continued expansion of module adoption by our customer base, the continuation to shift more of our operations from third-party cloud service providers to colocation data centers, renegotiating the terms of a third-party cloud service provider contract, and continued optimization of our software development and our cloud database systems, which has resulted in reduced data center usage.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Expense Trends</w:t>
      </w:r>
    </w:p>
    <w:p>
      <w:pPr>
        <w:spacing w:after="0" w:line="22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Operating expenses generally have increased sequentially for each of the quarters presented, except for the three months ended October 31, 2019, primarily due to increases in employee related expenses associated with increases in our headcount to support our growth and stock-based compensation. We intend to continue to make the significant investments to support our sales and marketing related activities to acquire new customers that we believe will position the Company for future growth. We also intend to invest in research and development efforts to add new features to and enhance the functionality of our existing cloud platform, and to ensure the reliability, availability, and scalability of our solutions.</w:t>
      </w:r>
    </w:p>
    <w:p>
      <w:pPr>
        <w:spacing w:after="0" w:line="163" w:lineRule="exact"/>
        <w:rPr>
          <w:sz w:val="20"/>
          <w:szCs w:val="20"/>
          <w:color w:val="auto"/>
        </w:rPr>
      </w:pPr>
    </w:p>
    <w:p>
      <w:pPr>
        <w:jc w:val="both"/>
        <w:ind w:right="100" w:firstLine="324"/>
        <w:spacing w:after="0" w:line="235" w:lineRule="auto"/>
        <w:rPr>
          <w:sz w:val="20"/>
          <w:szCs w:val="20"/>
          <w:color w:val="auto"/>
        </w:rPr>
      </w:pPr>
      <w:r>
        <w:rPr>
          <w:rFonts w:ascii="Arial" w:cs="Arial" w:eastAsia="Arial" w:hAnsi="Arial"/>
          <w:sz w:val="18"/>
          <w:szCs w:val="18"/>
          <w:color w:val="auto"/>
        </w:rPr>
        <w:t>Operating expenses, particularly general and administrative expenses, increased significantly during the three months ended July 31, 2019 due to the stock-based compensation of $17.3 million related to the performance-based vesting condition for our outstanding RSUs being met during the quarter. We expect operating expenses to continue to increase for the foreseeable future.</w:t>
      </w:r>
    </w:p>
    <w:p>
      <w:pPr>
        <w:spacing w:after="0" w:line="175" w:lineRule="exact"/>
        <w:rPr>
          <w:sz w:val="20"/>
          <w:szCs w:val="20"/>
          <w:color w:val="auto"/>
        </w:rPr>
      </w:pPr>
    </w:p>
    <w:p>
      <w:pPr>
        <w:ind w:firstLine="324"/>
        <w:spacing w:after="0" w:line="227" w:lineRule="auto"/>
        <w:rPr>
          <w:sz w:val="20"/>
          <w:szCs w:val="20"/>
          <w:color w:val="auto"/>
        </w:rPr>
      </w:pPr>
      <w:r>
        <w:rPr>
          <w:rFonts w:ascii="Arial" w:cs="Arial" w:eastAsia="Arial" w:hAnsi="Arial"/>
          <w:sz w:val="18"/>
          <w:szCs w:val="18"/>
          <w:color w:val="auto"/>
        </w:rPr>
        <w:t>The increase in Other income (expense), net during the three months ended October 31, 2019 was primarily driven by interest income of $4.1 million driven by the investment of the proceeds of our initial public offering. The increase in Other income (expense), net during the three months ended April 30, 2020 was due to a realized gain on the sale of marketable securities of $1.3 million, as a result of liquidating our portfolio of marketable securities in response to the economic uncertainty surrounding the COVID-19 pandemic. The decrease in Other income (expense), net during the three months ended July 31, 2020 was primarily due to a decrease in interest income of $2.8 million due to the liquidation of our portfolio of marketable securities in the prior quarter.</w:t>
      </w:r>
    </w:p>
    <w:p>
      <w:pPr>
        <w:spacing w:after="0" w:line="18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increase in Interest Expense during the three months ended January 31, 2021 was primarily driven by interest and amortization of debt issuance costs related to the $750.0 million Senior Notes issued in December 2020.</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increase in the provision for income taxes during the three months ended April 30, 2020 was primarily due to income tax expense of $0.4 million related to the realized gain on the sale of marketable securities. The increase in the provision for income taxes during the three months ended January 31, 2021 was primarily due to an increase in withholding tax related to customer payments, foreign taxes in jurisdictions where we operate, and U.S. state taxes.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January 2021, we issued and sold an aggregate principal amount of $750.0 million of 3.000% Senior Notes due 2029. The net proceeds from the debt offering were $739.6 million after deducting the underwriting commissions of $9.4 million and $1.0 million of issuance costs, which were paid as of January 31, 2021.</w:t>
      </w:r>
    </w:p>
    <w:p>
      <w:pPr>
        <w:spacing w:after="0" w:line="184"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In January 2021, we amended and restated our existing senior secured revolving credit facility and increased the size of the credit facility from $150.0 million to $750.0 million, including a letter of credit sub-facility in the aggregate amount of $100.0 million, and a swingline sub-facility in the aggregate amount of $50.0 million. No amounts were outstanding under the credit facility as of January 31, 2021.</w:t>
      </w:r>
    </w:p>
    <w:p>
      <w:pPr>
        <w:spacing w:after="0" w:line="18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June 2019, upon completion of our IPO, we received net proceeds of $659.2 million, after deducting underwriters’ discounts and commissions and offering expenses of $44.8 million.</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of January 31, 2021, we had cash and cash equivalents, consisting of highly liquid bank deposits, of $1.9 billion. During the first quarter of fiscal 2021, we liquidated our entire portfolio of marketable securities largely in response to the global economic uncertainty in conjunction with the COVID-19 pandemic. This resulted in the recognition of a realized gain of $1.3 million. We expect that our existing cash and cash equivalents will be sufficient to meet our anticipated cash needs for working capital and capital expenditures for at least the next 12 months.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Since our inception, we have generated operating losses, as reflected in our accumulated deficit of $730.1 million as of January 31, 2021.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14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typically invoice our subscription customers annually in advance.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2021, we had deferred revenue of $911.9 million, of which $702.0 million was recorded as a current liability and is expected to be recorded as revenue in the next 12 months, provided all other revenue recognition criteria have been met.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020" w:type="dxa"/>
            <w:vAlign w:val="bottom"/>
          </w:tcPr>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7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1"/>
              </w:rPr>
              <w:t>Year Ended January 31,</w:t>
            </w:r>
          </w:p>
        </w:tc>
        <w:tc>
          <w:tcPr>
            <w:tcW w:w="1000" w:type="dxa"/>
            <w:vAlign w:val="bottom"/>
            <w:tcBorders>
              <w:bottom w:val="single" w:sz="8" w:color="auto"/>
            </w:tcBorders>
          </w:tcPr>
          <w:p>
            <w:pPr>
              <w:spacing w:after="0"/>
              <w:rPr>
                <w:sz w:val="22"/>
                <w:szCs w:val="22"/>
                <w:color w:val="auto"/>
              </w:rPr>
            </w:pPr>
          </w:p>
        </w:tc>
      </w:tr>
      <w:tr>
        <w:trPr>
          <w:trHeight w:val="223"/>
        </w:trPr>
        <w:tc>
          <w:tcPr>
            <w:tcW w:w="7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64"/>
        </w:trPr>
        <w:tc>
          <w:tcPr>
            <w:tcW w:w="7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495,427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(629,631)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(142,030)</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190,389</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Net cash provided by operating activities during fiscal 2021 was $356.6 million, which resulted from a net loss of $92.6 million, adjusted for non-cash charges of $263.6 million and net cash inflow of $185.6 million from changes in operating assets and liabilities. Non-cash charges primarily consisted of $149.7 million in stock-based compensation expense, $66.4 million of amortization of deferred contract acquisition costs, $38.7 million of depreciation and amortization, and $7.8 million of non-cash operating lease costs. The net cash inflow from changes in operating assets and liabilities was primarily due to a $338.8 million increase in deferred revenue, a $33.2 million increase in accrued payroll and benefits, a $23.8 million increase in accrued expenses and other current liabilities and a $11.3 million increase in accounts payable, partially offset by $151.0 million increase in deferred contract acquisition costs and a $72.5 million increase in accounts receivable.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Net cash provided by operating activities during fiscal 2020 was $99.9 million, which resulted from a net loss of $141.8 million, adjusted for non-cash charges of $144.3 million and net cash inflow of $97.5 million from changes in operating assets and liabilities. Non-cash charges primarily consisted of $79.9 million in stock-based compensation expense, $35.5 million of amortization of deferred contract acquisition costs, $23.0 million of depreciation and amortization, and $6.0 million due to the change in the fair value of our redeemable convertible preferred stock warrant liability. The net cash inflow from changes in operating assets and liabilities was primarily due to a $280.8 million increase in deferred revenue and $17.5 million increase in accrued payroll and benefits, partially offset by a $86.6 million increase in deferred contract acquisition costs, $73.1 million increase in accounts receivable and a $43.5 million increase in prepaid expenses and other assets.</w:t>
      </w:r>
    </w:p>
    <w:p>
      <w:pPr>
        <w:spacing w:after="0" w:line="17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Net cash used in operating activities during fiscal 2019 was $23.0 million, which resulted from a net loss of $140.1 million, adjusted for non-cash charges of $67.8 million and net cash inflow of $49.3 million from changes in operating assets and liabilities. Non-cash charges primarily consisted of $28.6 million of amortization of deferred commissions, $20.5 million in stock-based compensation expense, $14.8 million of depreciation and amortization, and $3.6 million due to the change in the fair value of our redeemable convertible preferred stock warrant liability. The net cash inflow from changes in operating assets and liabilities was primarily due to a $131.1 million increase in deferred revenue, partially offset by a $45.1 million increase in deferred contract acquisition costs, and a $33.4 million increase in accounts receivable.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Net cash provided by investing activities during fiscal 2021 of $495.4 million was primarily due to the sale of marketable securities of $639.6 million and the maturities of marketable securities of $91.6 million, partially offset by our acquisition of Preempt Security, net of cash acquired, of $85.5 million, purchases of marketable securities of $84.9 million, purchases of property and equipment of $52.8 million, and capitalized internal-use software of $10.9 million.</w:t>
      </w:r>
    </w:p>
    <w:p>
      <w:pPr>
        <w:spacing w:after="0" w:line="187"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Net cash used in investing activities during fiscal 2020 of $629.6 million was primarily due to purchases of marketable securities of $779.7 million, purchases of property and equipment of $80.2 million, and capitalized internal-use software of $7.3 million, partially offset by maturities of marketable securities of $229.0 million and proceeds from sales of marketable securities of $9.6 million.</w:t>
      </w:r>
    </w:p>
    <w:p>
      <w:pPr>
        <w:spacing w:after="0" w:line="184"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Net cash used in investing activities during fiscal 2019 of $142.0 million was primarily due to purchases of marketable securities of $199.3 million, purchases of property and equipment of $35.9 million, and capitalized internal-use software of $6.8 million, partially offset by maturities of marketable securities of $100.0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Net cash provided by financing activities of $800.1 million during fiscal 2021 was primarily due to $739.6 million related to the issuance of our Senior Notes, after deducting the underwriting commissions and issuance costs paid as of January 31, 2021, proceeds from our employee stock purchase plan of $34.3 million, and proceeds from the exercise of stock options of $28.8 million, partially offset by $3.3 million debt issuance costs related to the revolving credit facility.</w:t>
      </w:r>
    </w:p>
    <w:p>
      <w:pPr>
        <w:spacing w:after="0" w:line="187"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Net cash provided by financing activities of $706.1 million during fiscal 2020 was primarily due to our IPO. On June 14, 2019, we closed our IPO in which we sold 20,700,000 shares of Class A common stock. The shares were sold at a public offering price of $34.00 per share for net proceeds of $665.1 million, after deducting underwriters’ discounts and commissions. In addition, there were proceeds from the exercise of stock options of $21.5 million, proceeds from issuance of common stock under the employee stock purchase plan of $12.4 million, proceeds from issuance of common stock upon exercise of early exercisable stock options of $10.3 million and $2.3 million in claims settlement under Section 16(b) of the Securities Exchange Act of 1934, partially offset by payments of deferred offering costs in the amount of $5.9 million. In December 2019, a security holder paid us $2.3 million to settle a claim under Section 16(b) of the Securities Exchange Act of 1934. Section 16(b) requires certain persons and entities whose securities trading activities result in “short swing” profits to repay such profits to the issuer of the security. This payment was recorded as an increase to stockholders’ equity and as cash provided by financing activities in our consolidated statement of cash flows for the fiscal year ended January 31, 2020.</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of $190.4 million during fiscal 2019 was primarily due to $206.9 million in net proceeds from the issuance of our Series E redeemable convertible preferred stock, $10.0 million in proceeds from our revolving line of credit, and $3.9 million from the exercise of stock options, partially offset by a repayment on our line of credit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$20.0 million, a repayment on our outstanding bank loan of $6.2 million, the repurchase of stock options of $2.3 million, and payments of indemnity holdback and contingent consideration of $2.1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8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On January 4, 2021, we amended and restated our existing credit agreement (the “A&amp;R Credit Agreement” and the facility thereunder the “Revolving Facility”) among CrowdStrike, Inc., as borrower, CrowdStrike Holdings, Inc., as guarantor, and Silicon Valley Bank and the other lenders party thereto, providing us with a revolving line of credit of up to $750.0 million, including a letter of credit sub-facility in the aggregate amount of $100.0 million, and a swingline sub-facility in the aggregate amount of $50.0 million. We also have the option to request an incremental facility of up to an additional $250.0 million from one or more of the lenders under the A&amp;R Credit Agreement. The A&amp;R Credit Agreement is guaranteed by all of our material domestic subsidiaries. The A&amp;R Credit Agreement extended the maturity date of April 19, 2022 to January 2, 2026. Under the A&amp;R Credit Agreement, revolving loans may be either Eurodollar Loans or Alternate Base Rate (“ABR”) Loans. Outstanding Eurodollar Loans incur interest at the Eurodollar Rate, which is defined as LIBOR (or any successor thereto), subject to a 0.00% LIBOR floor, plus a margin between 1.50% and 2.00%, depending on our senior secured leverage ratio. Outstanding ABR Loans incur interest at the highest of (a) the Prime Rate, as published by the Wall Street Journal, (b) the federal funds rate in effect for such day plus 0.50%, and (c) the Eurodollar Rate plus 1.00%, in each case plus a margin between (0.25%) and 0.25%, depending on the senior secured leverage ratio. We will be charged a commitment fee of 0.15% to 0.25% per year for committed but unused amounts, depending on the senior secured leverage ratio. The financial covenants require us to maintain a minimum consolidated interest coverage ratio of 3.00:1.00, a maximum senior secured leverage ratio of 3.00:1.00 (through January 31, 2023), and a maximum total leverage ratio of 5.50:1.00 stepping down to 3.50:1.00 over time. We were in compliance with the financial covenants as of January 31, 2021.</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A&amp;R Credit Agreement is secured by substantially all of our current and future consolidated assets, property and rights, including, but not limited to, intellectual property, cash, goods, equipment, contractual rights, financial assets, and intangible assets of us and certain of our subsidiaries. The A&amp;R Credit Agreement contains customary covenants limiting our ability and the ability of our subsidiaries to, among other things, dispose of assets, undergo a change in control, merge or consolidate, make acquisitions, incur debt, incur liens, pay dividends, repurchase stock, and make investments, in each case subject to certain exceptions.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amounts were outstanding under the A&amp;R Credit Agreement as of January 31,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January 20, 2021, we issued $750.0 million aggregate principal amount of 3.00% Senior Notes maturing in February 2029. The Senior Notes are guaranteed by our subsidiary, CrowdStrike, Inc. and will be guaranteed by each of our existing and future domestic subsidiaries that becomes a borrower or guarantor under our A&amp;R Credit Agreement. The Senior Notes were issued at par and bear interest at a rate of 3.00% per annum. Interest payments are payable semiannually on February 15 and August 15 of each year, commencing on August 15, 2021. We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8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net proceeds from the debt offering were $739.6 million after deducting the underwriting commissions of $9.4 million and $1.0 million of issuance costs, which were paid as of January 31, 2021. An additional $1.6 million of issuance costs are expected to be paid in the first quarter of fiscal 2022. Debt issuance costs of $2.6 million are being amortized to interest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expense using the effective interest method over the term of the Senior Notes. Interest expense related to contractual interest expense and amortization of debt issuance costs was $0.7 million and $0.1 million, respectively, during the fiscal year ended January 31, 2021.</w:t>
      </w:r>
    </w:p>
    <w:p>
      <w:pPr>
        <w:spacing w:after="0" w:line="17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In certain circumstances involving change of control events, we will be required to make an offer to repurchase all or, at the holder’s option, any part, of each holder’s Senior Notes at 101% of the aggregate principal amount thereof, plus accrued and unpaid interest, if any, to, but excluding, the repurchase date.</w:t>
      </w:r>
    </w:p>
    <w:p>
      <w:pPr>
        <w:spacing w:after="0" w:line="18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 indenture governing the Senior Notes (the “Indenture”) contain covenants limiting our ability and the ability of our subsidiaries to create liens on certain assets to secure debt; grant a subsidiary guarantee of certain debt without also providing a guarantee of the Senior Notes; and consolidate or merge with or into, or sell or otherwise dispose of all or substantially all of our assets to, another person. These covenants are subject to a number of important limitations and exceptions. Certain of these covenants will not apply during any period in which the notes are rated investment grade by two of Fitch Ratings, Inc., Moody’s Investors Service, Inc. and Standard &amp; Poor’s Ratings Services.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2021, we were in compliance with all of our financial covenants under the Indenture associated with the Senior Notes.</w:t>
      </w:r>
    </w:p>
    <w:p>
      <w:pPr>
        <w:spacing w:after="0" w:line="3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For a brief description of the Senior Notes, see the section of this Annual Report on Form 10-K titled “Liquidity and Capital Resources—Senior Notes.”</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Company conducts its operations almost entirely through its subsidiaries. Accordingly, the Obligor Group’s cash flow and ability to service the notes will depend on the earnings of the Company’s subsidiaries and the distribution of those earnings to the Obligor Group, whether by dividends, loans or otherwise. Holders of the guaranteed registered debt securities will have a direct claim only against the Obligor Group.</w:t>
      </w:r>
    </w:p>
    <w:p>
      <w:pPr>
        <w:spacing w:after="0" w:line="16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summarized financial information of the Obligor Group also includes the amounts of Crowdstrike Services, Inc. which was a separate wholly owned subsidiary of the Company that was merged into Crowdstrike, Inc. on December 31, 2020, therefore becoming part of the Obligor Group prior to the issuance of the Senior Notes. The revenue amounts presented in the summarized financial information include substantially all of the Company’s consolidated revenues, and there are no intercompany revenues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40" w:type="dxa"/>
            <w:vAlign w:val="bottom"/>
          </w:tcPr>
          <w:p>
            <w:pPr>
              <w:spacing w:after="0"/>
              <w:rPr>
                <w:sz w:val="18"/>
                <w:szCs w:val="18"/>
                <w:color w:val="auto"/>
              </w:rPr>
            </w:pP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0"/>
        </w:trPr>
        <w:tc>
          <w:tcPr>
            <w:tcW w:w="952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January 31, 2021</w:t>
            </w:r>
          </w:p>
        </w:tc>
        <w:tc>
          <w:tcPr>
            <w:tcW w:w="0" w:type="dxa"/>
            <w:vAlign w:val="bottom"/>
          </w:tcPr>
          <w:p>
            <w:pPr>
              <w:spacing w:after="0"/>
              <w:rPr>
                <w:sz w:val="1"/>
                <w:szCs w:val="1"/>
                <w:color w:val="auto"/>
              </w:rPr>
            </w:pPr>
          </w:p>
        </w:tc>
      </w:tr>
      <w:tr>
        <w:trPr>
          <w:trHeight w:val="223"/>
        </w:trPr>
        <w:tc>
          <w:tcPr>
            <w:tcW w:w="9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ind w:left="1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873,653</w:t>
            </w:r>
          </w:p>
        </w:tc>
        <w:tc>
          <w:tcPr>
            <w:tcW w:w="0" w:type="dxa"/>
            <w:vAlign w:val="bottom"/>
          </w:tcPr>
          <w:p>
            <w:pPr>
              <w:spacing w:after="0"/>
              <w:rPr>
                <w:sz w:val="1"/>
                <w:szCs w:val="1"/>
                <w:color w:val="auto"/>
              </w:rPr>
            </w:pP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9"/>
                <w:szCs w:val="19"/>
                <w:color w:val="auto"/>
              </w:rPr>
            </w:pPr>
          </w:p>
        </w:tc>
        <w:tc>
          <w:tcPr>
            <w:tcW w:w="1580" w:type="dxa"/>
            <w:vAlign w:val="bottom"/>
          </w:tcPr>
          <w:p>
            <w:pPr>
              <w:ind w:left="920"/>
              <w:spacing w:after="0"/>
              <w:rPr>
                <w:sz w:val="20"/>
                <w:szCs w:val="20"/>
                <w:color w:val="auto"/>
              </w:rPr>
            </w:pPr>
            <w:r>
              <w:rPr>
                <w:rFonts w:ascii="Arial" w:cs="Arial" w:eastAsia="Arial" w:hAnsi="Arial"/>
                <w:sz w:val="18"/>
                <w:szCs w:val="18"/>
                <w:color w:val="auto"/>
                <w:w w:val="98"/>
              </w:rPr>
              <w:t>230,045</w:t>
            </w:r>
          </w:p>
        </w:tc>
        <w:tc>
          <w:tcPr>
            <w:tcW w:w="0" w:type="dxa"/>
            <w:vAlign w:val="bottom"/>
          </w:tcPr>
          <w:p>
            <w:pPr>
              <w:spacing w:after="0"/>
              <w:rPr>
                <w:sz w:val="1"/>
                <w:szCs w:val="1"/>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8"/>
              </w:rPr>
              <w:t>740,501</w:t>
            </w:r>
          </w:p>
        </w:tc>
        <w:tc>
          <w:tcPr>
            <w:tcW w:w="0" w:type="dxa"/>
            <w:vAlign w:val="bottom"/>
          </w:tcPr>
          <w:p>
            <w:pPr>
              <w:spacing w:after="0"/>
              <w:rPr>
                <w:sz w:val="1"/>
                <w:szCs w:val="1"/>
                <w:color w:val="auto"/>
              </w:rPr>
            </w:pP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580" w:type="dxa"/>
            <w:vAlign w:val="bottom"/>
          </w:tcPr>
          <w:p>
            <w:pPr>
              <w:ind w:left="940"/>
              <w:spacing w:after="0"/>
              <w:rPr>
                <w:sz w:val="20"/>
                <w:szCs w:val="20"/>
                <w:color w:val="auto"/>
              </w:rPr>
            </w:pPr>
            <w:r>
              <w:rPr>
                <w:rFonts w:ascii="Arial" w:cs="Arial" w:eastAsia="Arial" w:hAnsi="Arial"/>
                <w:sz w:val="18"/>
                <w:szCs w:val="18"/>
                <w:color w:val="auto"/>
                <w:w w:val="92"/>
              </w:rPr>
              <w:t>(96,893)</w:t>
            </w:r>
          </w:p>
        </w:tc>
        <w:tc>
          <w:tcPr>
            <w:tcW w:w="0" w:type="dxa"/>
            <w:vAlign w:val="bottom"/>
          </w:tcPr>
          <w:p>
            <w:pPr>
              <w:spacing w:after="0"/>
              <w:rPr>
                <w:sz w:val="1"/>
                <w:szCs w:val="1"/>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2"/>
              </w:rPr>
              <w:t>(91,707)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ind w:left="20"/>
              <w:spacing w:after="0"/>
              <w:rPr>
                <w:sz w:val="20"/>
                <w:szCs w:val="20"/>
                <w:color w:val="auto"/>
              </w:rPr>
            </w:pPr>
            <w:r>
              <w:rPr>
                <w:rFonts w:ascii="Arial" w:cs="Arial" w:eastAsia="Arial" w:hAnsi="Arial"/>
                <w:sz w:val="18"/>
                <w:szCs w:val="18"/>
                <w:b w:val="1"/>
                <w:bCs w:val="1"/>
                <w:color w:val="auto"/>
              </w:rPr>
              <w:t>Balance sheets</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January 31, 2021</w:t>
            </w:r>
          </w:p>
        </w:tc>
      </w:tr>
      <w:tr>
        <w:trPr>
          <w:trHeight w:val="223"/>
        </w:trPr>
        <w:tc>
          <w:tcPr>
            <w:tcW w:w="9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(in thousands)</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intercompany receivables from non-Guarantors)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2,249,834</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Intercompany receivables from non-Guarantors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8,822</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398,656</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834,462</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988,391</w:t>
            </w: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We have made contributions to Falcon Fund totaling $1.3 million as of January 31, 2021.</w:t>
      </w:r>
    </w:p>
    <w:p>
      <w:pPr>
        <w:spacing w:after="0" w:line="28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40" w:type="dxa"/>
            <w:vAlign w:val="bottom"/>
            <w:gridSpan w:val="21"/>
          </w:tcPr>
          <w:p>
            <w:pPr>
              <w:ind w:left="340"/>
              <w:spacing w:after="0"/>
              <w:rPr>
                <w:sz w:val="20"/>
                <w:szCs w:val="20"/>
                <w:color w:val="auto"/>
              </w:rPr>
            </w:pPr>
            <w:r>
              <w:rPr>
                <w:rFonts w:ascii="Arial" w:cs="Arial" w:eastAsia="Arial" w:hAnsi="Arial"/>
                <w:sz w:val="18"/>
                <w:szCs w:val="18"/>
                <w:color w:val="auto"/>
                <w:w w:val="99"/>
              </w:rPr>
              <w:t>The following table summarizes our contractual obligations as of January 31, 2021 and the fiscal years in which these obligations are due:</w:t>
            </w: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8"/>
              </w:rPr>
              <w:t>Payments Due by Fiscal Year</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2"/>
              </w:rPr>
              <w:t>Real estate arrangements</w:t>
            </w:r>
            <w:r>
              <w:rPr>
                <w:rFonts w:ascii="Arial" w:cs="Arial" w:eastAsia="Arial" w:hAnsi="Arial"/>
                <w:sz w:val="23"/>
                <w:szCs w:val="23"/>
                <w:color w:val="auto"/>
                <w:w w:val="92"/>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line="230" w:lineRule="exact"/>
              <w:rPr>
                <w:sz w:val="20"/>
                <w:szCs w:val="20"/>
                <w:color w:val="auto"/>
              </w:rPr>
            </w:pPr>
            <w:r>
              <w:rPr>
                <w:rFonts w:ascii="Arial" w:cs="Arial" w:eastAsia="Arial" w:hAnsi="Arial"/>
                <w:sz w:val="18"/>
                <w:szCs w:val="18"/>
                <w:color w:val="auto"/>
                <w:w w:val="93"/>
              </w:rPr>
              <w:t>Data center commitments</w:t>
            </w:r>
            <w:r>
              <w:rPr>
                <w:rFonts w:ascii="Arial" w:cs="Arial" w:eastAsia="Arial" w:hAnsi="Arial"/>
                <w:sz w:val="23"/>
                <w:szCs w:val="23"/>
                <w:color w:val="auto"/>
                <w:w w:val="93"/>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89"/>
              </w:rPr>
              <w:t>Other purchase obligations</w:t>
            </w:r>
            <w:r>
              <w:rPr>
                <w:rFonts w:ascii="Arial" w:cs="Arial" w:eastAsia="Arial" w:hAnsi="Arial"/>
                <w:sz w:val="23"/>
                <w:szCs w:val="23"/>
                <w:color w:val="auto"/>
                <w:w w:val="89"/>
                <w:vertAlign w:val="superscript"/>
              </w:rPr>
              <w:t>(3)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line="230" w:lineRule="exact"/>
              <w:rPr>
                <w:sz w:val="20"/>
                <w:szCs w:val="20"/>
                <w:color w:val="auto"/>
              </w:rPr>
            </w:pPr>
            <w:r>
              <w:rPr>
                <w:rFonts w:ascii="Arial" w:cs="Arial" w:eastAsia="Arial" w:hAnsi="Arial"/>
                <w:sz w:val="18"/>
                <w:szCs w:val="18"/>
                <w:color w:val="auto"/>
              </w:rPr>
              <w:t>Debt obligations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Interest payments associated</w:t>
            </w: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186,563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23,257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68,438</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with all debt obligations</w:t>
            </w:r>
            <w:r>
              <w:rPr>
                <w:rFonts w:ascii="Arial" w:cs="Arial" w:eastAsia="Arial" w:hAnsi="Arial"/>
                <w:sz w:val="23"/>
                <w:szCs w:val="23"/>
                <w:color w:val="auto"/>
                <w:vertAlign w:val="superscript"/>
              </w:rPr>
              <w:t>(5)</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1,157,753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820,150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ectPr>
          <w:pgSz w:w="11900" w:h="16838" w:orient="portrait"/>
          <w:cols w:equalWidth="0" w:num="1">
            <w:col w:w="11240"/>
          </w:cols>
          <w:pgMar w:left="320" w:top="125" w:right="3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8420" w:val="left"/>
        </w:tabs>
        <w:rPr>
          <w:sz w:val="20"/>
          <w:szCs w:val="20"/>
          <w:color w:val="auto"/>
        </w:rPr>
      </w:pPr>
      <w:r>
        <w:rPr>
          <w:rFonts w:ascii="Arial" w:cs="Arial" w:eastAsia="Arial" w:hAnsi="Arial"/>
          <w:sz w:val="16"/>
          <w:szCs w:val="16"/>
          <w:color w:val="auto"/>
        </w:rPr>
        <w:t>Relates to non-cancellable real estate arrangements where the amounts are reflected on an undiscounted basis. For additional</w:t>
      </w:r>
      <w:r>
        <w:rPr>
          <w:sz w:val="20"/>
          <w:szCs w:val="20"/>
          <w:color w:val="auto"/>
        </w:rPr>
        <w:tab/>
      </w:r>
      <w:r>
        <w:rPr>
          <w:rFonts w:ascii="Arial" w:cs="Arial" w:eastAsia="Arial" w:hAnsi="Arial"/>
          <w:sz w:val="15"/>
          <w:szCs w:val="15"/>
          <w:color w:val="auto"/>
        </w:rPr>
        <w:t>information refer to Note 9,</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Leases, of our consolidated financial statements included elsewhere in this Annual Report on Form 10-K.</w:t>
      </w:r>
    </w:p>
    <w:p>
      <w:pPr>
        <w:spacing w:after="0" w:line="8" w:lineRule="exact"/>
        <w:rPr>
          <w:sz w:val="20"/>
          <w:szCs w:val="20"/>
          <w:color w:val="auto"/>
        </w:rPr>
      </w:pPr>
    </w:p>
    <w:p>
      <w:pPr>
        <w:sectPr>
          <w:pgSz w:w="11900" w:h="16838" w:orient="portrait"/>
          <w:cols w:equalWidth="0" w:num="2">
            <w:col w:w="200" w:space="460"/>
            <w:col w:w="10580"/>
          </w:cols>
          <w:pgMar w:left="320" w:top="125" w:right="339" w:bottom="1440" w:gutter="0" w:footer="0" w:header="0"/>
          <w:type w:val="continuous"/>
        </w:sect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Relates to non-cancelable commitments to data center vendors.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Relates to non-cancelable purchase commitments with various parties to purchase products and services entered into in the normal course of business.</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Relates to $750.0 million aggregate principal amount of Senior Notes due in fiscal 2030.</w:t>
      </w:r>
    </w:p>
    <w:p>
      <w:pPr>
        <w:spacing w:after="0" w:line="5" w:lineRule="exact"/>
        <w:rPr>
          <w:rFonts w:ascii="Arial" w:cs="Arial" w:eastAsia="Arial" w:hAnsi="Arial"/>
          <w:sz w:val="16"/>
          <w:szCs w:val="16"/>
          <w:color w:val="auto"/>
        </w:rPr>
      </w:pPr>
    </w:p>
    <w:p>
      <w:pPr>
        <w:ind w:left="660" w:right="280" w:hanging="652"/>
        <w:spacing w:after="0" w:line="250"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Relates to the interest payments associated with the Senior Notes based on the principal amount multiplied by the applicable interest rate. The interest payment under the Revolving Credit Facility for the undrawn balance is payable at 15 bps as a commitment fee based on the daily undrawn balance and we utilized the existing rate for the projected interest payments included in the table above. For additional information refer to Note 5, Debt, of our consolidated financial statements included elsewhere in this Annual Report on Form 10-K.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including purchase orders, that we can cancel without a significant penalty are not included in the table above. Purchase orders issued in the ordinary course of business are not included in the table above, as such purchase orders represent authorizations to purchase rather than binding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sheets as of January 31, 2021 or January 31, 2020.</w:t>
      </w:r>
    </w:p>
    <w:p>
      <w:pPr>
        <w:spacing w:after="0" w:line="17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consolidated balance sheets as of January 31, 2021 or January 31, 2020.</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and useful lives of long-lived assets, the fair value of financial instruments, the recognition and disclosure of contingent liabilities, income taxes, and stock-based compensation.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7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76"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adopted ASC 606 on February 1, 2019, using the modified retrospective transition method. Under this method, results for reporting periods beginning on February 1, 2019 are presented under Topic 606, while prior period amounts are not adjusted and continue to be reported in accordance with prior accounting under Topic 605.</w:t>
      </w:r>
    </w:p>
    <w:p>
      <w:pPr>
        <w:spacing w:after="0" w:line="18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be entitled to receive in exchange for these services. To achieve the core principle of this standard, we apply the following five steps: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Identify the contract with a customer</w:t>
      </w:r>
    </w:p>
    <w:p>
      <w:pPr>
        <w:spacing w:after="0" w:line="225"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We consider the terms and conditions of contracts with customers and our customary business practices in identifying contracts under ASC 606. We determine we have a contract with a customer when the contract is approved, each party’s rights regarding the services to be transferred can be identified, payment terms for the services can be identified, we have determined that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Identify the performance obligations in the contract</w:t>
      </w:r>
    </w:p>
    <w:p>
      <w:pPr>
        <w:spacing w:after="0" w:line="225"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us or from third parties, and are distinct in the context of the contract, whereby the transfer of the services is separately identifiable from other promises in the contract. Our performance obligations consist of (i) subscriptions and (ii) professional services.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Determine the transaction price</w:t>
      </w:r>
    </w:p>
    <w:p>
      <w:pPr>
        <w:spacing w:after="0" w:line="225"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The transaction price is determined based on the consideration which we are expected to be entitled to in exchange for transferring services to the customer. Variable consideration is included in the transaction price if it is probable that a significant future reversal of cumulative revenue under the contract will not occur. None of our contracts contain a significant financing component.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Allocate the transaction price to performance obligations in the contract</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Recognize revenue when or as performance obligations are satisfied</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We generate all our revenue from contracts with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Subscription Revenue</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Our Falcon Platform technology solutions are subscription,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We initially record the subscription fees as deferred revenue and recognizes revenue on a straight-line basis over the term of the agreement.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typical subscription term is one to three years. Most of our contracts are non-cancelable over the contractual term. Customers typically have the right to terminate their contracts for cause if we fail to perform in accordance with the contractual terms. Some customers have the option to purchase additional subscription at a stated price. These options generally do not provide a material right as they are priced at our SSP.</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Professional Services Revenue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offer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we would sell promised subscription or professional services separately to a customer. Judgment is required to determine the SSP for each distinct performance obligation. We determine SSP based on our overall pricing objectives, taking into consideration the type of subscription or professional service and the number of endpoints.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Variable Consideration</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subscriptions do not meet certain service level commitments, our customers are entitled to receive service credits, and in certain cases, refunds, each representing a form of variable consideration. We have historically not experienced any significant incidents affecting the defined levels of reliability and performance as required by our subscription contracts. Accordingly, any estimated refunds related to these agreements in the consolidated financial statements is not material during the periods presented.</w:t>
      </w:r>
    </w:p>
    <w:p>
      <w:pPr>
        <w:spacing w:after="0" w:line="187"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We provide rebates and other credits within our contracts with certain resellers, which are estimated based on the most likely amounts expected to be earned or claimed on the related sales transaction. Overall, the transaction price is reduced to reflect our estimate of the amount of consideration to which we are entitled based on the terms of the contract. Estimated rebates and other credits were not material during the periods presented.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We account accounts for stock-based awards granted to employees and directors based on the awards’ estimated grant date fair value. We estimate the fair value of our stock options using the Black-Scholes option-pricing model. The resulting fair value is recognized on a straight-line basis over the period during which the employee or director is required to provide service in exchange for the award, usually the vesting period, which is generally four years. We account for forfeitures as they occur.</w:t>
      </w:r>
    </w:p>
    <w:p>
      <w:pPr>
        <w:spacing w:after="0" w:line="187"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Restricted stock units (“RSUs”) granted under the 2011 Plan are subject to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earlier of (i) a change in control, in which the consideration paid to holders of shares is either cash, publicly traded securities, or a combination thereof, or</w:t>
      </w:r>
    </w:p>
    <w:p>
      <w:pPr>
        <w:spacing w:after="0" w:line="46" w:lineRule="exact"/>
        <w:rPr>
          <w:sz w:val="20"/>
          <w:szCs w:val="20"/>
          <w:color w:val="auto"/>
        </w:rPr>
      </w:pPr>
    </w:p>
    <w:p>
      <w:pPr>
        <w:ind w:firstLine="8"/>
        <w:spacing w:after="0" w:line="290" w:lineRule="auto"/>
        <w:tabs>
          <w:tab w:leader="none" w:pos="26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we recognized $17.3 million of deferred expense related to RSUs as of that date in its consolidated statement of operations. Upon our IPO, we began issuing RSUs to our employees and these RSUs generally have only a service condition. The service-based vesting condition is generally with a vesting term of four years. The valuation of such RSUs is based solely on the fair value of our stock price on the date of grant. Expense for RSUs that have a service-based condition only are being amortized on a straight-line basis.</w:t>
      </w:r>
    </w:p>
    <w:p>
      <w:pPr>
        <w:spacing w:after="0" w:line="164"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Performance-based stock units (“PSUs”) granted under the 2019 Plan are subject to a performance-based vesting condition. With regard to the performance conditions, the fair value of new or modified awards is equal to the grant date fair market value of our common stock. PSUs generally vest over a four-year period based on the achievement of specified performance targets and subject to continued service through the applicable vesting dates. The compensation cost is recognized over the requisite service period when it is probable that the performance condition will be satisfied.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we may record adjustments to the assets acquired and liabilities assumed, with the corresponding offset to goodwill. Upon the conclusion of the measurement period, any subsequent adjustments are recorded in the consolidated statement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(“Falcon Fund”) in exchange for 50% of the sharing percentage of any distribution by Falcon Fund. Entities associated with Accel, a holder of more than 5% of the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We are the manager of the Falcon Fund and control the investment decisions and day-to-day operations and accordingly consolidate the Falcon Fund. Falcon Fund has a duration of ten years and may be extended for three additional years. At dissolution, Falcon Fund will be liquidated and the remaining assets will be distributed to the investors based on their respective sharing percentage. We have made contributions to Falcon Fund totaling $1.3 million as of January 31, 2021.</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elected the measurement alternative for the non-marketable equity investments of the Falcon Fund where eligible. Under the measurement alternative, the equity investments are measured at cost, less any impairment, plus or minus changes resulting from observable price changes in orderly transactions for the identical or a similar investment of the same issuer. The non-marketable equity investments of the Falcon Fund are valued using significant unobservable inputs or data in inactive markets which requires judgment due to the absence of market prices and inherent lack of liquidity. As a result, there could be volatility in our consolidated statements of operations in future periods due to the valuation and timing of identical or similar investments of the same issuer.</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We maintain a full valuation allowance against our deferred tax assets in the United States and the U.K., the changes resulted in no material tax expense during the year ended January 31, 2021. We do not expect that changes in the liability for unrecognized tax benefits for the next twelve months will have a material impact on our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enter into operating lease arrangements for real estate assets related to office space. We determine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consolidated balance sheets. We did not have any financing leases in any of the periods presented.</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the leases is not determinable, we use an incremental borrowing rate (“IBR”) based on the information available at the lease commencement date in determining the present value of lease payments. Lease expenses are recognized on a straight-line basis over the lease term.</w:t>
      </w:r>
    </w:p>
    <w:p>
      <w:pPr>
        <w:spacing w:after="0" w:line="178"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We use the non-cancelable lease term when recognizing the right-of-use (“ROU”) assets and lease liabilities, unless it is reasonably certain that a renewal or termination option will be exercised. We account for lease components and non-lease components as a single lease component.</w:t>
      </w:r>
    </w:p>
    <w:p>
      <w:pPr>
        <w:spacing w:after="0" w:line="1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Leases with a term of twelve months or less are not recognized on the consolidated balance sheets but are recognized as expense on a straight-line basis over the term of the lease.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On the last business day of our second quarter in fiscal 2021, the aggregate market value of our shares held by non-affiliate stockholders exceeded $700 million. As a result, as of January 31, 2021, we are considered a large accelerated filer as defined in Rule 12b-2 under the Securities Exchange Act of 1934, as amended, or the Exchange Act, and we ceased to be an emerging growth company as defined in the JOBS Act.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See Note 2, “Summary of Significant Accounting Policies”, of our consolidated financial statements included elsewhere in this Annual Report on Form 10-K for more information about the impact of certain recent accounting pronouncements on our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cash and cash equivalents primarily consist of cash on hand and highly liquid investments in corporate debt securities and bank deposits. Our investments are exposed to market risk due to fluctuations in interest rates, which may affect our interest income and the fair value of our investments. As of January 31, 2021, we had cash and cash equivalents of $1.9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January 31, 2021. We therefore do not expect our results of operations or cash flows to be materially affected by a sudden change in market interest rates.</w:t>
      </w:r>
    </w:p>
    <w:p>
      <w:pPr>
        <w:spacing w:after="0" w:line="17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debt obligations consist of variety of financial instruments that expose us to interest rate risk, including, but not limited to our revolving credit facility and the Senior Notes. Interest on the revolving credit facility is tied to short term interest rate benchmarks including prime rate or LIBOR. Interest on the term loans is fixed.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During the year ended January 31, 2021, foreign currency exchange rate gain recorded to Other comprehensive income (loss) was $2.6 million. A hypothetical 10% decrease in the U.S. dollar against other currencies would have resulted in an increase in operating loss of approximately $17.2 million for the year ended January 31, 2021.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60" w:type="dxa"/>
            <w:vAlign w:val="bottom"/>
            <w:gridSpan w:val="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60" w:type="dxa"/>
            <w:vAlign w:val="bottom"/>
            <w:gridSpan w:val="3"/>
          </w:tcPr>
          <w:p>
            <w:pPr>
              <w:ind w:left="2840"/>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40" w:type="dxa"/>
            <w:vAlign w:val="bottom"/>
            <w:gridSpan w:val="4"/>
          </w:tcPr>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Report of Independent Registered Public Accounting Firm</w:t>
              </w:r>
            </w:hyperlink>
          </w:p>
        </w:tc>
        <w:tc>
          <w:tcPr>
            <w:tcW w:w="66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89</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40" w:type="dxa"/>
            <w:vAlign w:val="bottom"/>
            <w:gridSpan w:val="4"/>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Consolidated Financial Statements:</w:t>
              </w:r>
            </w:hyperlink>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540" w:type="dxa"/>
            <w:vAlign w:val="bottom"/>
            <w:gridSpan w:val="4"/>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Consolidated Balance Sheets as of January 31, 2021 and 2020</w:t>
              </w:r>
            </w:hyperlink>
          </w:p>
        </w:tc>
        <w:tc>
          <w:tcPr>
            <w:tcW w:w="66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91</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40" w:type="dxa"/>
            <w:vAlign w:val="bottom"/>
            <w:gridSpan w:val="4"/>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Consolidated Statements of Operations for the years ended January 31, 2021,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92</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540" w:type="dxa"/>
            <w:vAlign w:val="bottom"/>
            <w:gridSpan w:val="4"/>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Consolidated Statements of Comprehensive Loss for the years ended January 31, 2021,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93</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540" w:type="dxa"/>
            <w:vAlign w:val="bottom"/>
            <w:gridSpan w:val="4"/>
          </w:tcPr>
          <w:p>
            <w:pPr>
              <w:spacing w:after="0" w:line="190" w:lineRule="exact"/>
              <w:rPr>
                <w:rFonts w:ascii="Arial" w:cs="Arial" w:eastAsia="Arial" w:hAnsi="Arial"/>
                <w:sz w:val="18"/>
                <w:szCs w:val="18"/>
                <w:color w:val="0000FF"/>
                <w:w w:val="92"/>
              </w:rPr>
            </w:pPr>
            <w:hyperlink w:anchor="page95">
              <w:r>
                <w:rPr>
                  <w:rFonts w:ascii="Arial" w:cs="Arial" w:eastAsia="Arial" w:hAnsi="Arial"/>
                  <w:sz w:val="18"/>
                  <w:szCs w:val="18"/>
                  <w:color w:val="0000FF"/>
                  <w:w w:val="92"/>
                </w:rPr>
                <w:t>Consolidated Statements of Redeemable Convertible Preferred Stock and Stockholders’ Equity (Deficit) for the years ended January 31, 2021,</w:t>
              </w:r>
            </w:hyperlink>
          </w:p>
        </w:tc>
        <w:tc>
          <w:tcPr>
            <w:tcW w:w="660" w:type="dxa"/>
            <w:vAlign w:val="bottom"/>
            <w:vMerge w:val="restart"/>
          </w:tcPr>
          <w:p>
            <w:pPr>
              <w:jc w:val="right"/>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94</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95">
              <w:r>
                <w:rPr>
                  <w:rFonts w:ascii="Arial" w:cs="Arial" w:eastAsia="Arial" w:hAnsi="Arial"/>
                  <w:sz w:val="18"/>
                  <w:szCs w:val="18"/>
                  <w:color w:val="0000FF"/>
                  <w:w w:val="88"/>
                </w:rPr>
                <w:t>2020 and 2019</w:t>
              </w:r>
            </w:hyperlink>
          </w:p>
        </w:tc>
        <w:tc>
          <w:tcPr>
            <w:tcW w:w="9180" w:type="dxa"/>
            <w:vAlign w:val="bottom"/>
            <w:tcBorders>
              <w:top w:val="single" w:sz="8" w:color="0000FF"/>
            </w:tcBorders>
            <w:gridSpan w:val="2"/>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540" w:type="dxa"/>
            <w:vAlign w:val="bottom"/>
            <w:gridSpan w:val="4"/>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Consolidated Statements of Cash Flows for the years ended January 31, 2021, 2020 and 2019</w:t>
              </w:r>
            </w:hyperlink>
          </w:p>
        </w:tc>
        <w:tc>
          <w:tcPr>
            <w:tcW w:w="660" w:type="dxa"/>
            <w:vAlign w:val="bottom"/>
          </w:tcPr>
          <w:p>
            <w:pPr>
              <w:jc w:val="right"/>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95</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540" w:type="dxa"/>
            <w:vAlign w:val="bottom"/>
            <w:gridSpan w:val="4"/>
          </w:tcPr>
          <w:p>
            <w:pPr>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Notes to Consolidated Financial Statements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96</w:t>
              </w:r>
            </w:hyperlink>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9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76">
              <w:r>
                <w:rPr>
                  <w:rFonts w:ascii="Arial" w:cs="Arial" w:eastAsia="Arial" w:hAnsi="Arial"/>
                  <w:sz w:val="18"/>
                  <w:szCs w:val="18"/>
                  <w:color w:val="0000FF"/>
                  <w:w w:val="91"/>
                </w:rPr>
                <w:t>The supplementary financial information required by this Item 8, is included in Part II, Item 7, Management’s Discussion and Analysis of</w:t>
              </w:r>
            </w:hyperlink>
          </w:p>
        </w:tc>
        <w:tc>
          <w:tcPr>
            <w:tcW w:w="6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540" w:type="dxa"/>
            <w:vAlign w:val="bottom"/>
            <w:gridSpan w:val="4"/>
          </w:tcPr>
          <w:p>
            <w:pPr>
              <w:spacing w:after="0"/>
              <w:rPr>
                <w:rFonts w:ascii="Arial" w:cs="Arial" w:eastAsia="Arial" w:hAnsi="Arial"/>
                <w:sz w:val="18"/>
                <w:szCs w:val="18"/>
                <w:u w:val="single" w:color="auto"/>
                <w:color w:val="0000FF"/>
                <w:w w:val="93"/>
              </w:rPr>
            </w:pPr>
            <w:hyperlink w:anchor="page76">
              <w:r>
                <w:rPr>
                  <w:rFonts w:ascii="Arial" w:cs="Arial" w:eastAsia="Arial" w:hAnsi="Arial"/>
                  <w:sz w:val="18"/>
                  <w:szCs w:val="18"/>
                  <w:u w:val="single" w:color="auto"/>
                  <w:color w:val="0000FF"/>
                  <w:w w:val="93"/>
                </w:rPr>
                <w:t>Financial Condition and Results of Operations, under the caption “Quarterly Results of Operations,” which is incorporated herein by reference.</w:t>
              </w:r>
            </w:hyperlink>
          </w:p>
        </w:tc>
        <w:tc>
          <w:tcPr>
            <w:tcW w:w="660" w:type="dxa"/>
            <w:vAlign w:val="bottom"/>
          </w:tcPr>
          <w:p>
            <w:pPr>
              <w:jc w:val="right"/>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74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CrowdStrike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CrowdStrike Holdings, Inc. and its subsidiaries (the “Company”) as of January 31, 2021 and 2020, and the related consolidated statements of operations, of comprehensive loss, of redeemable convertible preferred stock and stockholders’ equity (deficit) and of cash flows for each of the three years in the period ended January 31, 2021, including the related notes (collectively referred to as the “consolidated financial statements”). We also have audited the Company's internal control over financial reporting as of January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2021 and 2020, and the results of its operations and its cash flows for each of the three years in the period ended January 31, 2021 in conformity with accounting principles generally accepted in the United States of America. Also in our opinion, the Company maintained, in all material respects, effective internal control over financial reporting as of January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Principles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2021 and the manner in which it accounts for revenues from contracts with customers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Identification and Evaluation of Terms and Conditions in Contracts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described in Note 2 to the consolidated financial statements, the Company generates its revenue from contracts with customers for subscriptions and professional services. Management considers the terms and conditions of contracts with customers and the Company’s customary business practices in identifying contracts. Management determines the Company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Revenue is recognized when control of the promised services is transferred to the customer, in an amount that reflects the consideration expected to be received in exchange for those services. The Company’s consolidated revenue for the year ended January 31, 2021 was $874 million.</w:t>
      </w:r>
    </w:p>
    <w:p>
      <w:pPr>
        <w:spacing w:after="0" w:line="19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specifically the identification and evaluation of terms and conditions in contracts, is a critical audit matter are the high degree of auditor subjectivity and effort in performing procedures and evaluating evidence relating to the identification and evaluation of terms and conditions in contracts.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identification and evaluation of terms and conditions in contracts. These procedures also included, among others, (i) testing management’s process for identifying and evaluating terms and conditions in contracts, including evaluating management’s determination of the impact of those terms and conditions on revenue recognition, and (ii) testing the completeness and accuracy of management’s identification and evaluation of terms and conditions in contracts by examining revenue transactions on a test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January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1,918,608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264,798</w:t>
            </w: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Marketable securities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647,266</w:t>
            </w:r>
          </w:p>
        </w:tc>
        <w:tc>
          <w:tcPr>
            <w:tcW w:w="0" w:type="dxa"/>
            <w:vAlign w:val="bottom"/>
          </w:tcPr>
          <w:p>
            <w:pPr>
              <w:spacing w:after="0"/>
              <w:rPr>
                <w:sz w:val="1"/>
                <w:szCs w:val="1"/>
                <w:color w:val="auto"/>
              </w:rPr>
            </w:pPr>
          </w:p>
        </w:tc>
      </w:tr>
      <w:tr>
        <w:trPr>
          <w:trHeight w:val="138"/>
        </w:trPr>
        <w:tc>
          <w:tcPr>
            <w:tcW w:w="84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Accounts receivable, net of allowance for doubtful accounts of $1.2 million and</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239,199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164,987</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$1.1 million as of January 31, 2021 and January 31, 2020, respectively</w:t>
            </w: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Deferred contract acquisition costs, current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80,850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42,971</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53,617</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51,614</w:t>
            </w:r>
          </w:p>
        </w:tc>
        <w:tc>
          <w:tcPr>
            <w:tcW w:w="0" w:type="dxa"/>
            <w:vAlign w:val="bottom"/>
          </w:tcPr>
          <w:p>
            <w:pPr>
              <w:spacing w:after="0"/>
              <w:rPr>
                <w:sz w:val="1"/>
                <w:szCs w:val="1"/>
                <w:color w:val="auto"/>
              </w:rPr>
            </w:pPr>
          </w:p>
        </w:tc>
      </w:tr>
      <w:tr>
        <w:trPr>
          <w:trHeight w:val="179"/>
        </w:trPr>
        <w:tc>
          <w:tcPr>
            <w:tcW w:w="848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2,292,274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1,171,636</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Strategic investments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167,014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136,078</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36,484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117,906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71,235</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83,566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7,722</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15,677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17,112</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16,708</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2,732,533</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1,404,906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51,117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30,355</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payroll and benefits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71,907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36,810</w:t>
            </w: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Operating lease liabilities, current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8,977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701,988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412,985</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11,601</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863,553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493,096</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738,029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209,907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158,183</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31,986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 noncurrent</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17,184</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11,020</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1,860,659</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662,299</w:t>
            </w:r>
          </w:p>
        </w:tc>
        <w:tc>
          <w:tcPr>
            <w:tcW w:w="0" w:type="dxa"/>
            <w:vAlign w:val="bottom"/>
          </w:tcPr>
          <w:p>
            <w:pPr>
              <w:spacing w:after="0"/>
              <w:rPr>
                <w:sz w:val="1"/>
                <w:szCs w:val="1"/>
                <w:color w:val="auto"/>
              </w:rPr>
            </w:pPr>
          </w:p>
        </w:tc>
      </w:tr>
      <w:tr>
        <w:trPr>
          <w:trHeight w:val="17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4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1"/>
              </w:rPr>
              <w:t>Preferred stock, $0.0005 par value; 100,000 shares authorized as of January 31, 2021 and January 31, 2020; no shares issued and outstanding as of</w:t>
            </w:r>
          </w:p>
        </w:tc>
        <w:tc>
          <w:tcPr>
            <w:tcW w:w="3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31, 2021 and January 31, 2020</w:t>
            </w:r>
          </w:p>
        </w:tc>
        <w:tc>
          <w:tcPr>
            <w:tcW w:w="3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80" w:type="dxa"/>
            <w:vAlign w:val="bottom"/>
          </w:tcPr>
          <w:p>
            <w:pPr>
              <w:ind w:left="20"/>
              <w:spacing w:after="0" w:line="135" w:lineRule="exact"/>
              <w:rPr>
                <w:sz w:val="20"/>
                <w:szCs w:val="20"/>
                <w:color w:val="auto"/>
              </w:rPr>
            </w:pPr>
            <w:r>
              <w:rPr>
                <w:rFonts w:ascii="Arial" w:cs="Arial" w:eastAsia="Arial" w:hAnsi="Arial"/>
                <w:sz w:val="14"/>
                <w:szCs w:val="14"/>
                <w:color w:val="auto"/>
                <w:w w:val="97"/>
              </w:rPr>
              <w:t>Class A common stock, $0.0005 par value; 2,000,000 shares authorized as of January 31, 2021 and January 31, 2020; 195,039 shares, and</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80" w:type="dxa"/>
            <w:vAlign w:val="bottom"/>
          </w:tcPr>
          <w:p>
            <w:pPr>
              <w:ind w:left="20"/>
              <w:spacing w:after="0" w:line="135" w:lineRule="exact"/>
              <w:rPr>
                <w:sz w:val="20"/>
                <w:szCs w:val="20"/>
                <w:color w:val="auto"/>
              </w:rPr>
            </w:pPr>
            <w:r>
              <w:rPr>
                <w:rFonts w:ascii="Arial" w:cs="Arial" w:eastAsia="Arial" w:hAnsi="Arial"/>
                <w:sz w:val="14"/>
                <w:szCs w:val="14"/>
                <w:color w:val="auto"/>
                <w:w w:val="95"/>
              </w:rPr>
              <w:t>107,666 shares issued and outstanding as of January 31, 2021 and January 31, 2020, respectively; Class B common stock, $0.0005 par value;</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80" w:type="dxa"/>
            <w:vAlign w:val="bottom"/>
          </w:tcPr>
          <w:p>
            <w:pPr>
              <w:ind w:left="20"/>
              <w:spacing w:after="0" w:line="135" w:lineRule="exact"/>
              <w:rPr>
                <w:sz w:val="20"/>
                <w:szCs w:val="20"/>
                <w:color w:val="auto"/>
              </w:rPr>
            </w:pPr>
            <w:r>
              <w:rPr>
                <w:rFonts w:ascii="Arial" w:cs="Arial" w:eastAsia="Arial" w:hAnsi="Arial"/>
                <w:sz w:val="14"/>
                <w:szCs w:val="14"/>
                <w:color w:val="auto"/>
                <w:w w:val="92"/>
              </w:rPr>
              <w:t>300,000 shares authorized as of January 31, 2021 and January 31, 2020; 28,685 shares, and 105,282 shares issued and outstanding as of January</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31, 2021 and January 31, 2020, respectively</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1,598,259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1,378,479</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(730,116)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(637,487)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2,319</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79"/>
        </w:trPr>
        <w:tc>
          <w:tcPr>
            <w:tcW w:w="8480" w:type="dxa"/>
            <w:vAlign w:val="bottom"/>
          </w:tcPr>
          <w:p>
            <w:pPr>
              <w:ind w:left="240"/>
              <w:spacing w:after="0"/>
              <w:rPr>
                <w:sz w:val="20"/>
                <w:szCs w:val="20"/>
                <w:color w:val="auto"/>
              </w:rPr>
            </w:pPr>
            <w:r>
              <w:rPr>
                <w:rFonts w:ascii="Arial" w:cs="Arial" w:eastAsia="Arial" w:hAnsi="Arial"/>
                <w:sz w:val="14"/>
                <w:szCs w:val="14"/>
                <w:color w:val="auto"/>
              </w:rPr>
              <w:t>Total CrowdStrike Holdings, Inc. stockholders’ equity</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870,574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742,107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871,874</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742,607</w:t>
            </w:r>
          </w:p>
        </w:tc>
        <w:tc>
          <w:tcPr>
            <w:tcW w:w="0" w:type="dxa"/>
            <w:vAlign w:val="bottom"/>
          </w:tcPr>
          <w:p>
            <w:pPr>
              <w:spacing w:after="0"/>
              <w:rPr>
                <w:sz w:val="1"/>
                <w:szCs w:val="1"/>
                <w:color w:val="auto"/>
              </w:rPr>
            </w:pPr>
          </w:p>
        </w:tc>
      </w:tr>
      <w:tr>
        <w:trPr>
          <w:trHeight w:val="21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2,732,533</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1,404,906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804,670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436,323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219,401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30,423</w:t>
            </w:r>
          </w:p>
        </w:tc>
        <w:tc>
          <w:tcPr>
            <w:tcW w:w="0" w:type="dxa"/>
            <w:vAlign w:val="bottom"/>
          </w:tcPr>
          <w:p>
            <w:pPr>
              <w:spacing w:after="0"/>
              <w:rPr>
                <w:sz w:val="1"/>
                <w:szCs w:val="1"/>
                <w:color w:val="auto"/>
              </w:rPr>
            </w:pPr>
          </w:p>
        </w:tc>
      </w:tr>
      <w:tr>
        <w:trPr>
          <w:trHeight w:val="223"/>
        </w:trPr>
        <w:tc>
          <w:tcPr>
            <w:tcW w:w="706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481,413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249,824</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Subscription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69,208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0" w:type="dxa"/>
            <w:vAlign w:val="bottom"/>
          </w:tcPr>
          <w:p>
            <w:pPr>
              <w:spacing w:after="0"/>
              <w:rPr>
                <w:sz w:val="1"/>
                <w:szCs w:val="1"/>
                <w:color w:val="auto"/>
              </w:rPr>
            </w:pPr>
          </w:p>
        </w:tc>
      </w:tr>
      <w:tr>
        <w:trPr>
          <w:trHeight w:val="223"/>
        </w:trPr>
        <w:tc>
          <w:tcPr>
            <w:tcW w:w="7060" w:type="dxa"/>
            <w:vAlign w:val="bottom"/>
          </w:tcPr>
          <w:p>
            <w:pPr>
              <w:ind w:left="480"/>
              <w:spacing w:after="0"/>
              <w:rPr>
                <w:sz w:val="20"/>
                <w:szCs w:val="20"/>
                <w:color w:val="auto"/>
              </w:rPr>
            </w:pPr>
            <w:r>
              <w:rPr>
                <w:rFonts w:ascii="Arial" w:cs="Arial" w:eastAsia="Arial" w:hAnsi="Arial"/>
                <w:sz w:val="18"/>
                <w:szCs w:val="18"/>
                <w:color w:val="auto"/>
              </w:rPr>
              <w:t>Total cost of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87,238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162,586</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172,682</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84,551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42,217</w:t>
            </w:r>
          </w:p>
        </w:tc>
        <w:tc>
          <w:tcPr>
            <w:tcW w:w="0" w:type="dxa"/>
            <w:vAlign w:val="bottom"/>
          </w:tcPr>
          <w:p>
            <w:pPr>
              <w:spacing w:after="0"/>
              <w:rPr>
                <w:sz w:val="1"/>
                <w:szCs w:val="1"/>
                <w:color w:val="auto"/>
              </w:rPr>
            </w:pPr>
          </w:p>
        </w:tc>
      </w:tr>
      <w:tr>
        <w:trPr>
          <w:trHeight w:val="223"/>
        </w:trPr>
        <w:tc>
          <w:tcPr>
            <w:tcW w:w="706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485,851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299,450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(136,864)</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(138,710)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line="196" w:lineRule="exact"/>
              <w:rPr>
                <w:sz w:val="20"/>
                <w:szCs w:val="20"/>
                <w:color w:val="auto"/>
              </w:rPr>
            </w:pPr>
            <w:r>
              <w:rPr>
                <w:rFonts w:ascii="Arial" w:cs="Arial" w:eastAsia="Arial" w:hAnsi="Arial"/>
                <w:sz w:val="18"/>
                <w:szCs w:val="18"/>
                <w:color w:val="auto"/>
              </w:rPr>
              <w:t>Net loss attributable to Class A and Class B common stockholders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(92,629)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(141,779)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(140,077)</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loss per share attributable to Class A and Class B common stockholders,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Weighted-average shares used in computing net loss per share attributable to Class A and Class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217,756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148,062</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44,863</w:t>
            </w:r>
          </w:p>
        </w:tc>
        <w:tc>
          <w:tcPr>
            <w:tcW w:w="0" w:type="dxa"/>
            <w:vAlign w:val="bottom"/>
          </w:tcPr>
          <w:p>
            <w:pPr>
              <w:spacing w:after="0"/>
              <w:rPr>
                <w:sz w:val="1"/>
                <w:szCs w:val="1"/>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B common stockholders, basic and diluted</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January 31,</w:t>
            </w:r>
          </w:p>
        </w:tc>
        <w:tc>
          <w:tcPr>
            <w:tcW w:w="112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Reversal of unrealized gain upon sale of debt securities, net of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 net of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7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CrowdStrike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Consolidated Statements of Redeemable Convertible Preferred Stock and Stockholders’ Equity (Deficit)</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(in thousands)</w:t>
      </w:r>
    </w:p>
    <w:p>
      <w:pPr>
        <w:sectPr>
          <w:pgSz w:w="11900" w:h="16838" w:orient="portrait"/>
          <w:cols w:equalWidth="0" w:num="1">
            <w:col w:w="11240"/>
          </w:cols>
          <w:pgMar w:left="320" w:top="125" w:right="339" w:bottom="1440" w:gutter="0" w:footer="0" w:header="0"/>
        </w:sectPr>
      </w:pP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1700" w:type="dxa"/>
            <w:vAlign w:val="bottom"/>
            <w:gridSpan w:val="4"/>
          </w:tcPr>
          <w:p>
            <w:pPr>
              <w:jc w:val="center"/>
              <w:spacing w:after="0"/>
              <w:rPr>
                <w:sz w:val="20"/>
                <w:szCs w:val="20"/>
                <w:color w:val="auto"/>
              </w:rPr>
            </w:pPr>
            <w:r>
              <w:rPr>
                <w:rFonts w:ascii="Arial" w:cs="Arial" w:eastAsia="Arial" w:hAnsi="Arial"/>
                <w:sz w:val="11"/>
                <w:szCs w:val="11"/>
                <w:b w:val="1"/>
                <w:bCs w:val="1"/>
                <w:color w:val="auto"/>
                <w:w w:val="86"/>
              </w:rPr>
              <w:t>Redeemable</w:t>
            </w: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700" w:type="dxa"/>
            <w:vAlign w:val="bottom"/>
            <w:gridSpan w:val="4"/>
          </w:tcPr>
          <w:p>
            <w:pPr>
              <w:jc w:val="center"/>
              <w:spacing w:after="0" w:line="108" w:lineRule="exact"/>
              <w:rPr>
                <w:sz w:val="20"/>
                <w:szCs w:val="20"/>
                <w:color w:val="auto"/>
              </w:rPr>
            </w:pPr>
            <w:r>
              <w:rPr>
                <w:rFonts w:ascii="Arial" w:cs="Arial" w:eastAsia="Arial" w:hAnsi="Arial"/>
                <w:sz w:val="11"/>
                <w:szCs w:val="11"/>
                <w:b w:val="1"/>
                <w:bCs w:val="1"/>
                <w:color w:val="auto"/>
                <w:w w:val="89"/>
              </w:rPr>
              <w:t>Convertible</w:t>
            </w: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170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3"/>
                <w:szCs w:val="13"/>
                <w:color w:val="auto"/>
              </w:rPr>
            </w:pPr>
          </w:p>
        </w:tc>
        <w:tc>
          <w:tcPr>
            <w:tcW w:w="90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22"/>
        </w:trPr>
        <w:tc>
          <w:tcPr>
            <w:tcW w:w="2980" w:type="dxa"/>
            <w:vAlign w:val="bottom"/>
            <w:vMerge w:val="restart"/>
          </w:tcPr>
          <w:p>
            <w:pPr>
              <w:spacing w:after="0"/>
              <w:rPr>
                <w:sz w:val="20"/>
                <w:szCs w:val="20"/>
                <w:color w:val="auto"/>
              </w:rPr>
            </w:pPr>
            <w:r>
              <w:rPr>
                <w:rFonts w:ascii="Arial" w:cs="Arial" w:eastAsia="Arial" w:hAnsi="Arial"/>
                <w:sz w:val="11"/>
                <w:szCs w:val="11"/>
                <w:b w:val="1"/>
                <w:bCs w:val="1"/>
                <w:color w:val="auto"/>
              </w:rPr>
              <w:t>Balances at January 31, 2018</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980" w:type="dxa"/>
            <w:vAlign w:val="bottom"/>
            <w:vMerge w:val="continue"/>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b w:val="1"/>
                <w:bCs w:val="1"/>
                <w:color w:val="auto"/>
              </w:rPr>
              <w:t>118,693</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351,016</w:t>
            </w:r>
          </w:p>
        </w:tc>
        <w:tc>
          <w:tcPr>
            <w:tcW w:w="0" w:type="dxa"/>
            <w:vAlign w:val="bottom"/>
          </w:tcPr>
          <w:p>
            <w:pPr>
              <w:spacing w:after="0"/>
              <w:rPr>
                <w:sz w:val="1"/>
                <w:szCs w:val="1"/>
                <w:color w:val="auto"/>
              </w:rPr>
            </w:pPr>
          </w:p>
        </w:tc>
      </w:tr>
      <w:tr>
        <w:trPr>
          <w:trHeight w:val="175"/>
        </w:trPr>
        <w:tc>
          <w:tcPr>
            <w:tcW w:w="2980" w:type="dxa"/>
            <w:vAlign w:val="bottom"/>
          </w:tcPr>
          <w:p>
            <w:pPr>
              <w:ind w:left="280"/>
              <w:spacing w:after="0"/>
              <w:rPr>
                <w:sz w:val="20"/>
                <w:szCs w:val="20"/>
                <w:color w:val="auto"/>
              </w:rPr>
            </w:pPr>
            <w:r>
              <w:rPr>
                <w:rFonts w:ascii="Arial" w:cs="Arial" w:eastAsia="Arial" w:hAnsi="Arial"/>
                <w:sz w:val="11"/>
                <w:szCs w:val="11"/>
                <w:color w:val="auto"/>
              </w:rPr>
              <w:t>Cumulative effect of accounting change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2980" w:type="dxa"/>
            <w:vAlign w:val="bottom"/>
          </w:tcPr>
          <w:p>
            <w:pPr>
              <w:ind w:left="280"/>
              <w:spacing w:after="0"/>
              <w:rPr>
                <w:sz w:val="20"/>
                <w:szCs w:val="20"/>
                <w:color w:val="auto"/>
              </w:rPr>
            </w:pPr>
            <w:r>
              <w:rPr>
                <w:rFonts w:ascii="Arial" w:cs="Arial" w:eastAsia="Arial" w:hAnsi="Arial"/>
                <w:sz w:val="11"/>
                <w:szCs w:val="11"/>
                <w:color w:val="auto"/>
                <w:w w:val="91"/>
              </w:rPr>
              <w:t>Issuance of Series E and Series E-1 redeemable convertible</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12,575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206,896</w:t>
            </w:r>
          </w:p>
        </w:tc>
        <w:tc>
          <w:tcPr>
            <w:tcW w:w="0" w:type="dxa"/>
            <w:vAlign w:val="bottom"/>
          </w:tcPr>
          <w:p>
            <w:pPr>
              <w:spacing w:after="0"/>
              <w:rPr>
                <w:sz w:val="1"/>
                <w:szCs w:val="1"/>
                <w:color w:val="auto"/>
              </w:rPr>
            </w:pPr>
          </w:p>
        </w:tc>
      </w:tr>
      <w:tr>
        <w:trPr>
          <w:trHeight w:val="136"/>
        </w:trPr>
        <w:tc>
          <w:tcPr>
            <w:tcW w:w="2980" w:type="dxa"/>
            <w:vAlign w:val="bottom"/>
          </w:tcPr>
          <w:p>
            <w:pPr>
              <w:ind w:left="280"/>
              <w:spacing w:after="0"/>
              <w:rPr>
                <w:sz w:val="20"/>
                <w:szCs w:val="20"/>
                <w:color w:val="auto"/>
              </w:rPr>
            </w:pPr>
            <w:r>
              <w:rPr>
                <w:rFonts w:ascii="Arial" w:cs="Arial" w:eastAsia="Arial" w:hAnsi="Arial"/>
                <w:sz w:val="11"/>
                <w:szCs w:val="11"/>
                <w:color w:val="auto"/>
              </w:rPr>
              <w:t>preferred stock, net of issuance costs of $104</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80"/>
              <w:spacing w:after="0"/>
              <w:rPr>
                <w:sz w:val="20"/>
                <w:szCs w:val="20"/>
                <w:color w:val="auto"/>
              </w:rPr>
            </w:pPr>
            <w:r>
              <w:rPr>
                <w:rFonts w:ascii="Arial" w:cs="Arial" w:eastAsia="Arial" w:hAnsi="Arial"/>
                <w:sz w:val="11"/>
                <w:szCs w:val="11"/>
                <w:color w:val="auto"/>
              </w:rPr>
              <w:t>Issuance of common stock upon exercise of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280"/>
              <w:spacing w:after="0"/>
              <w:rPr>
                <w:sz w:val="20"/>
                <w:szCs w:val="20"/>
                <w:color w:val="auto"/>
              </w:rPr>
            </w:pPr>
            <w:r>
              <w:rPr>
                <w:rFonts w:ascii="Arial" w:cs="Arial" w:eastAsia="Arial" w:hAnsi="Arial"/>
                <w:sz w:val="11"/>
                <w:szCs w:val="11"/>
                <w:color w:val="auto"/>
                <w:w w:val="90"/>
              </w:rPr>
              <w:t>Issuance of common stock related to early exercised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280"/>
              <w:spacing w:after="0"/>
              <w:rPr>
                <w:sz w:val="20"/>
                <w:szCs w:val="20"/>
                <w:color w:val="auto"/>
              </w:rPr>
            </w:pPr>
            <w:r>
              <w:rPr>
                <w:rFonts w:ascii="Arial" w:cs="Arial" w:eastAsia="Arial" w:hAnsi="Arial"/>
                <w:sz w:val="11"/>
                <w:szCs w:val="11"/>
                <w:color w:val="auto"/>
              </w:rPr>
              <w:t>Issuance of common stock</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280"/>
              <w:spacing w:after="0"/>
              <w:rPr>
                <w:sz w:val="20"/>
                <w:szCs w:val="20"/>
                <w:color w:val="auto"/>
              </w:rPr>
            </w:pPr>
            <w:r>
              <w:rPr>
                <w:rFonts w:ascii="Arial" w:cs="Arial" w:eastAsia="Arial" w:hAnsi="Arial"/>
                <w:sz w:val="11"/>
                <w:szCs w:val="11"/>
                <w:color w:val="auto"/>
              </w:rPr>
              <w:t>Vesting of early exercised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280"/>
              <w:spacing w:after="0"/>
              <w:rPr>
                <w:sz w:val="20"/>
                <w:szCs w:val="20"/>
                <w:color w:val="auto"/>
              </w:rPr>
            </w:pPr>
            <w:r>
              <w:rPr>
                <w:rFonts w:ascii="Arial" w:cs="Arial" w:eastAsia="Arial" w:hAnsi="Arial"/>
                <w:sz w:val="11"/>
                <w:szCs w:val="11"/>
                <w:color w:val="auto"/>
              </w:rPr>
              <w:t>Stock-based compensation expense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280"/>
              <w:spacing w:after="0"/>
              <w:rPr>
                <w:sz w:val="20"/>
                <w:szCs w:val="20"/>
                <w:color w:val="auto"/>
              </w:rPr>
            </w:pPr>
            <w:r>
              <w:rPr>
                <w:rFonts w:ascii="Arial" w:cs="Arial" w:eastAsia="Arial" w:hAnsi="Arial"/>
                <w:sz w:val="11"/>
                <w:szCs w:val="11"/>
                <w:color w:val="auto"/>
              </w:rPr>
              <w:t>Repurchase of stock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28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280"/>
              <w:spacing w:after="0"/>
              <w:rPr>
                <w:sz w:val="20"/>
                <w:szCs w:val="20"/>
                <w:color w:val="auto"/>
              </w:rPr>
            </w:pPr>
            <w:r>
              <w:rPr>
                <w:rFonts w:ascii="Arial" w:cs="Arial" w:eastAsia="Arial" w:hAnsi="Arial"/>
                <w:sz w:val="11"/>
                <w:szCs w:val="11"/>
                <w:color w:val="auto"/>
              </w:rPr>
              <w:t>Other comprehensive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80" w:type="dxa"/>
            <w:vAlign w:val="bottom"/>
            <w:vMerge w:val="restart"/>
          </w:tcPr>
          <w:p>
            <w:pPr>
              <w:spacing w:after="0"/>
              <w:rPr>
                <w:sz w:val="20"/>
                <w:szCs w:val="20"/>
                <w:color w:val="auto"/>
              </w:rPr>
            </w:pPr>
            <w:r>
              <w:rPr>
                <w:rFonts w:ascii="Arial" w:cs="Arial" w:eastAsia="Arial" w:hAnsi="Arial"/>
                <w:sz w:val="11"/>
                <w:szCs w:val="11"/>
                <w:b w:val="1"/>
                <w:bCs w:val="1"/>
                <w:color w:val="auto"/>
              </w:rPr>
              <w:t>Balances at January 31, 2019</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980" w:type="dxa"/>
            <w:vAlign w:val="bottom"/>
            <w:vMerge w:val="continue"/>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b w:val="1"/>
                <w:bCs w:val="1"/>
                <w:color w:val="auto"/>
              </w:rPr>
              <w:t>131,268</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557,912</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Cumulative effect of accounting change- ASC 606</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980" w:type="dxa"/>
            <w:vAlign w:val="bottom"/>
          </w:tcPr>
          <w:p>
            <w:pPr>
              <w:ind w:left="280"/>
              <w:spacing w:after="0"/>
              <w:rPr>
                <w:sz w:val="20"/>
                <w:szCs w:val="20"/>
                <w:color w:val="auto"/>
              </w:rPr>
            </w:pPr>
            <w:r>
              <w:rPr>
                <w:rFonts w:ascii="Arial" w:cs="Arial" w:eastAsia="Arial" w:hAnsi="Arial"/>
                <w:sz w:val="11"/>
                <w:szCs w:val="11"/>
                <w:color w:val="auto"/>
                <w:w w:val="92"/>
              </w:rPr>
              <w:t>Issuance of common stock upon initial public offering, net of</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80" w:type="dxa"/>
            <w:vAlign w:val="bottom"/>
          </w:tcPr>
          <w:p>
            <w:pPr>
              <w:ind w:left="280"/>
              <w:spacing w:after="0"/>
              <w:rPr>
                <w:sz w:val="20"/>
                <w:szCs w:val="20"/>
                <w:color w:val="auto"/>
              </w:rPr>
            </w:pPr>
            <w:r>
              <w:rPr>
                <w:rFonts w:ascii="Arial" w:cs="Arial" w:eastAsia="Arial" w:hAnsi="Arial"/>
                <w:sz w:val="11"/>
                <w:szCs w:val="11"/>
                <w:color w:val="auto"/>
              </w:rPr>
              <w:t>underwriting discounts and issuance costs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80" w:type="dxa"/>
            <w:vAlign w:val="bottom"/>
          </w:tcPr>
          <w:p>
            <w:pPr>
              <w:ind w:left="280"/>
              <w:spacing w:after="0"/>
              <w:rPr>
                <w:sz w:val="20"/>
                <w:szCs w:val="20"/>
                <w:color w:val="auto"/>
              </w:rPr>
            </w:pPr>
            <w:r>
              <w:rPr>
                <w:rFonts w:ascii="Arial" w:cs="Arial" w:eastAsia="Arial" w:hAnsi="Arial"/>
                <w:sz w:val="11"/>
                <w:szCs w:val="11"/>
                <w:color w:val="auto"/>
                <w:w w:val="97"/>
              </w:rPr>
              <w:t>Conversion of redeemable convertible preferred stock to</w:t>
            </w:r>
          </w:p>
        </w:tc>
        <w:tc>
          <w:tcPr>
            <w:tcW w:w="820" w:type="dxa"/>
            <w:vAlign w:val="bottom"/>
          </w:tcPr>
          <w:p>
            <w:pPr>
              <w:jc w:val="right"/>
              <w:spacing w:after="0"/>
              <w:rPr>
                <w:sz w:val="20"/>
                <w:szCs w:val="20"/>
                <w:color w:val="auto"/>
              </w:rPr>
            </w:pPr>
            <w:r>
              <w:rPr>
                <w:rFonts w:ascii="Arial" w:cs="Arial" w:eastAsia="Arial" w:hAnsi="Arial"/>
                <w:sz w:val="11"/>
                <w:szCs w:val="11"/>
                <w:color w:val="auto"/>
              </w:rPr>
              <w:t>(131,268)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(557,912)</w:t>
            </w:r>
          </w:p>
        </w:tc>
        <w:tc>
          <w:tcPr>
            <w:tcW w:w="0" w:type="dxa"/>
            <w:vAlign w:val="bottom"/>
          </w:tcPr>
          <w:p>
            <w:pPr>
              <w:spacing w:after="0"/>
              <w:rPr>
                <w:sz w:val="1"/>
                <w:szCs w:val="1"/>
                <w:color w:val="auto"/>
              </w:rPr>
            </w:pPr>
          </w:p>
        </w:tc>
      </w:tr>
      <w:tr>
        <w:trPr>
          <w:trHeight w:val="136"/>
        </w:trPr>
        <w:tc>
          <w:tcPr>
            <w:tcW w:w="2980" w:type="dxa"/>
            <w:vAlign w:val="bottom"/>
          </w:tcPr>
          <w:p>
            <w:pPr>
              <w:ind w:left="280"/>
              <w:spacing w:after="0"/>
              <w:rPr>
                <w:sz w:val="20"/>
                <w:szCs w:val="20"/>
                <w:color w:val="auto"/>
              </w:rPr>
            </w:pPr>
            <w:r>
              <w:rPr>
                <w:rFonts w:ascii="Arial" w:cs="Arial" w:eastAsia="Arial" w:hAnsi="Arial"/>
                <w:sz w:val="11"/>
                <w:szCs w:val="11"/>
                <w:color w:val="auto"/>
              </w:rPr>
              <w:t>common stock upon initial public offering</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80" w:type="dxa"/>
            <w:vAlign w:val="bottom"/>
          </w:tcPr>
          <w:p>
            <w:pPr>
              <w:ind w:left="280"/>
              <w:spacing w:after="0"/>
              <w:rPr>
                <w:sz w:val="20"/>
                <w:szCs w:val="20"/>
                <w:color w:val="auto"/>
              </w:rPr>
            </w:pPr>
            <w:r>
              <w:rPr>
                <w:rFonts w:ascii="Arial" w:cs="Arial" w:eastAsia="Arial" w:hAnsi="Arial"/>
                <w:sz w:val="11"/>
                <w:szCs w:val="11"/>
                <w:color w:val="auto"/>
                <w:w w:val="94"/>
              </w:rPr>
              <w:t>Reclassification of redeemable convertible preferred stock</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2980" w:type="dxa"/>
            <w:vAlign w:val="bottom"/>
          </w:tcPr>
          <w:p>
            <w:pPr>
              <w:ind w:left="280"/>
              <w:spacing w:after="0" w:line="108" w:lineRule="exact"/>
              <w:rPr>
                <w:sz w:val="20"/>
                <w:szCs w:val="20"/>
                <w:color w:val="auto"/>
              </w:rPr>
            </w:pPr>
            <w:r>
              <w:rPr>
                <w:rFonts w:ascii="Arial" w:cs="Arial" w:eastAsia="Arial" w:hAnsi="Arial"/>
                <w:sz w:val="11"/>
                <w:szCs w:val="11"/>
                <w:color w:val="auto"/>
              </w:rPr>
              <w:t>warrant liability to additional paid-in capital upon initial</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80"/>
              <w:spacing w:after="0"/>
              <w:rPr>
                <w:sz w:val="20"/>
                <w:szCs w:val="20"/>
                <w:color w:val="auto"/>
              </w:rPr>
            </w:pPr>
            <w:r>
              <w:rPr>
                <w:rFonts w:ascii="Arial" w:cs="Arial" w:eastAsia="Arial" w:hAnsi="Arial"/>
                <w:sz w:val="11"/>
                <w:szCs w:val="11"/>
                <w:color w:val="auto"/>
              </w:rPr>
              <w:t>public offering</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Net exercise of common stock warrants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Issuance of common stock upon exercise of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Issuance of common stock under RSU release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980" w:type="dxa"/>
            <w:vAlign w:val="bottom"/>
          </w:tcPr>
          <w:p>
            <w:pPr>
              <w:ind w:left="280"/>
              <w:spacing w:after="0"/>
              <w:rPr>
                <w:sz w:val="20"/>
                <w:szCs w:val="20"/>
                <w:color w:val="auto"/>
              </w:rPr>
            </w:pPr>
            <w:r>
              <w:rPr>
                <w:rFonts w:ascii="Arial" w:cs="Arial" w:eastAsia="Arial" w:hAnsi="Arial"/>
                <w:sz w:val="11"/>
                <w:szCs w:val="11"/>
                <w:color w:val="auto"/>
                <w:w w:val="92"/>
              </w:rPr>
              <w:t>Issuance of common stock under employee stock purchase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80" w:type="dxa"/>
            <w:vAlign w:val="bottom"/>
          </w:tcPr>
          <w:p>
            <w:pPr>
              <w:ind w:left="280"/>
              <w:spacing w:after="0"/>
              <w:rPr>
                <w:sz w:val="20"/>
                <w:szCs w:val="20"/>
                <w:color w:val="auto"/>
              </w:rPr>
            </w:pPr>
            <w:r>
              <w:rPr>
                <w:rFonts w:ascii="Arial" w:cs="Arial" w:eastAsia="Arial" w:hAnsi="Arial"/>
                <w:sz w:val="11"/>
                <w:szCs w:val="11"/>
                <w:color w:val="auto"/>
              </w:rPr>
              <w:t>plan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w w:val="90"/>
              </w:rPr>
              <w:t>Issuance of common stock related to early exercised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Vesting of early exercised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Stock-based compensation expense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Capitalized 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w w:val="95"/>
              </w:rPr>
              <w:t>Settlement related to stockholders short-swing trade profit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Non-controlling interest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w w:val="89"/>
              </w:rPr>
              <w:t>Unrealized net gain on available-for-sale-securities, net of tax</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Foreign currency translation adjustments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80" w:type="dxa"/>
            <w:vAlign w:val="bottom"/>
            <w:vMerge w:val="restart"/>
          </w:tcPr>
          <w:p>
            <w:pPr>
              <w:spacing w:after="0"/>
              <w:rPr>
                <w:sz w:val="20"/>
                <w:szCs w:val="20"/>
                <w:color w:val="auto"/>
              </w:rPr>
            </w:pPr>
            <w:r>
              <w:rPr>
                <w:rFonts w:ascii="Arial" w:cs="Arial" w:eastAsia="Arial" w:hAnsi="Arial"/>
                <w:sz w:val="11"/>
                <w:szCs w:val="11"/>
                <w:b w:val="1"/>
                <w:bCs w:val="1"/>
                <w:color w:val="auto"/>
              </w:rPr>
              <w:t>Balances at January 31, 2020</w:t>
            </w: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980" w:type="dxa"/>
            <w:vAlign w:val="bottom"/>
            <w:vMerge w:val="continue"/>
          </w:tcPr>
          <w:p>
            <w:pPr>
              <w:spacing w:after="0"/>
              <w:rPr>
                <w:sz w:val="11"/>
                <w:szCs w:val="11"/>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280"/>
              <w:spacing w:after="0"/>
              <w:rPr>
                <w:sz w:val="20"/>
                <w:szCs w:val="20"/>
                <w:color w:val="auto"/>
              </w:rPr>
            </w:pPr>
            <w:r>
              <w:rPr>
                <w:rFonts w:ascii="Arial" w:cs="Arial" w:eastAsia="Arial" w:hAnsi="Arial"/>
                <w:sz w:val="11"/>
                <w:szCs w:val="11"/>
                <w:color w:val="auto"/>
              </w:rPr>
              <w:t>Issuance of common stock upon exercise of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280"/>
              <w:spacing w:after="0"/>
              <w:rPr>
                <w:sz w:val="20"/>
                <w:szCs w:val="20"/>
                <w:color w:val="auto"/>
              </w:rPr>
            </w:pPr>
            <w:r>
              <w:rPr>
                <w:rFonts w:ascii="Arial" w:cs="Arial" w:eastAsia="Arial" w:hAnsi="Arial"/>
                <w:sz w:val="11"/>
                <w:szCs w:val="11"/>
                <w:color w:val="auto"/>
              </w:rPr>
              <w:t>Issuance of common stock under RSU release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2980" w:type="dxa"/>
            <w:vAlign w:val="bottom"/>
          </w:tcPr>
          <w:p>
            <w:pPr>
              <w:ind w:left="280"/>
              <w:spacing w:after="0"/>
              <w:rPr>
                <w:sz w:val="20"/>
                <w:szCs w:val="20"/>
                <w:color w:val="auto"/>
              </w:rPr>
            </w:pPr>
            <w:r>
              <w:rPr>
                <w:rFonts w:ascii="Arial" w:cs="Arial" w:eastAsia="Arial" w:hAnsi="Arial"/>
                <w:sz w:val="11"/>
                <w:szCs w:val="11"/>
                <w:color w:val="auto"/>
                <w:w w:val="92"/>
              </w:rPr>
              <w:t>Issuance of common stock under employee stock purchase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80" w:type="dxa"/>
            <w:vAlign w:val="bottom"/>
          </w:tcPr>
          <w:p>
            <w:pPr>
              <w:ind w:left="280"/>
              <w:spacing w:after="0"/>
              <w:rPr>
                <w:sz w:val="20"/>
                <w:szCs w:val="20"/>
                <w:color w:val="auto"/>
              </w:rPr>
            </w:pPr>
            <w:r>
              <w:rPr>
                <w:rFonts w:ascii="Arial" w:cs="Arial" w:eastAsia="Arial" w:hAnsi="Arial"/>
                <w:sz w:val="11"/>
                <w:szCs w:val="11"/>
                <w:color w:val="auto"/>
              </w:rPr>
              <w:t>plan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280"/>
              <w:spacing w:after="0"/>
              <w:rPr>
                <w:sz w:val="20"/>
                <w:szCs w:val="20"/>
                <w:color w:val="auto"/>
              </w:rPr>
            </w:pPr>
            <w:r>
              <w:rPr>
                <w:rFonts w:ascii="Arial" w:cs="Arial" w:eastAsia="Arial" w:hAnsi="Arial"/>
                <w:sz w:val="11"/>
                <w:szCs w:val="11"/>
                <w:color w:val="auto"/>
              </w:rPr>
              <w:t>Vesting of early exercised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Stock-based compensation expense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Capitalized 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2980" w:type="dxa"/>
            <w:vAlign w:val="bottom"/>
          </w:tcPr>
          <w:p>
            <w:pPr>
              <w:ind w:left="280"/>
              <w:spacing w:after="0"/>
              <w:rPr>
                <w:sz w:val="20"/>
                <w:szCs w:val="20"/>
                <w:color w:val="auto"/>
              </w:rPr>
            </w:pPr>
            <w:r>
              <w:rPr>
                <w:rFonts w:ascii="Arial" w:cs="Arial" w:eastAsia="Arial" w:hAnsi="Arial"/>
                <w:sz w:val="11"/>
                <w:szCs w:val="11"/>
                <w:color w:val="auto"/>
                <w:w w:val="93"/>
              </w:rPr>
              <w:t>Fair value of replacement equity awards attributable to pre-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980" w:type="dxa"/>
            <w:vAlign w:val="bottom"/>
          </w:tcPr>
          <w:p>
            <w:pPr>
              <w:ind w:left="280"/>
              <w:spacing w:after="0"/>
              <w:rPr>
                <w:sz w:val="20"/>
                <w:szCs w:val="20"/>
                <w:color w:val="auto"/>
              </w:rPr>
            </w:pPr>
            <w:r>
              <w:rPr>
                <w:rFonts w:ascii="Arial" w:cs="Arial" w:eastAsia="Arial" w:hAnsi="Arial"/>
                <w:sz w:val="11"/>
                <w:szCs w:val="11"/>
                <w:color w:val="auto"/>
              </w:rPr>
              <w:t>acquisition service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Non-controlling interest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280"/>
              <w:spacing w:after="0"/>
              <w:rPr>
                <w:sz w:val="20"/>
                <w:szCs w:val="20"/>
                <w:color w:val="auto"/>
              </w:rPr>
            </w:pPr>
            <w:r>
              <w:rPr>
                <w:rFonts w:ascii="Arial" w:cs="Arial" w:eastAsia="Arial" w:hAnsi="Arial"/>
                <w:sz w:val="11"/>
                <w:szCs w:val="11"/>
                <w:color w:val="auto"/>
              </w:rPr>
              <w:t>Other comprehensive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80" w:type="dxa"/>
            <w:vAlign w:val="bottom"/>
            <w:vMerge w:val="restart"/>
          </w:tcPr>
          <w:p>
            <w:pPr>
              <w:spacing w:after="0"/>
              <w:rPr>
                <w:sz w:val="20"/>
                <w:szCs w:val="20"/>
                <w:color w:val="auto"/>
              </w:rPr>
            </w:pPr>
            <w:r>
              <w:rPr>
                <w:rFonts w:ascii="Arial" w:cs="Arial" w:eastAsia="Arial" w:hAnsi="Arial"/>
                <w:sz w:val="11"/>
                <w:szCs w:val="11"/>
                <w:b w:val="1"/>
                <w:bCs w:val="1"/>
                <w:color w:val="auto"/>
              </w:rPr>
              <w:t>Balances at January 31, 2021</w:t>
            </w: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980" w:type="dxa"/>
            <w:vAlign w:val="bottom"/>
            <w:vMerge w:val="continue"/>
          </w:tcPr>
          <w:p>
            <w:pPr>
              <w:spacing w:after="0"/>
              <w:rPr>
                <w:sz w:val="11"/>
                <w:szCs w:val="11"/>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gridSpan w:val="3"/>
          </w:tcPr>
          <w:p>
            <w:pPr>
              <w:jc w:val="right"/>
              <w:ind w:right="230"/>
              <w:spacing w:after="0" w:line="122" w:lineRule="exact"/>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Other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82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w w:val="98"/>
              </w:rPr>
              <w:t>Accumulated</w:t>
            </w:r>
          </w:p>
        </w:tc>
        <w:tc>
          <w:tcPr>
            <w:tcW w:w="80" w:type="dxa"/>
            <w:vAlign w:val="bottom"/>
          </w:tcPr>
          <w:p>
            <w:pPr>
              <w:spacing w:after="0"/>
              <w:rPr>
                <w:sz w:val="4"/>
                <w:szCs w:val="4"/>
                <w:color w:val="auto"/>
              </w:rPr>
            </w:pPr>
          </w:p>
        </w:tc>
        <w:tc>
          <w:tcPr>
            <w:tcW w:w="860" w:type="dxa"/>
            <w:vAlign w:val="bottom"/>
            <w:gridSpan w:val="2"/>
            <w:vMerge w:val="restart"/>
          </w:tcPr>
          <w:p>
            <w:pPr>
              <w:jc w:val="center"/>
              <w:ind w:right="140"/>
              <w:spacing w:after="0" w:line="95" w:lineRule="exact"/>
              <w:rPr>
                <w:sz w:val="20"/>
                <w:szCs w:val="20"/>
                <w:color w:val="auto"/>
              </w:rPr>
            </w:pPr>
            <w:r>
              <w:rPr>
                <w:rFonts w:ascii="Arial" w:cs="Arial" w:eastAsia="Arial" w:hAnsi="Arial"/>
                <w:sz w:val="10"/>
                <w:szCs w:val="10"/>
                <w:b w:val="1"/>
                <w:bCs w:val="1"/>
                <w:color w:val="auto"/>
                <w:w w:val="95"/>
              </w:rPr>
              <w:t>Comprehensive</w:t>
            </w:r>
          </w:p>
        </w:tc>
        <w:tc>
          <w:tcPr>
            <w:tcW w:w="900" w:type="dxa"/>
            <w:vAlign w:val="bottom"/>
            <w:gridSpan w:val="3"/>
            <w:vMerge w:val="restart"/>
          </w:tcPr>
          <w:p>
            <w:pPr>
              <w:jc w:val="center"/>
              <w:ind w:right="60"/>
              <w:spacing w:after="0" w:line="95" w:lineRule="exact"/>
              <w:rPr>
                <w:sz w:val="20"/>
                <w:szCs w:val="20"/>
                <w:color w:val="auto"/>
              </w:rPr>
            </w:pPr>
            <w:r>
              <w:rPr>
                <w:rFonts w:ascii="Arial" w:cs="Arial" w:eastAsia="Arial" w:hAnsi="Arial"/>
                <w:sz w:val="10"/>
                <w:szCs w:val="10"/>
                <w:b w:val="1"/>
                <w:bCs w:val="1"/>
                <w:color w:val="auto"/>
                <w:w w:val="96"/>
              </w:rPr>
              <w:t>Non-controlling</w:t>
            </w:r>
          </w:p>
        </w:tc>
        <w:tc>
          <w:tcPr>
            <w:tcW w:w="120" w:type="dxa"/>
            <w:vAlign w:val="bottom"/>
          </w:tcPr>
          <w:p>
            <w:pPr>
              <w:spacing w:after="0"/>
              <w:rPr>
                <w:sz w:val="4"/>
                <w:szCs w:val="4"/>
                <w:color w:val="auto"/>
              </w:rPr>
            </w:pPr>
          </w:p>
        </w:tc>
        <w:tc>
          <w:tcPr>
            <w:tcW w:w="82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21"/>
        </w:trPr>
        <w:tc>
          <w:tcPr>
            <w:tcW w:w="92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Shares</w:t>
            </w:r>
          </w:p>
        </w:tc>
        <w:tc>
          <w:tcPr>
            <w:tcW w:w="5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Deficit</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Interest</w:t>
            </w:r>
          </w:p>
        </w:tc>
        <w:tc>
          <w:tcPr>
            <w:tcW w:w="120" w:type="dxa"/>
            <w:vAlign w:val="bottom"/>
          </w:tcPr>
          <w:p>
            <w:pPr>
              <w:spacing w:after="0"/>
              <w:rPr>
                <w:sz w:val="12"/>
                <w:szCs w:val="12"/>
                <w:color w:val="auto"/>
              </w:rPr>
            </w:pPr>
          </w:p>
        </w:tc>
        <w:tc>
          <w:tcPr>
            <w:tcW w:w="820" w:type="dxa"/>
            <w:vAlign w:val="bottom"/>
          </w:tcPr>
          <w:p>
            <w:pPr>
              <w:jc w:val="center"/>
              <w:ind w:right="66"/>
              <w:spacing w:after="0"/>
              <w:rPr>
                <w:sz w:val="20"/>
                <w:szCs w:val="20"/>
                <w:color w:val="auto"/>
              </w:rPr>
            </w:pPr>
            <w:r>
              <w:rPr>
                <w:rFonts w:ascii="Arial" w:cs="Arial" w:eastAsia="Arial" w:hAnsi="Arial"/>
                <w:sz w:val="11"/>
                <w:szCs w:val="11"/>
                <w:b w:val="1"/>
                <w:bCs w:val="1"/>
                <w:color w:val="auto"/>
                <w:w w:val="89"/>
              </w:rPr>
              <w:t>Deficit</w:t>
            </w:r>
          </w:p>
        </w:tc>
        <w:tc>
          <w:tcPr>
            <w:tcW w:w="0" w:type="dxa"/>
            <w:vAlign w:val="bottom"/>
          </w:tcPr>
          <w:p>
            <w:pPr>
              <w:spacing w:after="0"/>
              <w:rPr>
                <w:sz w:val="1"/>
                <w:szCs w:val="1"/>
                <w:color w:val="auto"/>
              </w:rPr>
            </w:pPr>
          </w:p>
        </w:tc>
      </w:tr>
      <w:tr>
        <w:trPr>
          <w:trHeight w:val="22"/>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44,231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8,482</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(378,948)</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970</w:t>
            </w: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(369,474)</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97"/>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3,046</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3,910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3,912</w:t>
            </w:r>
          </w:p>
        </w:tc>
        <w:tc>
          <w:tcPr>
            <w:tcW w:w="0" w:type="dxa"/>
            <w:vAlign w:val="bottom"/>
          </w:tcPr>
          <w:p>
            <w:pPr>
              <w:spacing w:after="0"/>
              <w:rPr>
                <w:sz w:val="1"/>
                <w:szCs w:val="1"/>
                <w:color w:val="auto"/>
              </w:rPr>
            </w:pPr>
          </w:p>
        </w:tc>
      </w:tr>
      <w:tr>
        <w:trPr>
          <w:trHeight w:val="175"/>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106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543</w:t>
            </w:r>
          </w:p>
        </w:tc>
        <w:tc>
          <w:tcPr>
            <w:tcW w:w="0" w:type="dxa"/>
            <w:vAlign w:val="bottom"/>
          </w:tcPr>
          <w:p>
            <w:pPr>
              <w:spacing w:after="0"/>
              <w:rPr>
                <w:sz w:val="1"/>
                <w:szCs w:val="1"/>
                <w:color w:val="auto"/>
              </w:rPr>
            </w:pPr>
          </w:p>
        </w:tc>
      </w:tr>
      <w:tr>
        <w:trPr>
          <w:trHeight w:val="176"/>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20,505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20,505</w:t>
            </w:r>
          </w:p>
        </w:tc>
        <w:tc>
          <w:tcPr>
            <w:tcW w:w="0" w:type="dxa"/>
            <w:vAlign w:val="bottom"/>
          </w:tcPr>
          <w:p>
            <w:pPr>
              <w:spacing w:after="0"/>
              <w:rPr>
                <w:sz w:val="1"/>
                <w:szCs w:val="1"/>
                <w:color w:val="auto"/>
              </w:rPr>
            </w:pPr>
          </w:p>
        </w:tc>
      </w:tr>
      <w:tr>
        <w:trPr>
          <w:trHeight w:val="176"/>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(2,330)</w:t>
            </w:r>
          </w:p>
        </w:tc>
        <w:tc>
          <w:tcPr>
            <w:tcW w:w="0" w:type="dxa"/>
            <w:vAlign w:val="bottom"/>
          </w:tcPr>
          <w:p>
            <w:pPr>
              <w:spacing w:after="0"/>
              <w:rPr>
                <w:sz w:val="1"/>
                <w:szCs w:val="1"/>
                <w:color w:val="auto"/>
              </w:rPr>
            </w:pPr>
          </w:p>
        </w:tc>
      </w:tr>
      <w:tr>
        <w:trPr>
          <w:trHeight w:val="175"/>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(140,077)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(140,077)</w:t>
            </w:r>
          </w:p>
        </w:tc>
        <w:tc>
          <w:tcPr>
            <w:tcW w:w="0" w:type="dxa"/>
            <w:vAlign w:val="bottom"/>
          </w:tcPr>
          <w:p>
            <w:pPr>
              <w:spacing w:after="0"/>
              <w:rPr>
                <w:sz w:val="1"/>
                <w:szCs w:val="1"/>
                <w:color w:val="auto"/>
              </w:rPr>
            </w:pPr>
          </w:p>
        </w:tc>
      </w:tr>
      <w:tr>
        <w:trPr>
          <w:trHeight w:val="176"/>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(872)</w:t>
            </w:r>
          </w:p>
        </w:tc>
        <w:tc>
          <w:tcPr>
            <w:tcW w:w="0" w:type="dxa"/>
            <w:vAlign w:val="bottom"/>
          </w:tcPr>
          <w:p>
            <w:pPr>
              <w:spacing w:after="0"/>
              <w:rPr>
                <w:sz w:val="1"/>
                <w:szCs w:val="1"/>
                <w:color w:val="auto"/>
              </w:rPr>
            </w:pPr>
          </w:p>
        </w:tc>
      </w:tr>
      <w:tr>
        <w:trPr>
          <w:trHeight w:val="36"/>
        </w:trPr>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47,421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24</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31,211</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(519,126)</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98</w:t>
            </w: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(487,793)</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23,418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23,418</w:t>
            </w:r>
          </w:p>
        </w:tc>
        <w:tc>
          <w:tcPr>
            <w:tcW w:w="0" w:type="dxa"/>
            <w:vAlign w:val="bottom"/>
          </w:tcPr>
          <w:p>
            <w:pPr>
              <w:spacing w:after="0"/>
              <w:rPr>
                <w:sz w:val="1"/>
                <w:szCs w:val="1"/>
                <w:color w:val="auto"/>
              </w:rPr>
            </w:pPr>
          </w:p>
        </w:tc>
      </w:tr>
      <w:tr>
        <w:trPr>
          <w:trHeight w:val="162"/>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20,700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659,207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659,218</w:t>
            </w:r>
          </w:p>
        </w:tc>
        <w:tc>
          <w:tcPr>
            <w:tcW w:w="0" w:type="dxa"/>
            <w:vAlign w:val="bottom"/>
          </w:tcPr>
          <w:p>
            <w:pPr>
              <w:spacing w:after="0"/>
              <w:rPr>
                <w:sz w:val="1"/>
                <w:szCs w:val="1"/>
                <w:color w:val="auto"/>
              </w:rPr>
            </w:pPr>
          </w:p>
        </w:tc>
      </w:tr>
      <w:tr>
        <w:trPr>
          <w:trHeight w:val="270"/>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131,268</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557,846</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557,912</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10,559</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10,559</w:t>
            </w:r>
          </w:p>
        </w:tc>
        <w:tc>
          <w:tcPr>
            <w:tcW w:w="0" w:type="dxa"/>
            <w:vAlign w:val="bottom"/>
          </w:tcPr>
          <w:p>
            <w:pPr>
              <w:spacing w:after="0"/>
              <w:rPr>
                <w:sz w:val="1"/>
                <w:szCs w:val="1"/>
                <w:color w:val="auto"/>
              </w:rPr>
            </w:pPr>
          </w:p>
        </w:tc>
      </w:tr>
      <w:tr>
        <w:trPr>
          <w:trHeight w:val="378"/>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322</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10,645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21,507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21,512</w:t>
            </w:r>
          </w:p>
        </w:tc>
        <w:tc>
          <w:tcPr>
            <w:tcW w:w="0" w:type="dxa"/>
            <w:vAlign w:val="bottom"/>
          </w:tcPr>
          <w:p>
            <w:pPr>
              <w:spacing w:after="0"/>
              <w:rPr>
                <w:sz w:val="1"/>
                <w:szCs w:val="1"/>
                <w:color w:val="auto"/>
              </w:rPr>
            </w:pPr>
          </w:p>
        </w:tc>
      </w:tr>
      <w:tr>
        <w:trPr>
          <w:trHeight w:val="162"/>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1,127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428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12,365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12,365</w:t>
            </w:r>
          </w:p>
        </w:tc>
        <w:tc>
          <w:tcPr>
            <w:tcW w:w="0" w:type="dxa"/>
            <w:vAlign w:val="bottom"/>
          </w:tcPr>
          <w:p>
            <w:pPr>
              <w:spacing w:after="0"/>
              <w:rPr>
                <w:sz w:val="1"/>
                <w:szCs w:val="1"/>
                <w:color w:val="auto"/>
              </w:rPr>
            </w:pPr>
          </w:p>
        </w:tc>
      </w:tr>
      <w:tr>
        <w:trPr>
          <w:trHeight w:val="270"/>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1,037</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2,704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2,704</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79,940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79,940</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857</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2,283</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(141,779)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(141,779)</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1,321</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(410)</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212,948</w:t>
            </w:r>
          </w:p>
        </w:tc>
        <w:tc>
          <w:tcPr>
            <w:tcW w:w="80" w:type="dxa"/>
            <w:vAlign w:val="bottom"/>
          </w:tcPr>
          <w:p>
            <w:pPr>
              <w:spacing w:after="0"/>
              <w:rPr>
                <w:sz w:val="11"/>
                <w:szCs w:val="11"/>
                <w:color w:val="auto"/>
              </w:rPr>
            </w:pPr>
          </w:p>
        </w:tc>
        <w:tc>
          <w:tcPr>
            <w:tcW w:w="580" w:type="dxa"/>
            <w:vAlign w:val="bottom"/>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jc w:val="right"/>
              <w:ind w:right="6"/>
              <w:spacing w:after="0"/>
              <w:rPr>
                <w:sz w:val="20"/>
                <w:szCs w:val="20"/>
                <w:color w:val="auto"/>
              </w:rPr>
            </w:pPr>
            <w:r>
              <w:rPr>
                <w:rFonts w:ascii="Arial" w:cs="Arial" w:eastAsia="Arial" w:hAnsi="Arial"/>
                <w:sz w:val="11"/>
                <w:szCs w:val="11"/>
                <w:b w:val="1"/>
                <w:bCs w:val="1"/>
                <w:color w:val="auto"/>
                <w:w w:val="76"/>
              </w:rPr>
              <w:t>106</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1,378,479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(637,487)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b w:val="1"/>
                <w:bCs w:val="1"/>
                <w:color w:val="auto"/>
              </w:rPr>
              <w:t>1,009</w:t>
            </w:r>
          </w:p>
        </w:tc>
        <w:tc>
          <w:tcPr>
            <w:tcW w:w="8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500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b w:val="1"/>
                <w:bCs w:val="1"/>
                <w:color w:val="auto"/>
              </w:rPr>
              <w:t>742,607</w:t>
            </w:r>
          </w:p>
        </w:tc>
        <w:tc>
          <w:tcPr>
            <w:tcW w:w="0" w:type="dxa"/>
            <w:vAlign w:val="bottom"/>
          </w:tcPr>
          <w:p>
            <w:pPr>
              <w:spacing w:after="0"/>
              <w:rPr>
                <w:sz w:val="1"/>
                <w:szCs w:val="1"/>
                <w:color w:val="auto"/>
              </w:rPr>
            </w:pPr>
          </w:p>
        </w:tc>
      </w:tr>
      <w:tr>
        <w:trPr>
          <w:trHeight w:val="162"/>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7,752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28,825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28,831</w:t>
            </w:r>
          </w:p>
        </w:tc>
        <w:tc>
          <w:tcPr>
            <w:tcW w:w="0" w:type="dxa"/>
            <w:vAlign w:val="bottom"/>
          </w:tcPr>
          <w:p>
            <w:pPr>
              <w:spacing w:after="0"/>
              <w:rPr>
                <w:sz w:val="1"/>
                <w:szCs w:val="1"/>
                <w:color w:val="auto"/>
              </w:rPr>
            </w:pPr>
          </w:p>
        </w:tc>
      </w:tr>
      <w:tr>
        <w:trPr>
          <w:trHeight w:val="175"/>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1,994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840" w:type="dxa"/>
            <w:vAlign w:val="bottom"/>
          </w:tcPr>
          <w:p>
            <w:pPr>
              <w:jc w:val="right"/>
              <w:ind w:right="6"/>
              <w:spacing w:after="0"/>
              <w:rPr>
                <w:sz w:val="20"/>
                <w:szCs w:val="20"/>
                <w:color w:val="auto"/>
              </w:rPr>
            </w:pPr>
            <w:r>
              <w:rPr>
                <w:rFonts w:ascii="Arial" w:cs="Arial" w:eastAsia="Arial" w:hAnsi="Arial"/>
                <w:sz w:val="11"/>
                <w:szCs w:val="11"/>
                <w:color w:val="auto"/>
              </w:rPr>
              <w:t>1,030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34,263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34,263</w:t>
            </w:r>
          </w:p>
        </w:tc>
        <w:tc>
          <w:tcPr>
            <w:tcW w:w="0" w:type="dxa"/>
            <w:vAlign w:val="bottom"/>
          </w:tcPr>
          <w:p>
            <w:pPr>
              <w:spacing w:after="0"/>
              <w:rPr>
                <w:sz w:val="1"/>
                <w:szCs w:val="1"/>
                <w:color w:val="auto"/>
              </w:rPr>
            </w:pPr>
          </w:p>
        </w:tc>
      </w:tr>
      <w:tr>
        <w:trPr>
          <w:trHeight w:val="297"/>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3,318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3,318</w:t>
            </w:r>
          </w:p>
        </w:tc>
        <w:tc>
          <w:tcPr>
            <w:tcW w:w="0" w:type="dxa"/>
            <w:vAlign w:val="bottom"/>
          </w:tcPr>
          <w:p>
            <w:pPr>
              <w:spacing w:after="0"/>
              <w:rPr>
                <w:sz w:val="1"/>
                <w:szCs w:val="1"/>
                <w:color w:val="auto"/>
              </w:rPr>
            </w:pPr>
          </w:p>
        </w:tc>
      </w:tr>
      <w:tr>
        <w:trPr>
          <w:trHeight w:val="175"/>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149,375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149,375</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3,686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3,686</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270"/>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(92,629)</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(92,629)</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800</w:t>
            </w:r>
          </w:p>
        </w:tc>
        <w:tc>
          <w:tcPr>
            <w:tcW w:w="0" w:type="dxa"/>
            <w:vAlign w:val="bottom"/>
          </w:tcPr>
          <w:p>
            <w:pPr>
              <w:spacing w:after="0"/>
              <w:rPr>
                <w:sz w:val="1"/>
                <w:szCs w:val="1"/>
                <w:color w:val="auto"/>
              </w:rPr>
            </w:pPr>
          </w:p>
        </w:tc>
      </w:tr>
      <w:tr>
        <w:trPr>
          <w:trHeight w:val="162"/>
        </w:trPr>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1,310</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840" w:type="dxa"/>
            <w:vAlign w:val="bottom"/>
          </w:tcPr>
          <w:p>
            <w:pPr>
              <w:jc w:val="right"/>
              <w:ind w:right="6"/>
              <w:spacing w:after="0"/>
              <w:rPr>
                <w:sz w:val="20"/>
                <w:szCs w:val="20"/>
                <w:color w:val="auto"/>
              </w:rPr>
            </w:pPr>
            <w:r>
              <w:rPr>
                <w:rFonts w:ascii="Arial" w:cs="Arial" w:eastAsia="Arial" w:hAnsi="Arial"/>
                <w:sz w:val="11"/>
                <w:szCs w:val="11"/>
                <w:b w:val="1"/>
                <w:bCs w:val="1"/>
                <w:color w:val="auto"/>
              </w:rPr>
              <w:t>223,724</w:t>
            </w:r>
          </w:p>
        </w:tc>
        <w:tc>
          <w:tcPr>
            <w:tcW w:w="80" w:type="dxa"/>
            <w:vAlign w:val="bottom"/>
          </w:tcPr>
          <w:p>
            <w:pPr>
              <w:spacing w:after="0"/>
              <w:rPr>
                <w:sz w:val="11"/>
                <w:szCs w:val="11"/>
                <w:color w:val="auto"/>
              </w:rPr>
            </w:pPr>
          </w:p>
        </w:tc>
        <w:tc>
          <w:tcPr>
            <w:tcW w:w="580" w:type="dxa"/>
            <w:vAlign w:val="bottom"/>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Pr>
          <w:p>
            <w:pPr>
              <w:jc w:val="right"/>
              <w:ind w:right="6"/>
              <w:spacing w:after="0"/>
              <w:rPr>
                <w:sz w:val="20"/>
                <w:szCs w:val="20"/>
                <w:color w:val="auto"/>
              </w:rPr>
            </w:pPr>
            <w:r>
              <w:rPr>
                <w:rFonts w:ascii="Arial" w:cs="Arial" w:eastAsia="Arial" w:hAnsi="Arial"/>
                <w:sz w:val="11"/>
                <w:szCs w:val="11"/>
                <w:b w:val="1"/>
                <w:bCs w:val="1"/>
                <w:color w:val="auto"/>
                <w:w w:val="76"/>
              </w:rPr>
              <w:t>112</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1,598,259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(730,116)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b w:val="1"/>
                <w:bCs w:val="1"/>
                <w:color w:val="auto"/>
              </w:rPr>
              <w:t>2,319</w:t>
            </w:r>
          </w:p>
        </w:tc>
        <w:tc>
          <w:tcPr>
            <w:tcW w:w="8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1,300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820" w:type="dxa"/>
            <w:vAlign w:val="bottom"/>
          </w:tcPr>
          <w:p>
            <w:pPr>
              <w:jc w:val="right"/>
              <w:ind w:right="6"/>
              <w:spacing w:after="0"/>
              <w:rPr>
                <w:sz w:val="20"/>
                <w:szCs w:val="20"/>
                <w:color w:val="auto"/>
              </w:rPr>
            </w:pPr>
            <w:r>
              <w:rPr>
                <w:rFonts w:ascii="Arial" w:cs="Arial" w:eastAsia="Arial" w:hAnsi="Arial"/>
                <w:sz w:val="11"/>
                <w:szCs w:val="11"/>
                <w:b w:val="1"/>
                <w:bCs w:val="1"/>
                <w:color w:val="auto"/>
              </w:rPr>
              <w:t>871,874</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-5100320</wp:posOffset>
            </wp:positionV>
            <wp:extent cx="7132320" cy="5083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5083175"/>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4700" w:space="160"/>
            <w:col w:w="638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9"/>
          <w:szCs w:val="9"/>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Year Ended January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(92,629)</w:t>
            </w: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(141,779)</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(140,077)</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38,695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14,815</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disposal of fixed assets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contract acquisition costs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28,642</w:t>
            </w:r>
          </w:p>
        </w:tc>
        <w:tc>
          <w:tcPr>
            <w:tcW w:w="0" w:type="dxa"/>
            <w:vAlign w:val="bottom"/>
          </w:tcPr>
          <w:p>
            <w:pPr>
              <w:spacing w:after="0"/>
              <w:rPr>
                <w:sz w:val="1"/>
                <w:szCs w:val="1"/>
                <w:color w:val="auto"/>
              </w:rPr>
            </w:pPr>
          </w:p>
        </w:tc>
      </w:tr>
      <w:tr>
        <w:trPr>
          <w:trHeight w:val="189"/>
        </w:trPr>
        <w:tc>
          <w:tcPr>
            <w:tcW w:w="7700" w:type="dxa"/>
            <w:vAlign w:val="bottom"/>
          </w:tcPr>
          <w:p>
            <w:pPr>
              <w:ind w:left="220"/>
              <w:spacing w:after="0"/>
              <w:rPr>
                <w:sz w:val="20"/>
                <w:szCs w:val="20"/>
                <w:color w:val="auto"/>
              </w:rPr>
            </w:pPr>
            <w:r>
              <w:rPr>
                <w:rFonts w:ascii="Arial" w:cs="Arial" w:eastAsia="Arial" w:hAnsi="Arial"/>
                <w:sz w:val="14"/>
                <w:szCs w:val="14"/>
                <w:color w:val="auto"/>
              </w:rPr>
              <w:t>Non-cash operating lease cost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redeemable convertible preferred stock warrant liability</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Provision for bad debts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20,505</w:t>
            </w:r>
          </w:p>
        </w:tc>
        <w:tc>
          <w:tcPr>
            <w:tcW w:w="0" w:type="dxa"/>
            <w:vAlign w:val="bottom"/>
          </w:tcPr>
          <w:p>
            <w:pPr>
              <w:spacing w:after="0"/>
              <w:rPr>
                <w:sz w:val="1"/>
                <w:szCs w:val="1"/>
                <w:color w:val="auto"/>
              </w:rPr>
            </w:pPr>
          </w:p>
        </w:tc>
      </w:tr>
      <w:tr>
        <w:trPr>
          <w:trHeight w:val="189"/>
        </w:trPr>
        <w:tc>
          <w:tcPr>
            <w:tcW w:w="7700" w:type="dxa"/>
            <w:vAlign w:val="bottom"/>
          </w:tcPr>
          <w:p>
            <w:pPr>
              <w:ind w:left="220"/>
              <w:spacing w:after="0"/>
              <w:rPr>
                <w:sz w:val="20"/>
                <w:szCs w:val="20"/>
                <w:color w:val="auto"/>
              </w:rPr>
            </w:pPr>
            <w:r>
              <w:rPr>
                <w:rFonts w:ascii="Arial" w:cs="Arial" w:eastAsia="Arial" w:hAnsi="Arial"/>
                <w:sz w:val="14"/>
                <w:szCs w:val="14"/>
                <w:color w:val="auto"/>
              </w:rPr>
              <w:t>Gain on debt and equity securities,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(amortization) of marketable securities purchased at a premium (discount)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Non-cash interest expense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charges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(33,413)</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Deferred contract acquisition costs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(150,975)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(86,594)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(45,073)</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(5,819)</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Accrued payroll and benefits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33,212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338,803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280,768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131,117</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79"/>
        </w:trPr>
        <w:tc>
          <w:tcPr>
            <w:tcW w:w="7700" w:type="dxa"/>
            <w:vAlign w:val="bottom"/>
          </w:tcPr>
          <w:p>
            <w:pPr>
              <w:ind w:left="48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356,566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99,943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(22,968)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(52,799)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(80,198)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(35,851)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Capitalized internal-use software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(6,794)</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Purchase of strategic investments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Business acquisition, net of cash acquired</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marketable securities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(84,904)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(199,335)</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sales of marketable securities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639,586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Maturities of marketable securities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91,605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228,976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99,950</w:t>
            </w:r>
          </w:p>
        </w:tc>
        <w:tc>
          <w:tcPr>
            <w:tcW w:w="0" w:type="dxa"/>
            <w:vAlign w:val="bottom"/>
          </w:tcPr>
          <w:p>
            <w:pPr>
              <w:spacing w:after="0"/>
              <w:rPr>
                <w:sz w:val="1"/>
                <w:szCs w:val="1"/>
                <w:color w:val="auto"/>
              </w:rPr>
            </w:pPr>
          </w:p>
        </w:tc>
      </w:tr>
      <w:tr>
        <w:trPr>
          <w:trHeight w:val="179"/>
        </w:trPr>
        <w:tc>
          <w:tcPr>
            <w:tcW w:w="7700" w:type="dxa"/>
            <w:vAlign w:val="bottom"/>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495,427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(629,631)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(142,030)</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the issuance of common stock upon initial public offering, net of underwriting discounts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665,092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redeemable convertible preferred stock, net of issuance costs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206,896</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Repayment of loan payable</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revolving line of credit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Issuance costs related to revolving line of credit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revolving line of credit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issuance of Senior Notes, net of debt financing costs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739,569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notes receivable from related parties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Payments of contingent consideration</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indemnity holdback</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Repurchase of stock options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deferred offering costs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3,912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issuance of common stock upon exercise of early exercisable stock options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issuance of common stock under the employee stock purchase plan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34,263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related to stockholder short-swing trade profit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 contributions from non-controlling interest holders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800,135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706,144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190,389</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1,653,810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176,390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25,229</w:t>
            </w:r>
          </w:p>
        </w:tc>
        <w:tc>
          <w:tcPr>
            <w:tcW w:w="0" w:type="dxa"/>
            <w:vAlign w:val="bottom"/>
          </w:tcPr>
          <w:p>
            <w:pPr>
              <w:spacing w:after="0"/>
              <w:rPr>
                <w:sz w:val="1"/>
                <w:szCs w:val="1"/>
                <w:color w:val="auto"/>
              </w:rPr>
            </w:pPr>
          </w:p>
        </w:tc>
      </w:tr>
      <w:tr>
        <w:trPr>
          <w:trHeight w:val="17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264,798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88,408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63,179</w:t>
            </w:r>
          </w:p>
        </w:tc>
        <w:tc>
          <w:tcPr>
            <w:tcW w:w="0" w:type="dxa"/>
            <w:vAlign w:val="bottom"/>
          </w:tcPr>
          <w:p>
            <w:pPr>
              <w:spacing w:after="0"/>
              <w:rPr>
                <w:sz w:val="1"/>
                <w:szCs w:val="1"/>
                <w:color w:val="auto"/>
              </w:rPr>
            </w:pPr>
          </w:p>
        </w:tc>
      </w:tr>
      <w:tr>
        <w:trPr>
          <w:trHeight w:val="20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1,918,608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264,798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88,408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paid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Income taxes paid, net of refunds received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1,862</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Contingent consideration associated with business combinations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Conversion of redeemable convertible preferred stock warrant liabilities reclassified to additional paid-in capital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10,559</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(decrease) increase in deferred offering costs, accrued but not paid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Net (decrease) increase in property and equipment included in accounts payable and accrued expenses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1,042</w:t>
            </w: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(3,193)</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Vesting of early exercised stock options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89"/>
        </w:trPr>
        <w:tc>
          <w:tcPr>
            <w:tcW w:w="7700" w:type="dxa"/>
            <w:vAlign w:val="bottom"/>
          </w:tcPr>
          <w:p>
            <w:pPr>
              <w:ind w:left="360"/>
              <w:spacing w:after="0"/>
              <w:rPr>
                <w:sz w:val="20"/>
                <w:szCs w:val="20"/>
                <w:color w:val="auto"/>
              </w:rPr>
            </w:pPr>
            <w:r>
              <w:rPr>
                <w:rFonts w:ascii="Arial" w:cs="Arial" w:eastAsia="Arial" w:hAnsi="Arial"/>
                <w:sz w:val="14"/>
                <w:szCs w:val="14"/>
                <w:color w:val="auto"/>
              </w:rPr>
              <w:t>Equity consideration for acquisitions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3,842</w:t>
            </w: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Debt financing costs, accrued but not paid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7700" w:type="dxa"/>
            <w:vAlign w:val="bottom"/>
          </w:tcPr>
          <w:p>
            <w:pPr>
              <w:ind w:left="360"/>
              <w:spacing w:after="0"/>
              <w:rPr>
                <w:sz w:val="20"/>
                <w:szCs w:val="20"/>
                <w:color w:val="auto"/>
              </w:rPr>
            </w:pPr>
            <w:r>
              <w:rPr>
                <w:rFonts w:ascii="Arial" w:cs="Arial" w:eastAsia="Arial" w:hAnsi="Arial"/>
                <w:sz w:val="14"/>
                <w:szCs w:val="14"/>
                <w:color w:val="auto"/>
              </w:rPr>
              <w:t>Operating lease liabilities arising from obtaining operating right of-use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6,249</w:t>
            </w:r>
          </w:p>
        </w:tc>
        <w:tc>
          <w:tcPr>
            <w:tcW w:w="12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40"/>
          </w:cols>
          <w:pgMar w:left="320" w:top="125" w:right="339" w:bottom="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Description of Business and Basis of Presentation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CrowdStrike Holdings, Inc. (the “Company”) was formed on November 7, 2011. The Company provides a leading cloud-delivered solution for next-generation endpoint and cloud workload protection that offers 19 cloud modules and its Falcon platform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 is headquartered in Sunnyvale, California. The Company conducts its business in the United States, as well as locations internationally, including in Australia, Germany, India, Israel, Romania, and the United Kingdom.</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On June 14, 2019, the Company closed its initial public offering (“IPO”), in which it sold 20,700,000 shares of Class A common stock. The shares were sold at a public offering price of $34.00 per share for net proceeds of $659.2 million, after deducting underwriters’ discounts and commissions and offering expenses of $44.8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(“U.S. GAAP”). Effective February 1, 2020, the Company adopted the Accounting Standards Update (“ASU”) 2016-02, Leases (Topic 842) as discussed in Note 2 below. Prior periods were not retrospectively recast, and accordingly, the consolidated balance sheet as of January 31, 2020, and the consolidated statements of operations for the years ended January 31, 2020 and 2019 were prepared using the prior lease accounting standard referred to as ASC Topic</w:t>
      </w:r>
    </w:p>
    <w:p>
      <w:pPr>
        <w:spacing w:after="0" w:line="1"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Effective February 1, 2019, the Company adopted the Accounting Standards Update (“ASU”) 2014-09, Revenue from Contracts with Customers</w:t>
      </w:r>
    </w:p>
    <w:p>
      <w:pPr>
        <w:spacing w:after="0" w:line="20"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(“ASC 606”) as discussed in Note 2 below. Prior periods were not retrospectively recast, and accordingly, the consolidated statements of operations for the year ended January 31, 2019 was prepared using the prior revenue recognition standard referred to as ASC 605.</w:t>
      </w:r>
    </w:p>
    <w:p>
      <w:pPr>
        <w:spacing w:after="0" w:line="185" w:lineRule="exact"/>
        <w:rPr>
          <w:sz w:val="20"/>
          <w:szCs w:val="20"/>
          <w:color w:val="auto"/>
        </w:rPr>
      </w:pPr>
    </w:p>
    <w:p>
      <w:pPr>
        <w:ind w:left="340" w:right="7740" w:hanging="332"/>
        <w:spacing w:after="0" w:line="500" w:lineRule="auto"/>
        <w:tabs>
          <w:tab w:leader="none" w:pos="196"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Principles of Consolidation</w:t>
      </w:r>
    </w:p>
    <w:p>
      <w:pPr>
        <w:spacing w:after="0" w:line="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 could be material to the Company’s consolidated financial statements.</w:t>
      </w:r>
    </w:p>
    <w:p>
      <w:pPr>
        <w:spacing w:after="0" w:line="15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Estimates and assumptions used by management include, but are not limited to, revenue recognition, the allowance for doubtful accounts, the carrying value and the useful lives of long-lived assets, the fair values of financial instruments and strategic investments, the period of benefit for deferred contract acquisition costs, the discount rate used for operating leases, the recognition and disclosure of contingent liabilities, income taxes, stock-based compensation, the fair value of assets acquired and liabilities assumed for business combinations, and the accounting for the Senior Notes.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January 31, 2021. While there was not a material impact to the Company’s consolidated financial statements as of and for the year ended January 31, 2021, these estimates may change, as new events occur and additional information is obtained, as well as other factors related to COVID-19 that could result in material impacts to the Company’s consolidated financial statements in future reporting periods.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marketable securities, accounts receivable, and strategic investments.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marketable securities, and strategic investments. The Company performs periodic credit evaluations of its customers and generally does not require collateral. As of January 31, 2021, the Company did not have any cash equivalents or marketable securities.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Channel partners or direct customers who represented 10% or more of the Company’s accounts receivable were as follows:</w:t>
      </w:r>
    </w:p>
    <w:p>
      <w:pPr>
        <w:spacing w:after="0" w:line="4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Channel partner B</w:t>
            </w:r>
          </w:p>
        </w:tc>
        <w:tc>
          <w:tcPr>
            <w:tcW w:w="5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8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Channel partner C</w:t>
            </w:r>
            <w:r>
              <w:rPr>
                <w:rFonts w:ascii="Arial" w:cs="Arial" w:eastAsia="Arial" w:hAnsi="Arial"/>
                <w:sz w:val="23"/>
                <w:szCs w:val="23"/>
                <w:color w:val="auto"/>
                <w:vertAlign w:val="superscript"/>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304"/>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Customer A</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17 %</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Channel Partner C and Customer A are controlled by the same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Channel partners who represented 10% or more of the Company’s total revenue were as follows:</w:t>
      </w:r>
    </w:p>
    <w:p>
      <w:pPr>
        <w:spacing w:after="0" w:line="46"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 partner A</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were no direct customers who represented 10% or more of the Company’s total revenue during the years ended January 31, 2021, January 31, 2020, and January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Company considers all highly liquid investments with original maturities of three months or less at date of purchase to be cash equivalents. As of January 31, 2021, the Company did not have any cash equivalents or marketable securities. Cash equivalents as of January 31, 2020 consisted of corporate debt securities and money market funds stated at fair value. The Company classifies investments in marketable securities as available-for-sale securities at the time of purchase and re-evaluates the designations as of each balance sheet date. The Company classifies its available-for-sale securities as short-term investments based on their nature and their availability for use in current operations. Available-for-sale securities are carried at fair value with unrealized gains and losses, if any, included in accumulated other comprehensive income (loss). Unrealized losses are recorded in Other income (expense), net, for declines in fair value below the cost of an individual investment that is deemed to be other-than-temporary. The Company did not identify any marketable securities as other-than-temporarily impaired as of January 31, 2020. The Company determines realized gains or losses on the sale of marketable securities on a specific identification method and records such gains or losses in Other income (expense), net. Marketable securities as of January 31, 2020 consisted of corporate debt securities and U.S. treasury securities.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July 2019, the Company agreed to commit up to $10.0 million to a newly formed entity, CrowdStrike Falcon Fund LLC (“Falcon Fund”) in exchange for 50% of the sharing percentage of any distribution by Falcon Fund. Additionally, entities associated with Accel, a holder of more than 5% of the Company’s capital stock, also agreed to commit up to $10.0 million to Falcon Fund, and collectively own the remaining 50% of the sharing percentage of Falcon Fund. Falcon Fund is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 and controls the investment decisions and day-to-day operations and accordingly has consolidated the Falcon Fund. Falcon Fund has a duration of ten years and may be extended for three additional years. At dissolution, Falcon Fund will be liquidated and the remaining assets will be distributed to the investors based on their respective sharing percentage. The Company has made contributions to Falcon Fund totaling $1.3 million as of January 31, 2021.</w:t>
      </w:r>
    </w:p>
    <w:p>
      <w:pPr>
        <w:spacing w:after="0" w:line="19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has elected the measurement alternative for the non-marketable equity investments of the Falcon Fund where eligible. Under the measurement alternative, the carrying value of the strategic investments is adjusted to fair value for observable transactions for identical or similar investments of the same issuer or impairment. All gains and losses on strategic investments, realized and unrealized, are recognized in Other income (expense), net. Strategic investments are classified within Level 3 in the fair value hierarchy when a remeasurement occurs based on price changes from observable transactions of identical or similar securities of the same issuer or for impairment. The fair value is estimated based on valuation methods using the observable transaction price at the transaction date and other unobservable inputs including volatility, rights, and obligations of the investments. The Company classifies the investments in Falcon Fund as a non-current asset called Strategic Investments on the consolidated balance sheets as of January 31, 2021. There have been no realized or unrealized gains or losses on the strategic investments during the year ended January 31, 2021.</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Company’s financial instruments consist of cash equivalents, marketable securities, strategic investments, accounts receivable, accounts payable, accrued expenses, the redeemable convertible preferred stock warrant liability, and the Senior Notes. The carrying values of cash equivalents, accounts receivable, accounts payable, and accrued expenses approximate fair value due to their short-term nature. The Senior Notes are carried at the initially allocated liability value less unamortized debt discount and issuance costs on the Company’s consolidated balance sheet. The Company discloses the fair value of the Senior Notes at each reporting period for disclosure purposes only. Refer to Note 3, Fair Value Measurements and Marketable Securities, regarding the fair value of the Company’s marketable securities and non-marketable securities and Note 5, Debt, for the fair value of the Company’s Senior Notes.</w:t>
      </w:r>
    </w:p>
    <w:p>
      <w:pPr>
        <w:spacing w:after="0" w:line="19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The Company reports the redeemable convertible preferred stock warrant liability at fair value (see Note 3,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The warrants issued by the Company for redeemable convertible preferred stock in January 2015, December 2016, and March 2017 (see Note 7, </w:t>
      </w:r>
      <w:r>
        <w:rPr>
          <w:rFonts w:ascii="Arial" w:cs="Arial" w:eastAsia="Arial" w:hAnsi="Arial"/>
          <w:sz w:val="17"/>
          <w:szCs w:val="17"/>
          <w:i w:val="1"/>
          <w:iCs w:val="1"/>
          <w:color w:val="auto"/>
        </w:rPr>
        <w:t>Redeemable 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Preferred Stock</w:t>
      </w:r>
      <w:r>
        <w:rPr>
          <w:rFonts w:ascii="Arial" w:cs="Arial" w:eastAsia="Arial" w:hAnsi="Arial"/>
          <w:sz w:val="17"/>
          <w:szCs w:val="17"/>
          <w:color w:val="auto"/>
        </w:rPr>
        <w:t>) have been recorded as a liability based on “Level 3” inputs, which consist of unobservable inputs and reflect management’s estimates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market participants would use in pricing the liability. The fair value of the warrants was determined using the Black-Scholes option-pricing model, which is affected by changes in inputs to that model including the Company’s stock price, expected stock price volatility, risk-free rate, and contractual term. 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upon the closing of the IPO.</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140" w:firstLine="324"/>
        <w:spacing w:after="0" w:line="293" w:lineRule="auto"/>
        <w:rPr>
          <w:sz w:val="20"/>
          <w:szCs w:val="20"/>
          <w:color w:val="auto"/>
        </w:rPr>
      </w:pPr>
      <w:r>
        <w:rPr>
          <w:rFonts w:ascii="Arial" w:cs="Arial" w:eastAsia="Arial" w:hAnsi="Arial"/>
          <w:sz w:val="16"/>
          <w:szCs w:val="16"/>
          <w:color w:val="auto"/>
        </w:rPr>
        <w:t>Accounts receivable are recorded at the invoiced amount and are non-interest bearing. Accounts receivable are stated at their net realizable value, net of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doubtful accounts by considering various factors including the age of each outstanding invoice, each customer’s expected ability to pay, historical loss rates and expectations of forward-looking loss estimates to determine whether the allowance is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appropriate. Amounts deemed uncollectible are written off against the allowance for doubtful accounts. As of January 31, 2021 and January 31, 2020, the allowance for doubtful accounts was $1.2 million and $1.1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Implementation Costs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Company contracts with third party information technology providers for various service arrangements including software, platform, and information technology infrastructure. The Company capitalizes the implementation cost incurred to develop or obtain internal-use software in such arrangements and are recorded as part of property and equipment, net in the consolidated balance sheets. All capitalized implementation costs are amortized over the term of the arrangement which includes reasonably certain renewals. Costs incurred during the preliminary project and post implement stage are expensed as the activities are performed. Capitalized implementation costs was $0.3 million for the fiscal year ended January 31, 2021.</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Deferred offering costs consisted of fees and expenses incurred in connection with the sale of the Company's common stock in an IPO, including legal, accounting, printing and other IPO-related costs. Upon the close of the IPO on June 14, 2019, total deferred offering costs of $5.9 million were reclassified to stockholders’ equity and recorded against the proceeds from the offering.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Property and equipment, net, is stated at historical cost less accumulated depreciation and amortization. Depreciation and amortization are calculated using the straight-line method over the estimated useful lives of the assets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and other computer equipment</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Furniture and equipment</w:t>
            </w:r>
          </w:p>
        </w:tc>
        <w:tc>
          <w:tcPr>
            <w:tcW w:w="57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software</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Capitalized internal-use software and website development</w:t>
            </w:r>
          </w:p>
        </w:tc>
        <w:tc>
          <w:tcPr>
            <w:tcW w:w="572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Estimated useful life or term of the lease, whichever is shorter</w:t>
            </w:r>
          </w:p>
        </w:tc>
      </w:tr>
    </w:tbl>
    <w:p>
      <w:pPr>
        <w:spacing w:after="0" w:line="202"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Expenditures for routine maintenance and repairs are charged to operating expense as incurred. Major renewals and improvements are capitalized and depreciated over their estimated useful lives. Upon retirement or other disposition of property and equipment, the cost and accumulated depreciation are removed from the accounts, and any gain or loss is recorded in operating expenses in the consolidated statement of operations.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Company capitalizes certain development costs incurred in connection with its internal-use software. These capitalized costs are primarily related to the Company’s cloud-delivered solution for next-generation endpoint protection. Costs incurred in the preliminary stages of development are expensed as incurred. Once an application has reached the development stage, internal and external costs, if direct, are capitalized until the software is substantially complete and ready for its intended use.</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is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Intangible assets, net, consisting of developed technology, customer relationships, and other acquired intangibles, are stated at cost less accumulated amortization. All intangible assets have been determined to have definite lives and are amortized on a straight-line basis over their estimated economic lives, which are generally one to five years. Amortization expense related to developed technology is included in cost of revenue, amortization expense related to customer relationships is included in sales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and marketing expenses, and amortization expense related to other acquired intangibles is included in research and development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the adoption of ASC606, sales commissions associated with the Falcon platform were amortized over the contract term and sales commissions associated with professional service contracts were expensed as incurred. Under ASC 606,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 are amortized ratably over an estimated period of benefit of six months. The Company capitalized contract acquisition costs of $151.0 million and $86.6 million during the years ended January 31, 2021 and January 31, 2020, respectively. Contract acquisition cost amortization expense was $66.4 million and $35.5 million under ASC 606 during the year ended January 31, 2021 and January 31, 2020, respectively. Contract acquisition cost amortization expense was $28.6 million under ASC 605, during the year ended January 31, 2019.</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is less than its carrying amount. No impairment indicators were identified by the Company and no impairment losses were recorded by the Company during the years ended January 31, 2021, January 31, 2020, and January 31, 2019.</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either invoiced upfront, invoiced in installments, or invoiced as the services are performed. Accordingly, the Company’s deferred revenue balance does not include revenues for future years of multi-year non-cancellable contracts that have not yet been billed.</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Warrants related to the Company’s redeemable convertible preferred stock are classified as liabilities on the Company’s consolidated balance sheets. The warrants are subject to reassessment at each balance sheet date, and any change in fair value is recognized as a component of Other income (expense), net, in the consolidated statements of operations. The Company will continue to adjust the liability for changes in fair value until the earlier of the expiration or exercise of the warrants, or upon their automatic conversion into warrants to purchase common stock in connection with a qualified initial public offering (as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defined in Note 7, </w:t>
      </w:r>
      <w:r>
        <w:rPr>
          <w:rFonts w:ascii="Arial" w:cs="Arial" w:eastAsia="Arial" w:hAnsi="Arial"/>
          <w:sz w:val="17"/>
          <w:szCs w:val="17"/>
          <w:i w:val="1"/>
          <w:iCs w:val="1"/>
          <w:color w:val="auto"/>
        </w:rPr>
        <w:t>Redeemable Convertible Preferred Stock</w:t>
      </w:r>
      <w:r>
        <w:rPr>
          <w:rFonts w:ascii="Arial" w:cs="Arial" w:eastAsia="Arial" w:hAnsi="Arial"/>
          <w:sz w:val="17"/>
          <w:szCs w:val="17"/>
          <w:color w:val="auto"/>
        </w:rPr>
        <w:t>) such that they qualify for equity classification and no further remeasurement is required.</w:t>
      </w:r>
    </w:p>
    <w:p>
      <w:pPr>
        <w:spacing w:after="0" w:line="23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Within the same month, the Company received notice from the holders of 336,386 warrants as to their intentions to exercise the warrants for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Company adopted ASC 606 on February 1, 2019, using the modified retrospective transition method. Under this method, results for reporting periods beginning on February 1, 2019 are presented under Topic 606, while prior period amounts are not adjusted and continue to be reported in accordance with prior accounting under Topic 605.</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Identify the contract with a customer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the terms and conditions of contracts with customers and its customary business practices in identifying contracts under ASC</w:t>
      </w:r>
    </w:p>
    <w:p>
      <w:pPr>
        <w:spacing w:after="0" w:line="46" w:lineRule="exact"/>
        <w:rPr>
          <w:sz w:val="20"/>
          <w:szCs w:val="20"/>
          <w:color w:val="auto"/>
        </w:rPr>
      </w:pPr>
    </w:p>
    <w:p>
      <w:pPr>
        <w:ind w:right="140" w:firstLine="8"/>
        <w:spacing w:after="0" w:line="253"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Identify the performance obligations in the contract</w:t>
      </w:r>
    </w:p>
    <w:p>
      <w:pPr>
        <w:spacing w:after="0" w:line="22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Determine the transaction price</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transaction price is determined based on the consideration which the Company is expected to be entitled to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Allocate the transaction price to performance obligations in the contract</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Recognize revenue when or as performance obligations are satisfied</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consideration expected to be received in exchange for those services. The Company generates all its revenue from contracts with customers.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Subscription Revenue</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Company’s Falcon Platform technology solutions are subscription,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7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typical subscription term is one to three years. Most of the Company’s contracts are non-cancelable over the contractual term.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Professional Services Revenue</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Variable Consideration</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8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provides rebates and other credits within its contracts with certain resellers, which are estimated based on the most likely amounts expected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All advertising costs are expensed as incurred and are included in sales and marketing expense in the consolidated statements of operations. The Company incurred $27.9 million, $8.0 million, and $3.1 million of advertising costs during the years ended January 31, 2021, January 31, 2020, and January 31, 2019,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accounts for stock-based awards granted to employees and directors based on the awards’ estimated grant date fair value. The Company estimates the fair value of its stock options using the Black-Scholes option-pricing model. The resulting fair value is recognized on a straight-line basis over the period during which the employee or director is required to provide service in exchange for the award, usually the vesting period, which is generally four years. The Company accounts for forfeitures as they occur.</w:t>
      </w:r>
    </w:p>
    <w:p>
      <w:pPr>
        <w:spacing w:after="0" w:line="18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Restricted stock units (“RSUs”) granted under the 2011 Plan are subject to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consolidated statement of operations. Upon its IPO, the Company began issuing RSUs to its employees and these RSUs generally have only a service condition. The service-based vesting condition is generally with a vesting term of four years. The valuation of such RSUs is based solely on the fair value of the Company’s stock price on the date of grant. Expense for RSUs that have a service-based condition only are being amortized on a straight-line basis.</w:t>
      </w:r>
    </w:p>
    <w:p>
      <w:pPr>
        <w:spacing w:after="0" w:line="17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Performance-based stock units (“PSUs”) granted under the 2019 Plan are subject to a performance-based vesting condition. With regard to the performance conditions, the fair value of new or modified awards is equal to the grant date fair market value of the Company’s common stock. PSUs generally vest over a four-year period and subject to continued service through the applicable vesting dates. The compensation cost is recognized over the requisite service period when it is probable that the performance condition will be satisfied.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 of operations.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evaluates and tests the recoverability of goodwill for impairment at least annually, on January 31, or more frequently if circumstances indicate that goodwill may not be recoverable. The Company performs the impairment testing by first assessing qualitative factors to determine whether the existence of events or circumstances leads to a determination that it is more likely than not that the fair value of its reporting unit is less than its carrying amount. The Company has one reporting unit. If, after assessing the totality of events or circumstances, the Company determines it is more likely than not that the fair value of a reporting unit is less than its carrying amount, the Company performs the first step of a two-step analysis by comparing the book value of net assets to the fair value of the reporting unit. To calculate any potential impairment, the Company compares the fair value of a reporting unit with its carrying amount, including goodwill. Any excess of the carrying amount of the reporting unit’s goodwill over its fair value is recognized as an impairment loss, and the carrying value of goodwill is written down.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No impairment was recorded during the years ended January 31, 2021, January 31, 2020, or January 31, 2019. The change in goodwill balance during the year ended January 31, 2021 was due to the acquisition of Preempt Security, Inc. and changes in foreign currency exchange rates. The change in goodwill balance during the year ended January 31, 2020 was due to the changes in foreign currency exchange rates. See Note 4 and Note 15 to the consolidated financial statements for more information.</w:t>
      </w:r>
    </w:p>
    <w:p>
      <w:pPr>
        <w:spacing w:after="0" w:line="17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Acquired intangible assets consisting of identifiable intangible assets are comprised of developed technology, customer relationships, and non-compete agreements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consolidated balance sheets. The Company reviews the carrying amounts of intangible assets for impairment whenever events or changes in circumstances indicate that the carrying amount of the assets may not be recoverable. The Company measures the recoverability of intangible assets by comparing the carrying amount of each asset to the future undiscounted cash flows it expects the asset to generate. If the Company considers any of these assets to be impaired, the impairment to be recognized equals the amount by which the carrying value of the asset exceeds its fair value. In addition, the Company periodically evaluates the estimated remaining useful lives of long-lived assets to determine whether events or changes in circumstances warrant a revision to the remaining period of depreciation or amortization.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consolidated balance sheets. The Company did not have any financing leases in any of the periods presented.</w:t>
      </w:r>
    </w:p>
    <w:p>
      <w:pPr>
        <w:spacing w:after="0" w:line="17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16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Company uses the non-cancelable lease term when recognizing the right-of-use (“ROU”) assets and lease liabilities, unless it is reasonably certain that a renewal or termination option will be exercised. The Company accounts for lease components and non-lease components as a single lease component.</w:t>
      </w:r>
    </w:p>
    <w:p>
      <w:pPr>
        <w:spacing w:after="0" w:line="18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Leases with a term of twelve months or less are not recognized on the consolidated balance sheets but are recognized as expense on a straight-line basis over the term of the lease.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Available-for-sale debt securities</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Company evaluates investments with unrealized loss positions by assessing if they are related to deterioration in credit risk and whether the Company expects to recover the entire amortized cost basis of the security, the Company’s intent to sell and whether it is more likely than not that the Company will be required to sell the securities before the recovery of its cost basis. Credit-related impairment losses, not to exceed fair value less the amortized cost basis, are recognized through an allowance for credit losses with changes in the allowance for credit losses recorded in Other income (expense), net in the consolidated statements of operations. Impairment that has not been recorded through an allowance for credit losses will be recorded in the consolidated statements of comprehensive income (loss). As of January 31, 2021, there were no marketable securities held by the Company.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Debt issuance costs incurred in connection with securing the Company’s financing arrangements are generally presented in the consolidated balance sheets as a direct deduction from the carrying amount of the outstanding borrowings, consistent with debt discounts. However, the Company has chosen to present debt issuance costs under “other long-term assets” for its revolving credit facility on the consolidated balance sheets regardless of whether the Company has any outstanding borrowings on the revolving credit facility. Debt issuance costs, net of accumulated amortization, were $4.4 million and $1.2 million as of January 31, 2021 and January 31, 2020, respectively. Debt issuance cost associated with the Senior Notes are recorded as a reduction to the carrying value of the Senior Notes on the consolidated balance sheets. The unamortized issuance costs relating to the Senior Notes were $2.6 million as of January 31, 2021.</w:t>
      </w:r>
    </w:p>
    <w:p>
      <w:pPr>
        <w:spacing w:after="0" w:line="19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All deferred financing costs are being amortized to interest expense. The effective interest method is used for debt issuance cost related to the Senior Notes. Debt issuance costs related to the revolving credit facility are being amortized over the term of the financing arrangement under the straight-line method. The Company’s amortization of these costs was $0.8 million, $0.4 million and $0.1 million for the fiscal years ended January 31, 2021, 2020 and 2019,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The functional currencies of the Company’s foreign subsidiaries are each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consolidated statements of operations within Other income (expense), net, and have not been material for all periods presented.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As the Company maintains a full valuation allowance against its deferred tax assets in the United States and United Kingdom, the changes resulted in no material tax expense during the years ended January 31, 2021, January 31, 2020, and January 31, 2019. As of January 31, 2021, the Company does not expect that changes in the liability for unrecognized tax benefits for the next twelve months will have a material impact on its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Taxes</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When sales and other taxes are billed, such amounts are recorded as accounts receivable with a corresponding increase to other current liabilities, respectively. The balances are then removed from the consolidated balance sheets as cash is collected from the customer and as remitted to the respective tax authority.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operating and reportable segment. The Company presents financial information about its geographic areas in Note 13 to the consolidated financial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computes basic and diluted net loss per share attributable to common stockholders for Class A and Class B common stock using the two-class method required for participating securities. The Company considers all series of its redeemable convertible preferred stock to be participating securities. Net loss is attributed to Class A and Class B common stock based on their participation rights. 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Diluted earnings per share attributable to common stockholders adjusts basic earnings per share for the potentially dilutive impact of outstanding stock options, RSUs, PSUs, ESPP obligations, warrants and redeemable convertible preferred stock. As the Company has reported losses for all periods presented, all potentially dilutive securities are antidilutive and accordingly, basic net loss per share equals diluted net loss per share.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which requires lessees to generally recognize on the balance sheet operating and financing lease liabilities and corresponding ROU assets, and to recognize on the income statement the expenses in a manner similar to prior practice. The Company adopted Topic 842 using the modified retrospective method on February 1,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elected the following practical expedients:</w:t>
      </w:r>
    </w:p>
    <w:p>
      <w:pPr>
        <w:spacing w:after="0" w:line="225" w:lineRule="exact"/>
        <w:rPr>
          <w:sz w:val="20"/>
          <w:szCs w:val="20"/>
          <w:color w:val="auto"/>
        </w:rPr>
      </w:pPr>
    </w:p>
    <w:p>
      <w:pPr>
        <w:ind w:left="660" w:right="28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package of practical expedients which allows for not reassessing 1) whether existing contracts contain leases, 2) the lease classification of existing leases, and 3) whether existing initial direct costs meet the new definition.</w:t>
      </w:r>
    </w:p>
    <w:p>
      <w:pPr>
        <w:spacing w:after="0" w:line="170"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assets.</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to recognize right of use assets and lease liabilities for short-term leases, which have a lease term of twelve months or less and do not include an option to purchase the underlying asset that the Company is reasonably certain to exercise.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elect the hindsight practical expedient.</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Lease payments consist primarily of the fixed payments under the arrangement, less any lease incentives such as tenant improvement allowance. The Company uses an estimate of its IBR based on the information available at the lease commencement date in determining the present value of lease payments, unless the implicit rate is readily determinable. In determining the appropriate IBR, management considers information including, but not limited to, the Company’s credit rating, the lease term, and the currency in which the arrangement is denominated. For leases which commenced prior to the adoption of Topic 842, the Company used the IBR on January 31, 2020.</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adoption of this new standard on February 1, 2020, and the application of the modified retrospective transition approach resulted in the following changes:</w:t>
      </w:r>
    </w:p>
    <w:p>
      <w:pPr>
        <w:spacing w:after="0" w:line="116"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Assets increased by $37.4 million, primarily representing the recognition of ROU asset for operating leases; and</w:t>
      </w:r>
    </w:p>
    <w:p>
      <w:pPr>
        <w:spacing w:after="0" w:line="171" w:lineRule="exact"/>
        <w:rPr>
          <w:rFonts w:ascii="Arial" w:cs="Arial" w:eastAsia="Arial" w:hAnsi="Arial"/>
          <w:sz w:val="18"/>
          <w:szCs w:val="18"/>
          <w:color w:val="auto"/>
        </w:rPr>
      </w:pPr>
    </w:p>
    <w:p>
      <w:pPr>
        <w:ind w:left="660" w:right="98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Liabilities increased by $37.4 million, primarily representing the recognition of lease liabilities for operating leases partially offset by derecognition of liabilities for deferred rent previously designated under ASC Topic 840</w:t>
      </w:r>
    </w:p>
    <w:p>
      <w:pPr>
        <w:spacing w:after="0" w:line="17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This ASU requires a financial asset measured at amortized cost basis to be presented at the net amount expected to be collected, with further clarifications made more recently regarding the treatment of accrued interest, transfers between classifications for loans and debt securities, recoveries and the option to irrevocably elect the fair value option (on an instrument-by-instrument basis) for eligible financial assets at amortized costs. For trade receivables, loans, and other financial assets, the Company will be required to use a forward-looking expected loss model rather than the incurred loss model for recognizing credit losses which reflects losses that are probable. Credit losses relating to available-for-sale debt securities are required to be recorded through an allowance for credit losses in the consolidated statements of operation rather than as a reduction in the amortized cost basis of the securities. The Company adopted this guidance on February 1, 2020, which did not have a material effect on its consolidated financial statements.</w:t>
      </w:r>
    </w:p>
    <w:p>
      <w:pPr>
        <w:spacing w:after="0" w:line="165" w:lineRule="exact"/>
        <w:rPr>
          <w:sz w:val="20"/>
          <w:szCs w:val="20"/>
          <w:color w:val="auto"/>
        </w:rPr>
      </w:pPr>
    </w:p>
    <w:p>
      <w:pPr>
        <w:ind w:right="100" w:firstLine="324"/>
        <w:spacing w:after="0" w:line="239"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This ASU simplifies the measurement of goodwill by eliminating step two of the two-step impairment test. Step two measures a goodwill 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adopted this guidance on February 1, 2020 which did not have a material effect on its consolidated financial statements.</w:t>
      </w:r>
    </w:p>
    <w:p>
      <w:pPr>
        <w:spacing w:after="0" w:line="191" w:lineRule="exact"/>
        <w:rPr>
          <w:sz w:val="20"/>
          <w:szCs w:val="20"/>
          <w:color w:val="auto"/>
        </w:rPr>
      </w:pPr>
    </w:p>
    <w:p>
      <w:pPr>
        <w:ind w:right="480" w:firstLine="324"/>
        <w:spacing w:after="0" w:line="294"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This ASU modifies the disclosure requirements on fair value measurements in Topic 820, Fair Value Measurement. The Company adopted this guidance on February 1, 2020 which did not have a material effect on its consolidated financial statements.</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(a consensus of the FASB Emerging Issues Task Force). This ASU aligns the requirements for capitalizing implementation costs incurred in a hosting arrangement that is a service contract with the requirements for capitalizing implementation costs incurred to develop or obtain internal use software. The Company adopted this guidance on February 1, 2020 which did not have a material effect on its consolidated financial statements.</w:t>
      </w:r>
    </w:p>
    <w:p>
      <w:pPr>
        <w:spacing w:after="0" w:line="174"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ASU provides optional expedients and exceptions for applying generally accepted accounting principles to contract modifications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relationships, subject to meeting certain criteria, that reference LIBOR or another reference rate expected to be discontinued. This ASU may be applied prospectively through December 31, 2022. The Company adopted this guidance on May 1, 2020 which did not have a material effect on its consolidated financial statements. Per the terms of the Company’s secured revolving credit facility (see Note 5), outstanding Eurodollar Loans incur interest at the Eurodollar Rate, which is defined in the Credit Agreement as LIBOR (or any successor thereto), plus a margin. The Company’s lender is currently preparing to use the Secured Overnight Funding Rate if LIBOR becomes unavailable. No amounts were outstanding under the Credit Agreement as of January 31, 2021.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280" w:firstLine="324"/>
        <w:spacing w:after="0" w:line="296" w:lineRule="auto"/>
        <w:rPr>
          <w:sz w:val="20"/>
          <w:szCs w:val="20"/>
          <w:color w:val="auto"/>
        </w:rPr>
      </w:pPr>
      <w:r>
        <w:rPr>
          <w:rFonts w:ascii="Arial" w:cs="Arial" w:eastAsia="Arial" w:hAnsi="Arial"/>
          <w:sz w:val="16"/>
          <w:szCs w:val="16"/>
          <w:color w:val="auto"/>
        </w:rPr>
        <w:t>In December 2019, the Financial Accounting Standards Board (the “FASB”) issued ASU 2019-12, Income Taxes (Topic 740),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For public business entities, this ASU is effective for fiscal years beginning after December 15, 2020, and interim periods within those fiscal years. The Company does not anticipate that the adoption of this guidance will have a material impact on its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 and Marketable Securities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follows ASC 820, Fair Value Measurements,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Assets and liabilities whose values are based on unadjusted quoted market prices for identical assets and liabilities in active markets.</w:t>
      </w:r>
    </w:p>
    <w:p>
      <w:pPr>
        <w:spacing w:after="0" w:line="225" w:lineRule="exact"/>
        <w:rPr>
          <w:sz w:val="20"/>
          <w:szCs w:val="20"/>
          <w:color w:val="auto"/>
        </w:rPr>
      </w:pPr>
    </w:p>
    <w:p>
      <w:pPr>
        <w:ind w:left="1300" w:right="900" w:hanging="647"/>
        <w:spacing w:after="0" w:line="277" w:lineRule="auto"/>
        <w:tabs>
          <w:tab w:leader="none" w:pos="1280" w:val="left"/>
        </w:tabs>
        <w:rPr>
          <w:sz w:val="20"/>
          <w:szCs w:val="20"/>
          <w:color w:val="auto"/>
        </w:rPr>
      </w:pPr>
      <w:r>
        <w:rPr>
          <w:rFonts w:ascii="Arial" w:cs="Arial" w:eastAsia="Arial" w:hAnsi="Arial"/>
          <w:sz w:val="18"/>
          <w:szCs w:val="18"/>
          <w:color w:val="auto"/>
        </w:rPr>
        <w:t>Level 2</w:t>
        <w:tab/>
        <w:t>Assets and liabilities whose values are based on quoted prices in markets that are not active or inputs that are observable for substantially the full term of the asset or liability</w:t>
      </w:r>
    </w:p>
    <w:p>
      <w:pPr>
        <w:spacing w:after="0" w:line="170" w:lineRule="exact"/>
        <w:rPr>
          <w:sz w:val="20"/>
          <w:szCs w:val="20"/>
          <w:color w:val="auto"/>
        </w:rPr>
      </w:pPr>
    </w:p>
    <w:p>
      <w:pPr>
        <w:ind w:left="1300" w:right="620" w:hanging="647"/>
        <w:spacing w:after="0" w:line="277" w:lineRule="auto"/>
        <w:tabs>
          <w:tab w:leader="none" w:pos="1280" w:val="left"/>
        </w:tabs>
        <w:rPr>
          <w:sz w:val="20"/>
          <w:szCs w:val="20"/>
          <w:color w:val="auto"/>
        </w:rPr>
      </w:pPr>
      <w:r>
        <w:rPr>
          <w:rFonts w:ascii="Arial" w:cs="Arial" w:eastAsia="Arial" w:hAnsi="Arial"/>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fair value hierarchy for its financial assets and liabilities that are measured at fair value on a recurring basis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January 31, 2021</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January 31, 2020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Level 1</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Level 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64"/>
        </w:trPr>
        <w:tc>
          <w:tcPr>
            <w:tcW w:w="2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Cash equivalents</w:t>
            </w:r>
            <w:r>
              <w:rPr>
                <w:rFonts w:ascii="Arial" w:cs="Arial" w:eastAsia="Arial" w:hAnsi="Arial"/>
                <w:sz w:val="9"/>
                <w:szCs w:val="9"/>
                <w:color w:val="auto"/>
              </w:rPr>
              <w:t>(1)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205,379</w:t>
            </w: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39,940</w:t>
            </w:r>
          </w:p>
        </w:tc>
      </w:tr>
      <w:tr>
        <w:trPr>
          <w:trHeight w:val="223"/>
        </w:trPr>
        <w:tc>
          <w:tcPr>
            <w:tcW w:w="2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245,319</w:t>
            </w:r>
          </w:p>
        </w:tc>
      </w:tr>
      <w:tr>
        <w:trPr>
          <w:trHeight w:val="209"/>
        </w:trPr>
        <w:tc>
          <w:tcPr>
            <w:tcW w:w="292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495,022</w:t>
            </w: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84,431</w:t>
            </w: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backed securities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67,813</w:t>
            </w:r>
          </w:p>
        </w:tc>
      </w:tr>
      <w:tr>
        <w:trPr>
          <w:trHeight w:val="223"/>
        </w:trPr>
        <w:tc>
          <w:tcPr>
            <w:tcW w:w="2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84,431</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562,835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647,266</w:t>
            </w:r>
          </w:p>
        </w:tc>
      </w:tr>
      <w:tr>
        <w:trPr>
          <w:trHeight w:val="248"/>
        </w:trPr>
        <w:tc>
          <w:tcPr>
            <w:tcW w:w="2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289,810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892,585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2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Included in “Cash and cash equivalents” on the consolidated balance sheets.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the levels of the fair value hierarchy during the years ended January 31, 2021 or January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As of January 31, 2021, there were no marketable securities held by the Company. As of January 31, 2020, the amortized cost of the Company’s cash equivalents and marketable securities approximated their fair value and there were no material realized or unrealized gains or losses, either individually or in the aggregate. In addition, the securities that had been in continuous unrealized loss position per security type and in aggregate are not material as of January 31, 2020. There were no impairments considered “other-than-temporary” as it is more likely than not the Company will hold the securities until maturity or a recovery of the cost basis as of January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340"/>
              <w:spacing w:after="0"/>
              <w:rPr>
                <w:sz w:val="20"/>
                <w:szCs w:val="20"/>
                <w:color w:val="auto"/>
              </w:rPr>
            </w:pPr>
            <w:r>
              <w:rPr>
                <w:rFonts w:ascii="Arial" w:cs="Arial" w:eastAsia="Arial" w:hAnsi="Arial"/>
                <w:sz w:val="18"/>
                <w:szCs w:val="18"/>
                <w:color w:val="auto"/>
              </w:rPr>
              <w:t>The following summarizes the changes in strategic investments: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7"/>
        </w:trPr>
        <w:tc>
          <w:tcPr>
            <w:tcW w:w="8180" w:type="dxa"/>
            <w:vAlign w:val="bottom"/>
          </w:tcPr>
          <w:p>
            <w:pPr>
              <w:spacing w:after="0"/>
              <w:rPr>
                <w:sz w:val="22"/>
                <w:szCs w:val="22"/>
                <w:color w:val="auto"/>
              </w:rPr>
            </w:pPr>
          </w:p>
        </w:tc>
        <w:tc>
          <w:tcPr>
            <w:tcW w:w="25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January 31</w:t>
            </w:r>
          </w:p>
        </w:tc>
        <w:tc>
          <w:tcPr>
            <w:tcW w:w="500" w:type="dxa"/>
            <w:vAlign w:val="bottom"/>
            <w:tcBorders>
              <w:bottom w:val="single" w:sz="8" w:color="auto"/>
            </w:tcBorders>
          </w:tcPr>
          <w:p>
            <w:pPr>
              <w:spacing w:after="0"/>
              <w:rPr>
                <w:sz w:val="22"/>
                <w:szCs w:val="22"/>
                <w:color w:val="auto"/>
              </w:rPr>
            </w:pPr>
          </w:p>
        </w:tc>
      </w:tr>
      <w:tr>
        <w:trPr>
          <w:trHeight w:val="223"/>
        </w:trPr>
        <w:tc>
          <w:tcPr>
            <w:tcW w:w="8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r>
      <w:tr>
        <w:trPr>
          <w:trHeight w:val="264"/>
        </w:trPr>
        <w:tc>
          <w:tcPr>
            <w:tcW w:w="8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2"/>
                <w:szCs w:val="2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initial cost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Cumulative gain</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value</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unrealized gain and loss included as an adjustment to the carrying value related to non-marketable securities as of January 31, 2021.</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changes in the redeemable convertible preferred stock warrant liability, which is classified as a Level 3 instrument: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January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3"/>
        </w:trPr>
        <w:tc>
          <w:tcPr>
            <w:tcW w:w="6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75"/>
        </w:trPr>
        <w:tc>
          <w:tcPr>
            <w:tcW w:w="6560" w:type="dxa"/>
            <w:vAlign w:val="bottom"/>
          </w:tcPr>
          <w:p>
            <w:pPr>
              <w:ind w:left="20"/>
              <w:spacing w:after="0" w:line="176" w:lineRule="exact"/>
              <w:rPr>
                <w:sz w:val="20"/>
                <w:szCs w:val="20"/>
                <w:color w:val="auto"/>
              </w:rPr>
            </w:pPr>
            <w:r>
              <w:rPr>
                <w:rFonts w:ascii="Arial" w:cs="Arial" w:eastAsia="Arial" w:hAnsi="Arial"/>
                <w:sz w:val="18"/>
                <w:szCs w:val="18"/>
                <w:color w:val="auto"/>
                <w:w w:val="93"/>
              </w:rPr>
              <w:t>Adjustment resulting from change in fair value recognized in the consolidated statement</w:t>
            </w:r>
          </w:p>
        </w:tc>
        <w:tc>
          <w:tcPr>
            <w:tcW w:w="1100" w:type="dxa"/>
            <w:vAlign w:val="bottom"/>
          </w:tcPr>
          <w:p>
            <w:pPr>
              <w:spacing w:after="0"/>
              <w:rPr>
                <w:sz w:val="15"/>
                <w:szCs w:val="15"/>
                <w:color w:val="auto"/>
              </w:rPr>
            </w:pPr>
          </w:p>
        </w:tc>
        <w:tc>
          <w:tcPr>
            <w:tcW w:w="52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of operations</w:t>
            </w:r>
          </w:p>
        </w:tc>
        <w:tc>
          <w:tcPr>
            <w:tcW w:w="1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Reclassification of redeemable convertible preferred stock warrant liability to additional</w:t>
            </w:r>
          </w:p>
        </w:tc>
        <w:tc>
          <w:tcPr>
            <w:tcW w:w="11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paid-in capital upon IPO</w:t>
            </w:r>
          </w:p>
        </w:tc>
        <w:tc>
          <w:tcPr>
            <w:tcW w:w="110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A loss of $6.0 million and $3.6 million was recorded as a component of Other income (expense), net, because of the remeasurement of the redeemable convertible preferred stock warrant liability during the years ended January 31, 2020, and January 31, 2019, respectively.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4. Balance Sheet Components</w:t>
            </w:r>
          </w:p>
        </w:tc>
        <w:tc>
          <w:tcPr>
            <w:tcW w:w="2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ind w:left="340"/>
              <w:spacing w:after="0"/>
              <w:rPr>
                <w:sz w:val="20"/>
                <w:szCs w:val="20"/>
                <w:color w:val="auto"/>
              </w:rPr>
            </w:pPr>
            <w:r>
              <w:rPr>
                <w:rFonts w:ascii="Arial" w:cs="Arial" w:eastAsia="Arial" w:hAnsi="Arial"/>
                <w:sz w:val="18"/>
                <w:szCs w:val="18"/>
                <w:color w:val="auto"/>
                <w:w w:val="90"/>
              </w:rPr>
              <w:t>Prepaid expenses and other current assets consisted of the following:</w:t>
            </w:r>
          </w:p>
        </w:tc>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January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63"/>
        </w:trPr>
        <w:tc>
          <w:tcPr>
            <w:tcW w:w="53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6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20,390</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Prepaid software licenses</w:t>
            </w:r>
          </w:p>
        </w:tc>
        <w:tc>
          <w:tcPr>
            <w:tcW w:w="2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20,596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hosting services</w:t>
            </w:r>
          </w:p>
        </w:tc>
        <w:tc>
          <w:tcPr>
            <w:tcW w:w="2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53,617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109</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3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080" w:type="dxa"/>
            <w:vAlign w:val="bottom"/>
          </w:tcPr>
          <w:p>
            <w:pPr>
              <w:ind w:left="340"/>
              <w:spacing w:after="0"/>
              <w:rPr>
                <w:sz w:val="20"/>
                <w:szCs w:val="20"/>
                <w:color w:val="auto"/>
              </w:rPr>
            </w:pPr>
            <w:r>
              <w:rPr>
                <w:rFonts w:ascii="Arial" w:cs="Arial" w:eastAsia="Arial" w:hAnsi="Arial"/>
                <w:sz w:val="18"/>
                <w:szCs w:val="18"/>
                <w:color w:val="auto"/>
              </w:rPr>
              <w:t>Property and equipment, net consisted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8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January 31,</w:t>
            </w:r>
          </w:p>
        </w:tc>
        <w:tc>
          <w:tcPr>
            <w:tcW w:w="980" w:type="dxa"/>
            <w:vAlign w:val="bottom"/>
            <w:tcBorders>
              <w:bottom w:val="single" w:sz="8" w:color="auto"/>
            </w:tcBorders>
          </w:tcPr>
          <w:p>
            <w:pPr>
              <w:spacing w:after="0"/>
              <w:rPr>
                <w:sz w:val="22"/>
                <w:szCs w:val="22"/>
                <w:color w:val="auto"/>
              </w:rPr>
            </w:pPr>
          </w:p>
        </w:tc>
      </w:tr>
      <w:tr>
        <w:trPr>
          <w:trHeight w:val="223"/>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r>
      <w:tr>
        <w:trPr>
          <w:trHeight w:val="263"/>
        </w:trPr>
        <w:tc>
          <w:tcPr>
            <w:tcW w:w="8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2"/>
                <w:szCs w:val="2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and other computer equipment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Capitalized internal-use software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44,358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30,354</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2,604</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process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47,626</w:t>
            </w:r>
          </w:p>
        </w:tc>
      </w:tr>
      <w:tr>
        <w:trPr>
          <w:trHeight w:val="223"/>
        </w:trPr>
        <w:tc>
          <w:tcPr>
            <w:tcW w:w="8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255,548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185,742</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(49,664)</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Construction in process mainly includes data center equipment purchased that has not yet been placed in service. Data center equipment that was purchased but not yet been placed into service was $30.0 million and $44.9 million as of January 31, 2021 and January 31, 2020, respectively.</w:t>
      </w:r>
    </w:p>
    <w:p>
      <w:pPr>
        <w:spacing w:after="0" w:line="12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Depreciation and amortization expense of property and equipment was $38.7 million, $23.0 million, and $14.8 million, during the years ended January 31, 2021, January 31, 2020, and January 31, 2019, respectively.</w:t>
      </w:r>
    </w:p>
    <w:p>
      <w:pPr>
        <w:spacing w:after="0" w:line="17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There were no impairments of internal-use software during the years ended January 31, 2021, January 31, 2020, and January 31, 2019. The Company capitalized $14.0 million, $8.1 million, and $6.8 million in internal-use software during the years ended January 31, 2021, January 31, 2020, and January 31, 2019, respectively. Amortization expense associated with internal-use software totaled $7.9 million, $6.2 million and $5.2 million during the years ended January 31, 2021, January 31, 2020, and January 31, 2019, respectively. The net book value of capitalized internal-use software was $19.5 million and $13.4 million as of January 31, 2021 and January 31, 2020,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Intangible Assets, Net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tcPr>
          <w:p>
            <w:pPr>
              <w:ind w:left="340"/>
              <w:spacing w:after="0"/>
              <w:rPr>
                <w:sz w:val="20"/>
                <w:szCs w:val="20"/>
                <w:color w:val="auto"/>
              </w:rPr>
            </w:pPr>
            <w:r>
              <w:rPr>
                <w:rFonts w:ascii="Arial" w:cs="Arial" w:eastAsia="Arial" w:hAnsi="Arial"/>
                <w:sz w:val="18"/>
                <w:szCs w:val="18"/>
                <w:color w:val="auto"/>
              </w:rPr>
              <w:t>Total intangible assets, net consisted of the following: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1"/>
              </w:rPr>
              <w:t>January 31, 2021</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Gross Carrying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8"/>
              </w:rPr>
              <w:t>Net Amount</w:t>
            </w: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Useful</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0" w:type="dxa"/>
            <w:vAlign w:val="bottom"/>
          </w:tcPr>
          <w:p>
            <w:pPr>
              <w:spacing w:after="0"/>
              <w:rPr>
                <w:sz w:val="1"/>
                <w:szCs w:val="1"/>
                <w:color w:val="auto"/>
              </w:rPr>
            </w:pPr>
          </w:p>
        </w:tc>
      </w:tr>
      <w:tr>
        <w:trPr>
          <w:trHeight w:val="263"/>
        </w:trPr>
        <w:tc>
          <w:tcPr>
            <w:tcW w:w="4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(in months)</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4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1"/>
              </w:rPr>
              <w:t>January 31, 2020</w:t>
            </w: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Gross Carrying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Net Amount</w:t>
            </w: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Useful</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(in months)</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Amortization of developed technology, customer relationships, and other acquired intangible assets are recorded within cost of revenue, sales and marketing expense, and research and development expense, respectively, in the consolidated statements of operations. Amortization expense of intangible assets was $1.4 million, $0.5 million, and $0.6 million, during the years ended January 31, 2021, January 31, 2020, and January 31, 2019,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340"/>
              <w:spacing w:after="0"/>
              <w:rPr>
                <w:sz w:val="20"/>
                <w:szCs w:val="20"/>
                <w:color w:val="auto"/>
              </w:rPr>
            </w:pPr>
            <w:r>
              <w:rPr>
                <w:rFonts w:ascii="Arial" w:cs="Arial" w:eastAsia="Arial" w:hAnsi="Arial"/>
                <w:sz w:val="18"/>
                <w:szCs w:val="18"/>
                <w:color w:val="auto"/>
              </w:rPr>
              <w:t>The estimated aggregate future amortization expense of intangible assets as of January 31, 2021 is as follows: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7"/>
        </w:trPr>
        <w:tc>
          <w:tcPr>
            <w:tcW w:w="9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23"/>
        </w:trPr>
        <w:tc>
          <w:tcPr>
            <w:tcW w:w="9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(in thousands)</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3,363</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3,268</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developed technology, customer relationships, and other acquired intangible assets are generally being amortized over 5 years, 5 years, and 1 year,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during the year ended January 31, 2021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3"/>
              </w:rPr>
              <w:t>(in thousands)</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as of January 31, 2020</w:t>
            </w:r>
          </w:p>
        </w:tc>
        <w:tc>
          <w:tcPr>
            <w:tcW w:w="3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Goodwill acquired</w:t>
            </w:r>
          </w:p>
        </w:tc>
        <w:tc>
          <w:tcPr>
            <w:tcW w:w="3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75,297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3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Goodwill as of January 31, 2021</w:t>
            </w:r>
          </w:p>
        </w:tc>
        <w:tc>
          <w:tcPr>
            <w:tcW w:w="3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83,566</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Accrued Expenses</w:t>
            </w:r>
          </w:p>
        </w:tc>
        <w:tc>
          <w:tcPr>
            <w:tcW w:w="3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56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60" w:type="dxa"/>
            <w:vAlign w:val="bottom"/>
          </w:tcPr>
          <w:p>
            <w:pPr>
              <w:ind w:left="340"/>
              <w:spacing w:after="0"/>
              <w:rPr>
                <w:sz w:val="20"/>
                <w:szCs w:val="20"/>
                <w:color w:val="auto"/>
              </w:rPr>
            </w:pPr>
            <w:r>
              <w:rPr>
                <w:rFonts w:ascii="Arial" w:cs="Arial" w:eastAsia="Arial" w:hAnsi="Arial"/>
                <w:sz w:val="18"/>
                <w:szCs w:val="18"/>
                <w:color w:val="auto"/>
              </w:rPr>
              <w:t>Accrued expenses consisted of the following:</w:t>
            </w:r>
          </w:p>
        </w:tc>
        <w:tc>
          <w:tcPr>
            <w:tcW w:w="3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January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marketing</w:t>
            </w:r>
          </w:p>
        </w:tc>
        <w:tc>
          <w:tcPr>
            <w:tcW w:w="44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14,592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Web hosting services</w:t>
            </w:r>
          </w:p>
        </w:tc>
        <w:tc>
          <w:tcPr>
            <w:tcW w:w="3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14,187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16,367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12,059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Accrued legal and accounting</w:t>
            </w:r>
          </w:p>
        </w:tc>
        <w:tc>
          <w:tcPr>
            <w:tcW w:w="3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purchases of property and equipment</w:t>
            </w:r>
          </w:p>
        </w:tc>
        <w:tc>
          <w:tcPr>
            <w:tcW w:w="35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45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52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51,117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520" w:type="dxa"/>
            <w:vAlign w:val="bottom"/>
            <w:vMerge w:val="restart"/>
          </w:tcPr>
          <w:p>
            <w:pPr>
              <w:jc w:val="right"/>
              <w:ind w:right="2230"/>
              <w:spacing w:after="0"/>
              <w:rPr>
                <w:sz w:val="20"/>
                <w:szCs w:val="20"/>
                <w:color w:val="auto"/>
              </w:rPr>
            </w:pPr>
            <w:r>
              <w:rPr>
                <w:rFonts w:ascii="Arial" w:cs="Arial" w:eastAsia="Arial" w:hAnsi="Arial"/>
                <w:sz w:val="18"/>
                <w:szCs w:val="18"/>
                <w:color w:val="auto"/>
              </w:rPr>
              <w:t>111</w:t>
            </w: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5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Accrued Payroll and Benefits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080" w:type="dxa"/>
            <w:vAlign w:val="bottom"/>
          </w:tcPr>
          <w:p>
            <w:pPr>
              <w:ind w:left="340"/>
              <w:spacing w:after="0"/>
              <w:rPr>
                <w:sz w:val="20"/>
                <w:szCs w:val="20"/>
                <w:color w:val="auto"/>
              </w:rPr>
            </w:pPr>
            <w:r>
              <w:rPr>
                <w:rFonts w:ascii="Arial" w:cs="Arial" w:eastAsia="Arial" w:hAnsi="Arial"/>
                <w:sz w:val="18"/>
                <w:szCs w:val="18"/>
                <w:color w:val="auto"/>
              </w:rPr>
              <w:t>Accrued payroll and benefits consisted of the following:</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80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January 31,</w:t>
            </w:r>
          </w:p>
        </w:tc>
        <w:tc>
          <w:tcPr>
            <w:tcW w:w="980" w:type="dxa"/>
            <w:vAlign w:val="bottom"/>
            <w:tcBorders>
              <w:bottom w:val="single" w:sz="8" w:color="auto"/>
            </w:tcBorders>
          </w:tcPr>
          <w:p>
            <w:pPr>
              <w:spacing w:after="0"/>
              <w:rPr>
                <w:sz w:val="22"/>
                <w:szCs w:val="22"/>
                <w:color w:val="auto"/>
              </w:rPr>
            </w:pPr>
          </w:p>
        </w:tc>
      </w:tr>
      <w:tr>
        <w:trPr>
          <w:trHeight w:val="223"/>
        </w:trPr>
        <w:tc>
          <w:tcPr>
            <w:tcW w:w="80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r>
      <w:tr>
        <w:trPr>
          <w:trHeight w:val="263"/>
        </w:trPr>
        <w:tc>
          <w:tcPr>
            <w:tcW w:w="8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980" w:type="dxa"/>
            <w:vAlign w:val="bottom"/>
          </w:tcPr>
          <w:p>
            <w:pPr>
              <w:spacing w:after="0"/>
              <w:rPr>
                <w:sz w:val="22"/>
                <w:szCs w:val="2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Accrued payroll and related expenses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16,528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6,680</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payroll and benefits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71,907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April 2020, the Company began deferring payment on its share of payroll taxes owed, as permitted by the CARES Act, through December 31, 2020. As of January 31, 2021, the Company had deferred $5.1 million of payroll taxes in “other current liabilities” and $5.1 million of payroll taxes in “other liabilities, noncurrent” on the consolidated balance sheet.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Revolving Credit Facility</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84"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 Under the A&amp;R Credit Agreement, revolving loans may be either Eurodollar Loans or Alternate Base Rate (“ABR”) Loans. Outstanding Eurodollar Loans incur interest at the Eurodollar Rate, which is defined as LIBOR (or any successor thereto), subject to a 0.00% LIBOR floor, plus a margin between 1.50% and</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2.00%, depending on the Company’s senior secured leverage ratio. Outstanding ABR Loans incur interest at the highest of (a) the Prime Rate, as published by the Wall Street Journal, (b) the federal funds rate in effect for such day plus 0.50%, and (c) the Eurodollar Rate plus 1.00%, in each case plus a margin between (0.25%) and 0.25%, depending on the senior secured leverage ratio. The Company will be charged a commitment fee of 0.15% to 0.25% per year</w:t>
      </w:r>
    </w:p>
    <w:p>
      <w:pPr>
        <w:jc w:val="both"/>
        <w:ind w:right="160"/>
        <w:spacing w:after="0" w:line="311" w:lineRule="auto"/>
        <w:rPr>
          <w:sz w:val="20"/>
          <w:szCs w:val="20"/>
          <w:color w:val="auto"/>
        </w:rPr>
      </w:pPr>
      <w:r>
        <w:rPr>
          <w:rFonts w:ascii="Arial" w:cs="Arial" w:eastAsia="Arial" w:hAnsi="Arial"/>
          <w:sz w:val="16"/>
          <w:szCs w:val="16"/>
          <w:color w:val="auto"/>
        </w:rPr>
        <w:t>for committed but unused amounts, depending on the senior 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the financial covenants as of January 31, 2021.</w:t>
      </w:r>
    </w:p>
    <w:p>
      <w:pPr>
        <w:spacing w:after="0" w:line="14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amounts were outstanding under the A&amp;R Credit Agreement as of January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20, 2021, the Company issued $750.0 million in aggregate principal amount of 3.00% Senior Notes maturing in February 2029. The Senior</w:t>
      </w:r>
    </w:p>
    <w:p>
      <w:pPr>
        <w:spacing w:after="0" w:line="73"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to exceed 40% of the original aggregate principal amount of the notes;</w:t>
      </w:r>
    </w:p>
    <w:p>
      <w:pPr>
        <w:spacing w:after="0" w:line="4" w:lineRule="exact"/>
        <w:rPr>
          <w:sz w:val="20"/>
          <w:szCs w:val="20"/>
          <w:color w:val="auto"/>
        </w:rPr>
      </w:pPr>
    </w:p>
    <w:p>
      <w:pPr>
        <w:ind w:firstLine="8"/>
        <w:spacing w:after="0" w:line="277" w:lineRule="auto"/>
        <w:tabs>
          <w:tab w:leader="none" w:pos="1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7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net proceeds from the debt offering were $739.6 million after deducting the underwriting commissions of $9.4 million and $1.0 million of issuance costs, which were paid as of January 31, 2021. An additional $1.6 million of issuance costs are expected to be paid in the first quarter of fiscal 2022. Debt issuance costs of $2.6 million are being amortized to interest expense using the effective interest method over the term of the Senior Notes. Interest expense related to contractual interest expense and amortization of debt issuance costs was $0.7 million and $0.1 million, respectively, during the fiscal year ended January 31, 2021.</w:t>
      </w:r>
    </w:p>
    <w:p>
      <w:pPr>
        <w:spacing w:after="0" w:line="188"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In certain circumstances involving a change of control events,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8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January 31, 2021, the Company was in compliance with all of its financial covenants under the Indenture associated with the Senior Notes.</w:t>
      </w:r>
    </w:p>
    <w:p>
      <w:pPr>
        <w:spacing w:after="0" w:line="23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Based on the trading prices of the Senior Notes, the fair value of the Senior Notes as of January 31, 2021 was approximately $760.2 million. While the Senior Notes are recorded at cost, the fair value of the Senior Notes was determined based on quoted prices in markets that are not active; accordingly, the Senior Notes is categorized as Level 2 for purposes of the fair value measurement hierarchy.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geographical breakdown of its loss before provision for income taxes for the years ended January 31, 2021, January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b w:val="1"/>
                <w:bCs w:val="1"/>
                <w:color w:val="auto"/>
                <w:w w:val="91"/>
              </w:rPr>
              <w:t>Year Ended January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(143,308)</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(138,710)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113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1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provision for income taxes as of January 31, 2021, January 31, 2020, and January 31, 2019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b w:val="1"/>
                <w:bCs w:val="1"/>
                <w:color w:val="auto"/>
                <w:w w:val="91"/>
              </w:rPr>
              <w:t>Year Ended January 31,</w:t>
            </w:r>
          </w:p>
        </w:tc>
        <w:tc>
          <w:tcPr>
            <w:tcW w:w="120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63"/>
        </w:trPr>
        <w:tc>
          <w:tcPr>
            <w:tcW w:w="6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r>
      <w:tr>
        <w:trPr>
          <w:trHeight w:val="223"/>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23"/>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48"/>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between income taxes computed at the federal statutory rate and the provision for income taxes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 January 31, 2020, and January 31,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b w:val="1"/>
                <w:bCs w:val="1"/>
                <w:color w:val="auto"/>
                <w:w w:val="91"/>
              </w:rPr>
              <w:t>Year Ended January 31,</w:t>
            </w:r>
          </w:p>
        </w:tc>
        <w:tc>
          <w:tcPr>
            <w:tcW w:w="120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63"/>
        </w:trPr>
        <w:tc>
          <w:tcPr>
            <w:tcW w:w="6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 at statutory rate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earnings at different rates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other credits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(3,769)</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unrecognized tax benefits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29,676</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Company’s deferred tax assets and liabilities as of January 31, 2021 and January 31, 2020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 Ended January 31,</w:t>
            </w:r>
          </w:p>
        </w:tc>
      </w:tr>
      <w:tr>
        <w:trPr>
          <w:trHeight w:val="223"/>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r>
      <w:tr>
        <w:trPr>
          <w:trHeight w:val="263"/>
        </w:trPr>
        <w:tc>
          <w:tcPr>
            <w:tcW w:w="8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2"/>
                <w:szCs w:val="2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289,889</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166,083</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other credit carryforwards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21,595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21,012</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23"/>
        </w:trPr>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deferred assets</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436,083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(413,828)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(207,596)</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Capitalized Commissions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Operating right-of-use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w:t>
            </w: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At each reporting date, the Company has established a valuation allowance against its U.S. net deferred tax assets due to the uncertainty surrounding the realization of those assets. During the fiscal year ended January 31, 2020, the Company has established a valuation allowance against its net U.K. deferred tax assets due to uncertainty surrounding the realization of those assets. The Company periodically evaluates the recoverability of the deferred tax assets and, when it is determined to be more-likely-than-not that the deferred tax assets are realizable, the valuation allowance is reduced. During the years ended January 31, 2021, January 31, 2020 and January 31, 2019, the valuation allowance increased by $206.2 million, $87.2 million, and $36.0 million, respectively. The increase in the valuation allowance during the years ended January 31, 2021, January 31, 2020 and January 31, 2019 was primarily driven by losses generated in the United States and the United Kingdom.</w:t>
      </w:r>
    </w:p>
    <w:p>
      <w:pPr>
        <w:spacing w:after="0" w:line="17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During the years ended January 31, 2021, January 31, 2020, and January 31, 2019, the valuation allowance for deferred taxes balance was $413.8 million, $207.6 million, and $120.4 million, respectively.</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January 31, 2021, the Company had aggregate federal and California net operating loss carryforwards of $1.1 billion and $122.6 million, respectively, which may be available to offset future taxable income for income tax purposes. The federal and California net operating loss carryforwards begin to expire in fiscal 2031 through fiscal 2041. In addition, for federal losses generated after December 31, 2017, the Tax Cuts and Jobs Act of 2017 (“Tax Act”) modified the maximum deduction of net operating loss, eliminated carryback, and provided an indefinite carryforward. As of January 31, 2021, net operating loss carryforwards for other states total $660.7 million which begin to expire in fiscal 2024 through fiscal 2041. As of January 31, 2021, net operating loss carryforwards for United Kingdom total $50.2 million which are carried forward indefinitely.</w:t>
      </w:r>
    </w:p>
    <w:p>
      <w:pPr>
        <w:spacing w:after="0" w:line="17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January 31, 2021, the Company had federal and California research and development (“R&amp;D”) credit carryforwards of $38.7 million and $8.7 million, respectively. The federal R&amp;D credit carryforwards will begin to expire in fiscal 2035 though fiscal 2041. The California R&amp;D credits are carried forward indefinitely.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Realization of these net operating loss and research and development credit carryforwards depends on future income, and there is a risk that the Company’s existing carryforwards could expire unused and be unavailable to offset future income tax liabilities.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Internal Revenue Code imposes limitations on a corporation’s ability to utilize net operating loss (“NOLs”) and credit carryovers if it experiences an ownership change as defined in Section 382. In general terms, an ownership change may result from transactions increasing the ownership of certain stockholders in the stock of a corporation by more than 50% over a three-year period. If an ownership change has occurred, or were to occur, utilization of the Company’s NOLs and credit carryovers could be restricted.</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total gross unrecognized tax benefit as of January 31, 2021, January 31, 2020 and January 31, 2019 were $24.4 million, $5.5 million, and $8.1 million, respectively. As of January 31, 2021, the Company had $0.6 million of unrecognized tax benefits, which, if recognized, would affect the Company’s effective tax rate due to the full valuation allowance. The Company’s policy is to classify interest and penalties related to unrecognized tax benefits as part of the income tax provision in the consolidated statements of operations. The Company had no accrued interest and penalties related to unrecognized tax benefits as of January 31, 2021, January 31, 2020 or January 31, 2019. During the year ended January 31, 2021, the uncertain tax benefits balance increased as a result of additional guidance released by the IRS. During the year ended January 31, 2020, the uncertain tax benefits balance decreased due to the application of the IRS’ simplified approach for determining research credits. The potential reduction in unrecognized tax benefits during the next 12 months is not expected to be material.</w:t>
      </w:r>
    </w:p>
    <w:p>
      <w:pPr>
        <w:spacing w:after="0" w:line="17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is a rollforward of the total gross unrecognized tax benefits for the years ended January 31, 2021, January 31, 2020, and January 31, 2019 (in thousands):</w:t>
      </w:r>
    </w:p>
    <w:p>
      <w:pPr>
        <w:sectPr>
          <w:pgSz w:w="11900" w:h="16838" w:orient="portrait"/>
          <w:cols w:equalWidth="0" w:num="1">
            <w:col w:w="11220"/>
          </w:cols>
          <w:pgMar w:left="320" w:top="125" w:right="359" w:bottom="1440" w:gutter="0" w:footer="0" w:header="0"/>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Reductions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in current period tax positions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31, 2021</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280" w:hanging="1271"/>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8,128</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8,128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(2,659)</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5,469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6,926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226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15" w:lineRule="exact"/>
        <w:rPr>
          <w:sz w:val="20"/>
          <w:szCs w:val="20"/>
          <w:color w:val="auto"/>
        </w:rPr>
      </w:pPr>
    </w:p>
    <w:p>
      <w:pPr>
        <w:ind w:left="1200" w:hanging="1191"/>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24,447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1226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22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11226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760" w:space="720"/>
            <w:col w:w="1740"/>
          </w:cols>
          <w:pgMar w:left="320" w:top="125" w:right="359" w:bottom="1440" w:gutter="0" w:footer="0" w:header="0"/>
          <w:type w:val="continuous"/>
        </w:sectPr>
      </w:pPr>
    </w:p>
    <w:p>
      <w:pPr>
        <w:spacing w:after="0" w:line="5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Company files income tax returns in the U.S. federal jurisdiction and various state jurisdictions. As the Company expands its global operations in the normal course of business, the Company could be subject to examination by taxing authorities throughout the world. These audits could include questioning the timing and amount of deductions; the nexus of income among various tax jurisdictions; and compliance with federal, state, local, and foreign tax laws. The Company is not currently under audit by the Internal Revenue Service or other similar state, local, and foreign authorities. All tax years remain subject to examination by U.S. taxing authorities due to the Company’s net operating losses and R&amp;D credit carryforwards.</w:t>
      </w:r>
    </w:p>
    <w:p>
      <w:pPr>
        <w:spacing w:after="0" w:line="16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attributes net revenue, costs, and expenses to domestic and foreign components based on the terms of its agreements with its subsidiaries. The Company does not provide for federal and state income taxes on the undistributed earnings of its foreign subsidiaries as such earnings are to be reinvested offshore indefinitely. As a result of the Tax Act, if the Company repatriated these earnings, the tax impact of future distributions of foreign earnings would generally be limited to withholding tax from local jurisdictions, and the resulting income tax liability would be insignificant.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27, 2020, the United States enacted the Coronavirus Aid, Relief, and Economic Security Act (“CARES Act”),</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a response to the economic uncertainty resulting from the global COVID-19 pandemic. The CARES Act did not have a material impact on the Company’s condensed consolidated financial statements for the fiscal year ended January 31, 2021. The Company continues to monitor any effects that may result from the CARES Act.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Redeemable Convertible Preferred Stock</w:t>
      </w:r>
    </w:p>
    <w:p>
      <w:pPr>
        <w:spacing w:after="0" w:line="22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Upon the close of the Company’s IPO on June 14, 2019, all shares of convertible preferred stock then outstanding, totaling 131,267,586 shares, were automatically converted into an equivalent number of shares of Class B common stock on a one-to-one basis and the carrying value, totaling $557.9 million, was reclassified into Class B common stock and additional paid-in capital on the consolidated balance sheets.</w:t>
      </w:r>
    </w:p>
    <w:p>
      <w:pPr>
        <w:spacing w:after="0" w:line="273" w:lineRule="exact"/>
        <w:rPr>
          <w:sz w:val="20"/>
          <w:szCs w:val="20"/>
          <w:color w:val="auto"/>
        </w:rPr>
      </w:pPr>
    </w:p>
    <w:p>
      <w:pPr>
        <w:ind w:left="340" w:right="9560" w:hanging="332"/>
        <w:spacing w:after="0" w:line="601" w:lineRule="auto"/>
        <w:tabs>
          <w:tab w:leader="none" w:pos="196" w:val="left"/>
        </w:tabs>
        <w:numPr>
          <w:ilvl w:val="0"/>
          <w:numId w:val="5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Equity Transactions Common Stock</w:t>
      </w:r>
    </w:p>
    <w:p>
      <w:pPr>
        <w:ind w:right="80" w:firstLine="324"/>
        <w:spacing w:after="0" w:line="293" w:lineRule="auto"/>
        <w:rPr>
          <w:sz w:val="20"/>
          <w:szCs w:val="20"/>
          <w:color w:val="auto"/>
        </w:rPr>
      </w:pPr>
      <w:r>
        <w:rPr>
          <w:rFonts w:ascii="Arial" w:cs="Arial" w:eastAsia="Arial" w:hAnsi="Arial"/>
          <w:sz w:val="16"/>
          <w:szCs w:val="16"/>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Class A and Class B common stockholders are not entitled to receive dividends unless declared by the Company’s board of directors.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Claims Settlement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a security holder paid the Company $2.3 million to settle a claim under Section 16(b) of the Securities Exchange Act of 1934. Section 16(b) requires certain persons and entities whose securities trading activities result in “short swing” profits to repay such profits to the issuer of the security. This payment was recorded as an increase to stockholders’ equity and as cash provided by financing activities in the consolidated statement of cash flows for the fiscal year ended January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Leases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has entered into non-cancelable operating lease agreements with various expiration dates through fiscal 2027. Certain lease agreements include options to renew or terminate the lease, which are not reasonably certain to be exercised and therefore are not factored into the determination of lease payments.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fiscal year ended January 31, 2021, cash paid for amounts included in the measurement of operating lease liabilities were $11.0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arising from obtaining operating right of-use assets was $6.2 million during the fiscal year ended January 31, 2021.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2021, the weighted-average remaining lease term is 4.1 years, and the weighted-average discount rate is 5.9%.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340"/>
              <w:spacing w:after="0"/>
              <w:rPr>
                <w:sz w:val="20"/>
                <w:szCs w:val="20"/>
                <w:color w:val="auto"/>
              </w:rPr>
            </w:pPr>
            <w:r>
              <w:rPr>
                <w:rFonts w:ascii="Arial" w:cs="Arial" w:eastAsia="Arial" w:hAnsi="Arial"/>
                <w:sz w:val="18"/>
                <w:szCs w:val="18"/>
                <w:color w:val="auto"/>
              </w:rPr>
              <w:t>The component of lease costs was as follows:</w:t>
            </w:r>
          </w:p>
        </w:tc>
        <w:tc>
          <w:tcPr>
            <w:tcW w:w="4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5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January 31, 2021</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4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10,308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4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4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cost</w:t>
            </w:r>
          </w:p>
        </w:tc>
        <w:tc>
          <w:tcPr>
            <w:tcW w:w="4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jc w:val="right"/>
              <w:ind w:right="3630"/>
              <w:spacing w:after="0"/>
              <w:rPr>
                <w:sz w:val="20"/>
                <w:szCs w:val="20"/>
                <w:color w:val="auto"/>
              </w:rPr>
            </w:pPr>
            <w:r>
              <w:rPr>
                <w:rFonts w:ascii="Arial" w:cs="Arial" w:eastAsia="Arial" w:hAnsi="Arial"/>
                <w:sz w:val="18"/>
                <w:szCs w:val="18"/>
                <w:color w:val="auto"/>
              </w:rPr>
              <w:t>117</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56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was no sublease income for the fiscal year ended January 31, 2021. Total lease expense recognized prior to the adoption of Topic 842 were $10.3 million and $6.9 million for the year ended January 31, 2020 and January 31, 2019,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340"/>
              <w:spacing w:after="0"/>
              <w:rPr>
                <w:sz w:val="20"/>
                <w:szCs w:val="20"/>
                <w:color w:val="auto"/>
              </w:rPr>
            </w:pPr>
            <w:r>
              <w:rPr>
                <w:rFonts w:ascii="Arial" w:cs="Arial" w:eastAsia="Arial" w:hAnsi="Arial"/>
                <w:sz w:val="18"/>
                <w:szCs w:val="18"/>
                <w:color w:val="auto"/>
              </w:rPr>
              <w:t>The maturities of the Company’s non-cancelable operating lease liabilities are as follows: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7"/>
        </w:trPr>
        <w:tc>
          <w:tcPr>
            <w:tcW w:w="9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January 31, 2021</w:t>
            </w:r>
          </w:p>
        </w:tc>
      </w:tr>
      <w:tr>
        <w:trPr>
          <w:trHeight w:val="223"/>
        </w:trPr>
        <w:tc>
          <w:tcPr>
            <w:tcW w:w="9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(in thousands)</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10,879</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9,973</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payments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46,184</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(5,221)</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Future minimum payments under non-cancelable operating leases determined using the prior accounting guidance consisted of the following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Real Estate</w:t>
            </w:r>
          </w:p>
        </w:tc>
      </w:tr>
      <w:tr>
        <w:trPr>
          <w:trHeight w:val="229"/>
        </w:trPr>
        <w:tc>
          <w:tcPr>
            <w:tcW w:w="9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Arrangements</w:t>
            </w:r>
          </w:p>
        </w:tc>
      </w:tr>
      <w:tr>
        <w:trPr>
          <w:trHeight w:val="223"/>
        </w:trPr>
        <w:tc>
          <w:tcPr>
            <w:tcW w:w="9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9,869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9,370</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8920" w:hanging="332"/>
        <w:spacing w:after="0" w:line="601" w:lineRule="auto"/>
        <w:tabs>
          <w:tab w:leader="none" w:pos="286" w:val="left"/>
        </w:tabs>
        <w:numPr>
          <w:ilvl w:val="0"/>
          <w:numId w:val="5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Stock-Based Compensation Stock Incentive Plan</w:t>
      </w:r>
    </w:p>
    <w:p>
      <w:pPr>
        <w:ind w:firstLine="324"/>
        <w:spacing w:after="0" w:line="272" w:lineRule="auto"/>
        <w:rPr>
          <w:sz w:val="20"/>
          <w:szCs w:val="20"/>
          <w:color w:val="auto"/>
        </w:rPr>
      </w:pPr>
      <w:r>
        <w:rPr>
          <w:rFonts w:ascii="Arial" w:cs="Arial" w:eastAsia="Arial" w:hAnsi="Arial"/>
          <w:sz w:val="17"/>
          <w:szCs w:val="17"/>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77" w:lineRule="exact"/>
        <w:rPr>
          <w:sz w:val="20"/>
          <w:szCs w:val="20"/>
          <w:color w:val="auto"/>
        </w:rPr>
      </w:pPr>
    </w:p>
    <w:p>
      <w:pPr>
        <w:jc w:val="both"/>
        <w:ind w:right="320" w:firstLine="324"/>
        <w:spacing w:after="0" w:line="311" w:lineRule="auto"/>
        <w:rPr>
          <w:sz w:val="20"/>
          <w:szCs w:val="20"/>
          <w:color w:val="auto"/>
        </w:rPr>
      </w:pPr>
      <w:r>
        <w:rPr>
          <w:rFonts w:ascii="Arial" w:cs="Arial" w:eastAsia="Arial" w:hAnsi="Arial"/>
          <w:sz w:val="16"/>
          <w:szCs w:val="16"/>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option was estimated on the date of grant using the following assumptions during the period:</w:t>
      </w:r>
    </w:p>
    <w:p>
      <w:pPr>
        <w:spacing w:after="0" w:line="15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6.05-7.52</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0.2% - 0.4%</w:t>
            </w:r>
          </w:p>
        </w:tc>
        <w:tc>
          <w:tcPr>
            <w:tcW w:w="1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 - 2.4%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 - 3.1%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- 37.3%</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 - 37.9%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- 38.9%</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31"/>
        </w:trPr>
        <w:tc>
          <w:tcPr>
            <w:tcW w:w="7880" w:type="dxa"/>
            <w:vAlign w:val="bottom"/>
            <w:gridSpan w:val="3"/>
          </w:tcPr>
          <w:p>
            <w:pPr>
              <w:jc w:val="right"/>
              <w:ind w:right="740"/>
              <w:spacing w:after="0"/>
              <w:rPr>
                <w:sz w:val="20"/>
                <w:szCs w:val="20"/>
                <w:color w:val="auto"/>
              </w:rPr>
            </w:pPr>
            <w:r>
              <w:rPr>
                <w:rFonts w:ascii="Arial" w:cs="Arial" w:eastAsia="Arial" w:hAnsi="Arial"/>
                <w:sz w:val="18"/>
                <w:szCs w:val="18"/>
                <w:color w:val="auto"/>
                <w:w w:val="95"/>
              </w:rPr>
              <w:t>The following table is a summary of stock option activity for the year ended January 31, 2021:</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6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6"/>
        </w:trPr>
        <w:tc>
          <w:tcPr>
            <w:tcW w:w="6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31, 2020</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97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Canceled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(388)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31, 2021</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6,646</w:t>
            </w: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Options vested and expected to vest at January 31, 2021</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6,646</w:t>
            </w:r>
          </w:p>
        </w:tc>
        <w:tc>
          <w:tcPr>
            <w:tcW w:w="2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January 31, 2021</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outstanding include 424,906 options that were unvested as of January 31, 2021.</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aggregate intrinsic value of options vested and exercisable was $711.4 million, $469.6 million, and $181.1 million as of January 31, 2021, January 31, 2020, and January 31, 2019, respectively. The weighted-average remaining contractual term of options vested and exercisable was 6.4 years, 6.7 years, and 7.1 years as of January 31, 2021, January 31, 2020, and January 31, 2019, respectively.</w:t>
      </w:r>
    </w:p>
    <w:p>
      <w:pPr>
        <w:spacing w:after="0" w:line="184"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The weighted-average grant date fair values of all options granted was $66.31, $9.51, and $5.70 per share during the years ended January 31, 2021, January 31, 2020, and January 31, 2019, respectively. The total intrinsic value of all options exercised was $847.5 million, $407.9 million, and $26.9 million during the years ended January 31, 2021, January 31, 2020, and January 31, 2019, respectively.</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aggregate intrinsic value of stock options outstanding as of January 31, 2021, January 31, 2020, and January 31, 2019 was $1.4 billion, $816.3 million, and $286.1 million, respectively, which represents the excess of the fair value of the Company’s common stock over the exercise price of the options multiplied by the number of options outstanding. The weighted-average remaining contractual term of stock options outstanding was 7.0 years, 7.4 years, and 7.9 years as of January 31, 2021, January 31, 2020, and January 31, 2019,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Total unrecognized stock-based compensation expense related to unvested options was $24.3 million as of January 31, 2021. This expense is expected to be amortized on a straight-line basis over a weighted-average vesting period of 1.7 years. Total unrecognized stock-based compensation expense related to unvested options was $34.7 million as of January 31, 2020. This expense is expected to be amortized on a straight-line basis over a weighted-average vesting period of 2.1 years.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 during the fiscal year ended January 31, 2021. During the fiscal year ended January 31, 2020, the Company issued 1,037,356 shares of common stock for total proceeds of $10.3 million related to early exercised stock options. As of January 31, 2021, the number of shares of common stock related to early exercised stock options subject to repurchase was 548,028 shares for $5.4 million. As of January 31, 2020, the number of shares of common stock related to early exercised stock options subject to repurchase was 984,417 shares for $8.7 million. Common stock purchased pursuant to an early exercise of stock options is not deemed to be outstanding for accounting purposes until those shares vest. The Company includes unvested shares subject to repurchase in the number of shares outstanding in the consolidated statement of redeemable convertible preferred stock and stockholders’ equity (deficit).</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Tender Offer Transaction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October 2018, the Company facilitated a tender offer of its common stock. Under the terms of the offer, certain existing Series E Preferred Stock investors purchased an aggregate of 2.4 million shares of common stock from certain eligible employees and directors for $15.64 per share for an aggregate purchase price of $37.6 million. The Company recognized stock-based compensation expense of $10.8 million during the year ended January 31, 2019 in connection with the tender offer, which represented the difference between the purchase price and the fair value of the common stock on the date of the sale.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80" w:firstLine="324"/>
        <w:spacing w:after="0" w:line="285" w:lineRule="auto"/>
        <w:rPr>
          <w:sz w:val="20"/>
          <w:szCs w:val="20"/>
          <w:color w:val="auto"/>
        </w:rPr>
      </w:pPr>
      <w:r>
        <w:rPr>
          <w:rFonts w:ascii="Arial" w:cs="Arial" w:eastAsia="Arial" w:hAnsi="Arial"/>
          <w:sz w:val="16"/>
          <w:szCs w:val="16"/>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w:t>
      </w:r>
    </w:p>
    <w:p>
      <w:pPr>
        <w:spacing w:after="0" w:line="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consolidated statement of operations. Upon its IPO, the Company began issuing RSUs to its employees that generally have only service-based vesting condition. The valuation of such RSUs is based solely on the fair value of the Company’s stock price on the date of grant.</w:t>
      </w:r>
    </w:p>
    <w:p>
      <w:pPr>
        <w:spacing w:after="0" w:line="16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Expense for RSUs that have a service-based vesting condition only are being amortized on a straight-line basis. Expense for RSUs that have both a service-based and a performance-based vesting condition are being amortized under the accelerated attribution method. Total unrecognized stock-based compensation expense related to unvested RSUs was $393.9 million as of January 31, 2021. This expense is expected to be amortized (subject to acceleration or straight-line basis) over a weighted-average vesting period of 2.6 years. Total unrecognized stock-based compensation expense related to unvested RSUs was $139.4 million as of January 31, 2020. This expense is expected to be amortized on an accelerated attribution method over a weighted-average vesting period of 2.5 years.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Stock Units</w:t>
      </w:r>
    </w:p>
    <w:p>
      <w:pPr>
        <w:spacing w:after="0" w:line="22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Performance-based stock units (“PSUs”)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compensation cost is recognized over the requisite service period when it is probable that the performance condition will be satisfied. During fiscal 2021, the Company’s compensation committee granted PSUs for certain employees. The performance goal for certain grants primarily relate to the revenue growth percentage for the fiscal year ended January 31, 2021, with the number of PSUs earned corresponding to the performance period of fiscal 2021, which can range between 0% and 130% of the target number of shares granted depending on the Company’s actual performance. The performance goal for other grants primarily relate to the achievement of product related deliverables or other engineering objectives.</w:t>
      </w:r>
    </w:p>
    <w:p>
      <w:pPr>
        <w:spacing w:after="0" w:line="16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Expense for PSUs are being amortized under the accelerated attribution method and may be adjusted over the vesting period based on interim estimates of performance against pre-set objectives. Total unrecognized stock-based compensation expense related to unvested PSUs was $24.8 million as of January 31, 2021. This expense is expected to be amortized over a weighted-average vesting period of 1.3 years. Total unrecognized stock-based compensation expense related to unvested PSUs was $2.7 million as of January 31, 2020. This expense is expected to be amortized over a weighted-average vesting period of 1.6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340"/>
              <w:spacing w:after="0"/>
              <w:rPr>
                <w:sz w:val="20"/>
                <w:szCs w:val="20"/>
                <w:color w:val="auto"/>
              </w:rPr>
            </w:pPr>
            <w:r>
              <w:rPr>
                <w:rFonts w:ascii="Arial" w:cs="Arial" w:eastAsia="Arial" w:hAnsi="Arial"/>
                <w:sz w:val="18"/>
                <w:szCs w:val="18"/>
                <w:color w:val="auto"/>
                <w:w w:val="99"/>
              </w:rPr>
              <w:t>The following table is a summary of RSU and PSU activities for the year ended January 31, 2021:</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80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176"/>
        </w:trPr>
        <w:tc>
          <w:tcPr>
            <w:tcW w:w="80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9"/>
        </w:trPr>
        <w:tc>
          <w:tcPr>
            <w:tcW w:w="80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January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4,743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85.13</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RSUs and PSUs outstanding at January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RSUs and PSUs expected to vest at January 31, 2021</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8,449</w:t>
            </w:r>
          </w:p>
        </w:tc>
        <w:tc>
          <w:tcPr>
            <w:tcW w:w="3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ESPP provides for consecutive offering periods that will typically have a duration of approximately 24 months in length and is comprised</w:t>
      </w:r>
    </w:p>
    <w:p>
      <w:pPr>
        <w:spacing w:after="0" w:line="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incremental expense is then amortized over the remaining purchase period. Incremental expense as a result of such modification was $3.5 million for year ended January 31, 2021.</w:t>
      </w:r>
    </w:p>
    <w:p>
      <w:pPr>
        <w:spacing w:after="0" w:line="18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Employee payroll contributions ultimately used to purchase shares are reclassified to stockholders’ equity on the purchase date. ESPP employee payroll contributions accrued of $11.0 million and $6.6 million as of January 31, 2021 and January 31, 2020, respectively, and are included within accrued payroll and benefits in the consolidated balance sheets.</w:t>
      </w:r>
    </w:p>
    <w:p>
      <w:pPr>
        <w:spacing w:after="0" w:line="18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to be issued under the ESPP for the offering periods beginning in June 2019: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Year Ended January 31,</w:t>
            </w:r>
          </w:p>
        </w:tc>
      </w:tr>
      <w:tr>
        <w:trPr>
          <w:trHeight w:val="223"/>
        </w:trPr>
        <w:tc>
          <w:tcPr>
            <w:tcW w:w="79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0.1 - 2.0%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1.6 - 2.2%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stock price volatility</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30.1 - 54.3%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30.1 - 35.7%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8"/>
                <w:szCs w:val="18"/>
                <w:b w:val="1"/>
                <w:bCs w:val="1"/>
                <w:color w:val="auto"/>
                <w:w w:val="91"/>
              </w:rPr>
              <w:t>Year Ended January 31,</w:t>
            </w:r>
          </w:p>
        </w:tc>
        <w:tc>
          <w:tcPr>
            <w:tcW w:w="120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63"/>
        </w:trPr>
        <w:tc>
          <w:tcPr>
            <w:tcW w:w="6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cost of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Professional services cost of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7,815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20,505</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Revenue, Deferred Revenue and Remaining Performance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revenue from contracts by type of customer: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Year Ended January 31,</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0"/>
        </w:trPr>
        <w:tc>
          <w:tcPr>
            <w:tcW w:w="3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w w:val="89"/>
              </w:rPr>
              <w:t>2019</w:t>
            </w:r>
          </w:p>
        </w:tc>
      </w:tr>
      <w:tr>
        <w:trPr>
          <w:trHeight w:val="209"/>
        </w:trPr>
        <w:tc>
          <w:tcPr>
            <w:tcW w:w="3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1"/>
              </w:rPr>
              <w:t>% Revenue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Revenue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Revenue</w:t>
            </w:r>
          </w:p>
        </w:tc>
      </w:tr>
      <w:tr>
        <w:trPr>
          <w:trHeight w:val="250"/>
        </w:trPr>
        <w:tc>
          <w:tcPr>
            <w:tcW w:w="3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6"/>
          </w:tcPr>
          <w:p>
            <w:pPr>
              <w:ind w:left="20"/>
              <w:spacing w:after="0"/>
              <w:rPr>
                <w:sz w:val="20"/>
                <w:szCs w:val="20"/>
                <w:color w:val="auto"/>
              </w:rPr>
            </w:pPr>
            <w:r>
              <w:rPr>
                <w:rFonts w:ascii="Arial" w:cs="Arial" w:eastAsia="Arial" w:hAnsi="Arial"/>
                <w:sz w:val="16"/>
                <w:szCs w:val="16"/>
                <w:b w:val="1"/>
                <w:bCs w:val="1"/>
                <w:color w:val="auto"/>
                <w:w w:val="92"/>
              </w:rPr>
              <w:t>(in thousands, except percentages)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9"/>
        </w:trPr>
        <w:tc>
          <w:tcPr>
            <w:tcW w:w="3820" w:type="dxa"/>
            <w:vAlign w:val="bottom"/>
            <w:shd w:val="clear" w:color="auto" w:fill="CCEEFF"/>
          </w:tcPr>
          <w:p>
            <w:pPr>
              <w:jc w:val="center"/>
              <w:ind w:right="2579"/>
              <w:spacing w:after="0"/>
              <w:rPr>
                <w:sz w:val="20"/>
                <w:szCs w:val="20"/>
                <w:color w:val="auto"/>
              </w:rPr>
            </w:pPr>
            <w:r>
              <w:rPr>
                <w:rFonts w:ascii="Arial" w:cs="Arial" w:eastAsia="Arial" w:hAnsi="Arial"/>
                <w:sz w:val="16"/>
                <w:szCs w:val="16"/>
                <w:color w:val="auto"/>
                <w:w w:val="89"/>
              </w:rPr>
              <w:t>Channel Partners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331,279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172,141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69 %</w:t>
            </w:r>
          </w:p>
        </w:tc>
      </w:tr>
      <w:tr>
        <w:trPr>
          <w:trHeight w:val="213"/>
        </w:trPr>
        <w:tc>
          <w:tcPr>
            <w:tcW w:w="3820" w:type="dxa"/>
            <w:vAlign w:val="bottom"/>
            <w:tcBorders>
              <w:bottom w:val="single" w:sz="8" w:color="CCEEFF"/>
            </w:tcBorders>
          </w:tcPr>
          <w:p>
            <w:pPr>
              <w:jc w:val="center"/>
              <w:ind w:right="2559"/>
              <w:spacing w:after="0"/>
              <w:rPr>
                <w:sz w:val="20"/>
                <w:szCs w:val="20"/>
                <w:color w:val="auto"/>
              </w:rPr>
            </w:pPr>
            <w:r>
              <w:rPr>
                <w:rFonts w:ascii="Arial" w:cs="Arial" w:eastAsia="Arial" w:hAnsi="Arial"/>
                <w:sz w:val="16"/>
                <w:szCs w:val="16"/>
                <w:color w:val="auto"/>
                <w:w w:val="92"/>
              </w:rPr>
              <w:t>Direct Customers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150,134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77,683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33"/>
        </w:trPr>
        <w:tc>
          <w:tcPr>
            <w:tcW w:w="3820" w:type="dxa"/>
            <w:vAlign w:val="bottom"/>
            <w:shd w:val="clear" w:color="auto" w:fill="CCEEFF"/>
          </w:tcPr>
          <w:p>
            <w:pPr>
              <w:jc w:val="center"/>
              <w:ind w:right="2559"/>
              <w:spacing w:after="0"/>
              <w:rPr>
                <w:sz w:val="20"/>
                <w:szCs w:val="20"/>
                <w:color w:val="auto"/>
              </w:rPr>
            </w:pPr>
            <w:r>
              <w:rPr>
                <w:rFonts w:ascii="Arial" w:cs="Arial" w:eastAsia="Arial" w:hAnsi="Arial"/>
                <w:sz w:val="16"/>
                <w:szCs w:val="16"/>
                <w:color w:val="auto"/>
                <w:w w:val="91"/>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874,438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481,413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249,824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80" w:firstLine="324"/>
        <w:spacing w:after="0" w:line="275"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6"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platform or service: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Year Ended January 31,</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6"/>
                <w:szCs w:val="16"/>
                <w:b w:val="1"/>
                <w:bCs w:val="1"/>
                <w:color w:val="auto"/>
                <w:w w:val="89"/>
              </w:rPr>
              <w:t>2019</w:t>
            </w:r>
          </w:p>
        </w:tc>
      </w:tr>
      <w:tr>
        <w:trPr>
          <w:trHeight w:val="210"/>
        </w:trPr>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3"/>
              </w:rPr>
              <w:t>% Revenue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Revenue</w:t>
            </w:r>
          </w:p>
        </w:tc>
      </w:tr>
      <w:tr>
        <w:trPr>
          <w:trHeight w:val="250"/>
        </w:trPr>
        <w:tc>
          <w:tcPr>
            <w:tcW w:w="3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6"/>
          </w:tcPr>
          <w:p>
            <w:pPr>
              <w:ind w:left="40"/>
              <w:spacing w:after="0"/>
              <w:rPr>
                <w:sz w:val="20"/>
                <w:szCs w:val="20"/>
                <w:color w:val="auto"/>
              </w:rPr>
            </w:pPr>
            <w:r>
              <w:rPr>
                <w:rFonts w:ascii="Arial" w:cs="Arial" w:eastAsia="Arial" w:hAnsi="Arial"/>
                <w:sz w:val="16"/>
                <w:szCs w:val="16"/>
                <w:b w:val="1"/>
                <w:bCs w:val="1"/>
                <w:color w:val="auto"/>
                <w:w w:val="90"/>
              </w:rPr>
              <w:t>(in thousands, except percentages)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356,513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192,057</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67,428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29,721</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19,800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10,833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4 %</w:t>
            </w: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481,413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249,824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years ended January 31, 2021, January 31, 2020 or January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Contract liabilities consist of deferred revenue and include payments received in advance of performance under the contract. Such amounts are recognized as revenue over the contractual period. The Company recognized revenue of $410.7 million and $217.9 million for the years ended January 31, 2021 and January 31, 2020, respectively, that were included in the corresponding contract liability balance at the beginning of the period.</w:t>
      </w:r>
    </w:p>
    <w:p>
      <w:pPr>
        <w:spacing w:after="0" w:line="149" w:lineRule="exact"/>
        <w:rPr>
          <w:sz w:val="20"/>
          <w:szCs w:val="20"/>
          <w:color w:val="auto"/>
        </w:rPr>
      </w:pPr>
    </w:p>
    <w:p>
      <w:pPr>
        <w:jc w:val="both"/>
        <w:ind w:right="580" w:firstLine="324"/>
        <w:spacing w:after="0" w:line="31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Changes in deferred revenue were as follows (in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73"/>
        </w:trPr>
        <w:tc>
          <w:tcPr>
            <w:tcW w:w="8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93"/>
              </w:rPr>
              <w:t>Carrying Amount</w:t>
            </w:r>
          </w:p>
        </w:tc>
      </w:tr>
      <w:tr>
        <w:trPr>
          <w:trHeight w:val="223"/>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center"/>
              <w:ind w:right="250"/>
              <w:spacing w:after="0"/>
              <w:rPr>
                <w:sz w:val="20"/>
                <w:szCs w:val="20"/>
                <w:color w:val="auto"/>
              </w:rPr>
            </w:pPr>
            <w:r>
              <w:rPr>
                <w:rFonts w:ascii="Arial" w:cs="Arial" w:eastAsia="Arial" w:hAnsi="Arial"/>
                <w:sz w:val="18"/>
                <w:szCs w:val="18"/>
                <w:b w:val="1"/>
                <w:bCs w:val="1"/>
                <w:color w:val="auto"/>
                <w:w w:val="91"/>
              </w:rPr>
              <w:t>Year Ended January 31,</w:t>
            </w:r>
          </w:p>
        </w:tc>
      </w:tr>
      <w:tr>
        <w:trPr>
          <w:trHeight w:val="223"/>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9"/>
              </w:rPr>
              <w:t>290,067</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Additions to deferred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89"/>
              </w:rPr>
              <w:t>762,514</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3"/>
              </w:rPr>
              <w:t>(481,413)</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571,168</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Remaining Performance Obligations</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January 31, 2021, the aggregate amount of the transaction price allocated to remaining performance obligations was $1.4 billion. The Company expects to recognize 72% of the remaining performance obligations in the 12 months following January 31, 2021, with the remainder to be recognized thereafter.</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Costs to Obtain and Fulfill a Contract</w:t>
      </w:r>
    </w:p>
    <w:p>
      <w:pPr>
        <w:spacing w:after="0" w:line="225"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Company capitalizes referral fees paid to partners and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consolidated balance sheets.</w:t>
      </w:r>
    </w:p>
    <w:p>
      <w:pPr>
        <w:spacing w:after="0" w:line="14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earned upon the initial acquisition of a contract or subsequent upsell are amortized over an estimated period of benefit of 4 years while commissions earned for renewal contracts are amortized over the contractual term of the renewals. Sales commissions associated with professional service contracts are amortized ratably over an estimated period of benefit of six months and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year ended January 31, 2021.</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deferred contract acquisition costs: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 Ended January 31,</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38,765</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Adjustment due to adoption of ASU 606</w:t>
            </w: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150,975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86,594</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current</w:t>
            </w:r>
          </w:p>
        </w:tc>
        <w:tc>
          <w:tcPr>
            <w:tcW w:w="3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42,971</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3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71,235</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deferred contract acquisition costs</w:t>
            </w:r>
          </w:p>
        </w:tc>
        <w:tc>
          <w:tcPr>
            <w:tcW w:w="3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198,756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124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5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Commitments and Contingencies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25"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The Company enters into long-term non-cancelable agreements with providers to purchase data center capacity, such as bandwidth and colocation space, for the Company’s cloud platform. As of January 31, 2021, the Company is committed to spend $96.8 million on such agreements through fiscal 2028. These obligations are included in purchase obligations below.</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noncancellable purchase obligations in excess of one year as of January 31, 2021 with expected date of payment is as follows:</w:t>
      </w: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92"/>
              </w:rPr>
              <w:t>Total</w:t>
            </w:r>
          </w:p>
        </w:tc>
      </w:tr>
      <w:tr>
        <w:trPr>
          <w:trHeight w:val="229"/>
        </w:trPr>
        <w:tc>
          <w:tcPr>
            <w:tcW w:w="9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Commitments</w:t>
            </w:r>
          </w:p>
        </w:tc>
      </w:tr>
      <w:tr>
        <w:trPr>
          <w:trHeight w:val="223"/>
        </w:trPr>
        <w:tc>
          <w:tcPr>
            <w:tcW w:w="9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 thousands)</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94,422</w:t>
            </w:r>
          </w:p>
        </w:tc>
      </w:tr>
      <w:tr>
        <w:trPr>
          <w:trHeight w:val="230"/>
        </w:trPr>
        <w:tc>
          <w:tcPr>
            <w:tcW w:w="972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35,133</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31,941</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5,429</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r>
      <w:tr>
        <w:trPr>
          <w:trHeight w:val="22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r>
      <w:tr>
        <w:trPr>
          <w:trHeight w:val="248"/>
        </w:trPr>
        <w:tc>
          <w:tcPr>
            <w:tcW w:w="9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purchase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171,370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As of January 31, 2021 and January 31, 2020, the Company had an unused standby letter of credit for $0.4 million and $0.6 million, respectively, securing its headquarters facility in Sunnyvale, California. As of January 31, 2021 and January 31, 2020, the Company had an unused standby letter of credit for $1.0 million securing its facility in Austin, Texas.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November 2016, Fair Isaac Corporation (“FICO”) filed a petition before the Trademark Trial and Appellate Board (“TTAB”) at the U.S. Patent and Trademark Office, seeking cancellation of the Company’s registration of its “CrowdStrike Falcon” trademark, and a notice of opposition of the Company’s trademark application for “Falcon OverWatch.” The Company denies that any of the relief FICO seeks is appropriate, and has itself moved to cancel, or in the alternative amend, FICO’s “Falcon” trademark registrations before the TTAB. The proceedings have been consolidated and are in the discovery phase with trial periods scheduled to begin in October 2021. The Company is vigorously defending the case, but given the early stage, although a loss may reasonably be possible, the Company is unable to predict the likelihood of success of FICO’s claims or estimate a loss or range of loss. As a result, no liability has been recorded as of January 31, 2021 or January 31, 2020.</w:t>
      </w:r>
    </w:p>
    <w:p>
      <w:pPr>
        <w:spacing w:after="0" w:line="177"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In addition, the Company is involved in various other legal proceedings and subject to claims that arise in the ordinary course of business, including a letter demand from a former employee purportedly on behalf of himself and similarly situated employees alleging various wage and hour violations. The Company is vigorously defending the claim, but given the early stage, although a loss may reasonably be possible, the Company is unable to predict the likelihood of the claim’s success or estimate a loss or range of loss.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consolidated financial statements.</w:t>
      </w:r>
    </w:p>
    <w:p>
      <w:pPr>
        <w:spacing w:after="0" w:line="17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2021 or January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Geographic Information</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The Company’s long-lived assets are composed of property and equipment, net, and operating lease right-of-use assets, are summarized by geographic area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January 31,</w:t>
            </w:r>
          </w:p>
        </w:tc>
        <w:tc>
          <w:tcPr>
            <w:tcW w:w="980" w:type="dxa"/>
            <w:vAlign w:val="bottom"/>
            <w:tcBorders>
              <w:bottom w:val="single" w:sz="8" w:color="auto"/>
            </w:tcBorders>
          </w:tcPr>
          <w:p>
            <w:pPr>
              <w:spacing w:after="0"/>
              <w:rPr>
                <w:sz w:val="20"/>
                <w:szCs w:val="20"/>
                <w:color w:val="auto"/>
              </w:rPr>
            </w:pPr>
          </w:p>
        </w:tc>
      </w:tr>
      <w:tr>
        <w:trPr>
          <w:trHeight w:val="223"/>
        </w:trPr>
        <w:tc>
          <w:tcPr>
            <w:tcW w:w="8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r>
      <w:tr>
        <w:trPr>
          <w:trHeight w:val="263"/>
        </w:trPr>
        <w:tc>
          <w:tcPr>
            <w:tcW w:w="8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2"/>
                <w:szCs w:val="22"/>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125,409</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and equipment, net and operating lease right-of-use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long-lived assets as of January 31, 2021 and January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Related 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Subscription and Professional Services Revenue from Related Parties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During the years ended January 31, 2021, January 31, 2020 and January 31, 2019, certain investors and companies with whom the Company’s Board of Directors are affiliated with, purchased subscriptions and professional services. The Company recorded revenue from subscriptions and professional services from related parties of $4.3 million, $9.0 million, and $6.6 million during the years ended January 31, 2021, January 31, 2020 and January 31, 2019, respectively. Accounts receivable associated with these related parties was $1.3 million, and $0.2 million during the years ended January 31, 2021 and January 31, 2020,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During the years ended January 31, 2021, January 31, 2020 and January 31, 2019, the Company purchased goods and services totaling $8.8 million, $3.2 million, and $2.2 million, respectively, from certain investors and companies with whom its Board of Directors are affiliated with. There were no accounts payable to such vendors as of January 31, 2021 or January 31,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Acquisitions</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September 30, 2020, the Company acquired 100% of the equity interest of Preempt Security, Inc. (“Preempt Security”), a privately-held Delaware corporation that developed real-time access control and threat prevention technology (the “Acquisition”). The Acquisition has been accounted for a business combination. The total consideration transferred was $91.2 million which consisted of $87.4 million in cash and $3.8 million representing the fair value of replacement equity awards attributable to pre-acquisition service. The purchase price was allocated, on a preliminary basis, to identified intangible assets, which include developed technology, customer relationships and trade names, of $16.4 million, net tangible assets acquired of $(0.5) million and goodwill of $75.3 million allocated to the Company’s one reporting segment, representing the excess of the purchase price over the fair value of net tangible and intangible assets acquired. The goodwill was primarily attributable to the assembled workforce of Preempt Security, planned growth in new markets and synergies expected to be achieved from the integration of Preempt Security. Goodwill is not deductible for income tax purposes.</w:t>
      </w:r>
    </w:p>
    <w:p>
      <w:pPr>
        <w:spacing w:after="0" w:line="16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Per the terms of the merger agreement with Preempt Security, certain unvested stock options held by Preempt Security employees were canceled and exchanged for replacement stock options under the 2019 Plan. Additionally, certain shares of stock issued pursuant to share-based compensation awards to key employees of Preempt Security were canceled and exchanged for replacement RSUs of the Company, which are subject to future vesting. The portion of the fair value of the replacement equity awards associated with pre-acquisition service of Preempt Security’s employees represented a component of the total purchase consideration. The remaining fair value of these issued awards is subject to the recipients’ continued service with the Company and the achievement of specified performance targets, and thus were excluded from the purchase price. The awards which are subject to continued service will be recognized ratably as stock-based compensation expense over the requisite service period. The awards which are based on specified performance targets will be recognized under the accelerated attribution method. The Company is still finalizing the allocation of the purchase price, which may be subject to change as additional information becomes available.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identifiable intangible assets acquired and their estimated useful lives as of the date of acquisition: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w w:val="94"/>
              </w:rPr>
              <w:t>(in thousands)</w:t>
            </w:r>
          </w:p>
        </w:tc>
        <w:tc>
          <w:tcPr>
            <w:tcW w:w="12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(in months)</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Total intangible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16,385</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incurred acquisition expense of $2.5 million for the year ended January 31, 2021. The acquisition costs are recorded in general and administrative expenses on the Company’s consolidated statement of operations.</w:t>
      </w:r>
    </w:p>
    <w:p>
      <w:pPr>
        <w:spacing w:after="0" w:line="17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results of operations of Preempt Security have been included in the Company’s consolidated financial statements from the date of acquisition. The acquisition of Preempt Security did not have a material impact on the Company’s consolidated financial statements, and therefore historical and pro forma disclosures have not been presented.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16. Net Loss Per Share Attributable to Common Stockholders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700" w:type="dxa"/>
            <w:vAlign w:val="bottom"/>
            <w:gridSpan w:val="7"/>
          </w:tcPr>
          <w:p>
            <w:pPr>
              <w:ind w:left="340"/>
              <w:spacing w:after="0"/>
              <w:rPr>
                <w:sz w:val="20"/>
                <w:szCs w:val="20"/>
                <w:color w:val="auto"/>
              </w:rPr>
            </w:pPr>
            <w:r>
              <w:rPr>
                <w:rFonts w:ascii="Arial" w:cs="Arial" w:eastAsia="Arial" w:hAnsi="Arial"/>
                <w:sz w:val="18"/>
                <w:szCs w:val="18"/>
                <w:color w:val="auto"/>
                <w:w w:val="96"/>
              </w:rPr>
              <w:t>The following table sets forth the computation of basic and diluted net loss per share attributable to common stockholders: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1"/>
              </w:rPr>
              <w:t>Year Ended January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63"/>
        </w:trPr>
        <w:tc>
          <w:tcPr>
            <w:tcW w:w="6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5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(140,077)</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(140,077)</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 attributable to common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44,863</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A Common Stock</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 attributable to common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Class B Common Stock</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 attributable to common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115"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64"/>
        </w:trPr>
        <w:tc>
          <w:tcPr>
            <w:tcW w:w="6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gridSpan w:val="2"/>
          </w:tcPr>
          <w:p>
            <w:pPr>
              <w:ind w:left="220"/>
              <w:spacing w:after="0"/>
              <w:rPr>
                <w:sz w:val="20"/>
                <w:szCs w:val="20"/>
                <w:color w:val="auto"/>
              </w:rPr>
            </w:pPr>
            <w:r>
              <w:rPr>
                <w:rFonts w:ascii="Arial" w:cs="Arial" w:eastAsia="Arial" w:hAnsi="Arial"/>
                <w:sz w:val="18"/>
                <w:szCs w:val="18"/>
                <w:b w:val="1"/>
                <w:bCs w:val="1"/>
                <w:color w:val="auto"/>
              </w:rPr>
              <w:t>(in thousands)</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73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of common stock issuable upon conversion of redeemable convertible preferred</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131,268</w:t>
            </w: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680" w:type="dxa"/>
            <w:vAlign w:val="bottom"/>
            <w:gridSpan w:val="2"/>
            <w:vMerge w:val="continue"/>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Shares of common stock issuable upon conversion of redeemable convertible preferred</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stock warrants</w:t>
            </w:r>
          </w:p>
        </w:tc>
        <w:tc>
          <w:tcPr>
            <w:tcW w:w="680" w:type="dxa"/>
            <w:vAlign w:val="bottom"/>
            <w:gridSpan w:val="2"/>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repurchase from outstanding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RSUs and PSUs subject to future vesting</w:t>
            </w:r>
          </w:p>
        </w:tc>
        <w:tc>
          <w:tcPr>
            <w:tcW w:w="58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of common stock issuable from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purchase rights under the employee stock purchase plan</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Potential common shares excluded from diluted net loss per share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16,515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158,685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324"/>
        <w:spacing w:after="0" w:line="231" w:lineRule="auto"/>
        <w:rPr>
          <w:sz w:val="20"/>
          <w:szCs w:val="20"/>
          <w:color w:val="auto"/>
        </w:rPr>
      </w:pPr>
      <w:r>
        <w:rPr>
          <w:rFonts w:ascii="Arial" w:cs="Arial" w:eastAsia="Arial" w:hAnsi="Arial"/>
          <w:sz w:val="18"/>
          <w:szCs w:val="18"/>
          <w:color w:val="auto"/>
        </w:rPr>
        <w:t>The above table excludes founder holdbacks related to business combinations. A variable number of shares will be issued upon vesting to settle a fixed monetary amount of $5.3 million which are contingent upon continued employment with the Company for two years. One-half of the founder holdbacks will vest after one year of continued employment, with the remainder vesting monthly during the second year. The share price will be determined based on the Company’s average stock price 5 days prior to each vesting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17. Subsequent Events</w:t>
      </w:r>
    </w:p>
    <w:p>
      <w:pPr>
        <w:spacing w:after="0" w:line="212" w:lineRule="exact"/>
        <w:rPr>
          <w:sz w:val="20"/>
          <w:szCs w:val="20"/>
          <w:color w:val="auto"/>
        </w:rPr>
      </w:pPr>
    </w:p>
    <w:p>
      <w:pPr>
        <w:ind w:right="20" w:firstLine="324"/>
        <w:spacing w:after="0" w:line="227" w:lineRule="auto"/>
        <w:rPr>
          <w:sz w:val="20"/>
          <w:szCs w:val="20"/>
          <w:color w:val="auto"/>
        </w:rPr>
      </w:pPr>
      <w:r>
        <w:rPr>
          <w:rFonts w:ascii="Arial" w:cs="Arial" w:eastAsia="Arial" w:hAnsi="Arial"/>
          <w:sz w:val="18"/>
          <w:szCs w:val="18"/>
          <w:color w:val="auto"/>
        </w:rPr>
        <w:t>On March 5, 2021, the Company announced that it completed its acquisition of Humio, a leading provider of high-performance cloud log management and observability technology. The Company paid approximately $352.0 million in cash (net of cash acquired) and $40.0 million in stock and options, subject to vesting conditions, to acquire Humio. Due to the proximity of the acquisition date to the Company’s filing of its annual report on Form 10-K for the year ended January 31, 2021, the initial accounting for the acquisition of Humio is incomplete, and therefore the Company is unable to disclose certain information required by ASC 805, Business Combinations at this time, including the provisional amounts recognized as of the acquisition date for each major class of assets acquired, liabilities assumed, and goodwill.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January 31, 2021. Based on such evaluation, our Chief Executive Officer and Chief Financial Officer have concluded that, as of such date, our disclosure controls and procedures were effective at the reasonable assurance level.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Report on Internal Control Over Financial Reporting</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2021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8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Based on the results of its evaluation, management concluded that our internal control over financial reporting was effective as of January 31, 2021. The effectiveness of our internal control over financial reporting as of January 31, 2021 has been audited by PricewaterhouseCoopers LLP, an independent registered public accounting firm, as stated in its report which is included in Item 8 of this Form 10-K.</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January 31, 2021 that has materially affected, or is reasonably likely to materially affect, our internal control over financial reporting.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Select Market.</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Certain information required by this Item with respect to our executive officers is set forth under Item 1 of Part I of this Annual Report on Form 10-K under the section entitled “Executive Officers.”</w:t>
      </w:r>
    </w:p>
    <w:p>
      <w:pPr>
        <w:spacing w:after="0" w:line="17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information otherwise required by this Item will be included in our definitive proxy statement for our 2021 annual meeting of stockholders (the “2021 Proxy Statement”), which will be filed with the SEC within 120 days after the end of our fiscal year ended January 31, 2021,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2021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2021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2021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2021 Proxy Statement.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Index to Consolidated Financial Statements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w w:val="91"/>
              </w:rPr>
              <w:t>Incorporated by Reference</w:t>
            </w:r>
          </w:p>
        </w:tc>
        <w:tc>
          <w:tcPr>
            <w:tcW w:w="124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600" w:type="dxa"/>
            <w:vAlign w:val="bottom"/>
          </w:tcPr>
          <w:p>
            <w:pPr>
              <w:jc w:val="center"/>
              <w:ind w:right="919"/>
              <w:spacing w:after="0" w:line="148" w:lineRule="exact"/>
              <w:rPr>
                <w:sz w:val="20"/>
                <w:szCs w:val="20"/>
                <w:color w:val="auto"/>
              </w:rPr>
            </w:pPr>
            <w:r>
              <w:rPr>
                <w:rFonts w:ascii="Arial" w:cs="Arial" w:eastAsia="Arial" w:hAnsi="Arial"/>
                <w:sz w:val="16"/>
                <w:szCs w:val="16"/>
                <w:b w:val="1"/>
                <w:bCs w:val="1"/>
                <w:color w:val="auto"/>
                <w:w w:val="97"/>
              </w:rPr>
              <w:t>Exhibit</w:t>
            </w:r>
          </w:p>
        </w:tc>
        <w:tc>
          <w:tcPr>
            <w:tcW w:w="414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Exhibit Description</w:t>
            </w:r>
          </w:p>
        </w:tc>
        <w:tc>
          <w:tcPr>
            <w:tcW w:w="8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Form</w:t>
            </w:r>
          </w:p>
        </w:tc>
        <w:tc>
          <w:tcPr>
            <w:tcW w:w="10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File No.</w:t>
            </w:r>
          </w:p>
        </w:tc>
        <w:tc>
          <w:tcPr>
            <w:tcW w:w="12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Exhibit</w:t>
            </w:r>
          </w:p>
        </w:tc>
        <w:tc>
          <w:tcPr>
            <w:tcW w:w="1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Filing Date</w:t>
            </w:r>
          </w:p>
        </w:tc>
        <w:tc>
          <w:tcPr>
            <w:tcW w:w="780" w:type="dxa"/>
            <w:vAlign w:val="bottom"/>
          </w:tcPr>
          <w:p>
            <w:pPr>
              <w:jc w:val="center"/>
              <w:ind w:left="59"/>
              <w:spacing w:after="0" w:line="148"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1600" w:type="dxa"/>
            <w:vAlign w:val="bottom"/>
          </w:tcPr>
          <w:p>
            <w:pPr>
              <w:jc w:val="center"/>
              <w:ind w:right="939"/>
              <w:spacing w:after="0"/>
              <w:rPr>
                <w:sz w:val="20"/>
                <w:szCs w:val="20"/>
                <w:color w:val="auto"/>
              </w:rPr>
            </w:pPr>
            <w:r>
              <w:rPr>
                <w:rFonts w:ascii="Arial" w:cs="Arial" w:eastAsia="Arial" w:hAnsi="Arial"/>
                <w:sz w:val="16"/>
                <w:szCs w:val="16"/>
                <w:b w:val="1"/>
                <w:bCs w:val="1"/>
                <w:color w:val="auto"/>
                <w:w w:val="95"/>
              </w:rPr>
              <w:t>Number</w:t>
            </w:r>
          </w:p>
        </w:tc>
        <w:tc>
          <w:tcPr>
            <w:tcW w:w="4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780" w:type="dxa"/>
            <w:vAlign w:val="bottom"/>
          </w:tcPr>
          <w:p>
            <w:pPr>
              <w:jc w:val="center"/>
              <w:ind w:left="5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p>
      <w:pPr>
        <w:spacing w:after="0" w:line="104" w:lineRule="exact"/>
        <w:rPr>
          <w:sz w:val="20"/>
          <w:szCs w:val="20"/>
          <w:color w:val="auto"/>
        </w:rPr>
      </w:pPr>
    </w:p>
    <w:p>
      <w:pPr>
        <w:ind w:left="400"/>
        <w:spacing w:after="0"/>
        <w:rPr>
          <w:rFonts w:ascii="Arial" w:cs="Arial" w:eastAsia="Arial" w:hAnsi="Arial"/>
          <w:sz w:val="14"/>
          <w:szCs w:val="14"/>
          <w:u w:val="single" w:color="auto"/>
          <w:color w:val="0000FF"/>
        </w:rPr>
      </w:pPr>
      <w:hyperlink r:id="rId158">
        <w:r>
          <w:rPr>
            <w:rFonts w:ascii="Arial" w:cs="Arial" w:eastAsia="Arial" w:hAnsi="Arial"/>
            <w:sz w:val="14"/>
            <w:szCs w:val="14"/>
            <w:u w:val="single" w:color="auto"/>
            <w:color w:val="0000FF"/>
          </w:rPr>
          <w:t>3.1</w:t>
        </w:r>
      </w:hyperlink>
    </w:p>
    <w:p>
      <w:pPr>
        <w:spacing w:after="0" w:line="136" w:lineRule="exact"/>
        <w:rPr>
          <w:sz w:val="20"/>
          <w:szCs w:val="20"/>
          <w:color w:val="auto"/>
        </w:rPr>
      </w:pPr>
    </w:p>
    <w:p>
      <w:pPr>
        <w:ind w:left="400"/>
        <w:spacing w:after="0"/>
        <w:rPr>
          <w:rFonts w:ascii="Arial" w:cs="Arial" w:eastAsia="Arial" w:hAnsi="Arial"/>
          <w:sz w:val="14"/>
          <w:szCs w:val="14"/>
          <w:u w:val="single" w:color="auto"/>
          <w:color w:val="0000FF"/>
        </w:rPr>
      </w:pPr>
      <w:hyperlink r:id="rId159">
        <w:r>
          <w:rPr>
            <w:rFonts w:ascii="Arial" w:cs="Arial" w:eastAsia="Arial" w:hAnsi="Arial"/>
            <w:sz w:val="14"/>
            <w:szCs w:val="14"/>
            <w:u w:val="single" w:color="auto"/>
            <w:color w:val="0000FF"/>
          </w:rPr>
          <w:t>3.2</w:t>
        </w:r>
      </w:hyperlink>
    </w:p>
    <w:p>
      <w:pPr>
        <w:spacing w:after="0" w:line="231" w:lineRule="exact"/>
        <w:rPr>
          <w:sz w:val="20"/>
          <w:szCs w:val="20"/>
          <w:color w:val="auto"/>
        </w:rPr>
      </w:pPr>
    </w:p>
    <w:p>
      <w:pPr>
        <w:ind w:left="400"/>
        <w:spacing w:after="0"/>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4.1</w:t>
        </w:r>
      </w:hyperlink>
    </w:p>
    <w:p>
      <w:pPr>
        <w:spacing w:after="0" w:line="379" w:lineRule="exact"/>
        <w:rPr>
          <w:sz w:val="20"/>
          <w:szCs w:val="20"/>
          <w:color w:val="auto"/>
        </w:rPr>
      </w:pPr>
    </w:p>
    <w:p>
      <w:pPr>
        <w:ind w:left="400"/>
        <w:spacing w:after="0"/>
        <w:rPr>
          <w:rFonts w:ascii="Arial" w:cs="Arial" w:eastAsia="Arial" w:hAnsi="Arial"/>
          <w:sz w:val="14"/>
          <w:szCs w:val="14"/>
          <w:u w:val="single" w:color="auto"/>
          <w:color w:val="0000FF"/>
        </w:rPr>
      </w:pPr>
      <w:hyperlink r:id="rId161">
        <w:r>
          <w:rPr>
            <w:rFonts w:ascii="Arial" w:cs="Arial" w:eastAsia="Arial" w:hAnsi="Arial"/>
            <w:sz w:val="14"/>
            <w:szCs w:val="14"/>
            <w:u w:val="single" w:color="auto"/>
            <w:color w:val="0000FF"/>
          </w:rPr>
          <w:t>4.2</w:t>
        </w:r>
      </w:hyperlink>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Amended and Restated Certificate of Incorporation of the Registrant, as</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currently in effect.</w:t>
        </w:r>
      </w:hyperlink>
    </w:p>
    <w:p>
      <w:pPr>
        <w:spacing w:after="0" w:line="10" w:lineRule="exact"/>
        <w:rPr>
          <w:sz w:val="20"/>
          <w:szCs w:val="20"/>
          <w:color w:val="auto"/>
        </w:rPr>
      </w:pPr>
    </w:p>
    <w:p>
      <w:pPr>
        <w:spacing w:after="0"/>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Bylaws of the Registrant, as currently in effect.</w:t>
        </w:r>
      </w:hyperlink>
    </w:p>
    <w:p>
      <w:pPr>
        <w:spacing w:after="0" w:line="46" w:lineRule="exact"/>
        <w:rPr>
          <w:sz w:val="20"/>
          <w:szCs w:val="20"/>
          <w:color w:val="auto"/>
        </w:rPr>
      </w:pPr>
    </w:p>
    <w:p>
      <w:pPr>
        <w:ind w:right="80"/>
        <w:spacing w:after="0" w:line="248" w:lineRule="auto"/>
        <w:rPr>
          <w:rFonts w:ascii="Arial" w:cs="Arial" w:eastAsia="Arial" w:hAnsi="Arial"/>
          <w:sz w:val="15"/>
          <w:szCs w:val="15"/>
          <w:u w:val="single" w:color="auto"/>
          <w:color w:val="0000FF"/>
        </w:rPr>
      </w:pPr>
      <w:hyperlink r:id="rId160">
        <w:r>
          <w:rPr>
            <w:rFonts w:ascii="Arial" w:cs="Arial" w:eastAsia="Arial" w:hAnsi="Arial"/>
            <w:sz w:val="15"/>
            <w:szCs w:val="15"/>
            <w:u w:val="single" w:color="auto"/>
            <w:color w:val="0000FF"/>
          </w:rPr>
          <w:t>Amended and Restated Stockholders Agreement among the Registrant</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and certain holders of its capital stock, dated as of June 21, 2018, as</w:t>
        </w:r>
      </w:hyperlink>
      <w:r>
        <w:rPr>
          <w:rFonts w:ascii="Arial" w:cs="Arial" w:eastAsia="Arial" w:hAnsi="Arial"/>
          <w:sz w:val="15"/>
          <w:szCs w:val="15"/>
          <w:u w:val="single" w:color="auto"/>
          <w:color w:val="0000FF"/>
        </w:rPr>
        <w:t xml:space="preserve"> </w:t>
      </w:r>
      <w:hyperlink r:id="rId160">
        <w:r>
          <w:rPr>
            <w:rFonts w:ascii="Arial" w:cs="Arial" w:eastAsia="Arial" w:hAnsi="Arial"/>
            <w:sz w:val="15"/>
            <w:szCs w:val="15"/>
            <w:u w:val="single" w:color="auto"/>
            <w:color w:val="0000FF"/>
          </w:rPr>
          <w:t>amended on September 25, 2018 and April 17, 2019.</w:t>
        </w:r>
      </w:hyperlink>
    </w:p>
    <w:p>
      <w:pPr>
        <w:spacing w:after="0" w:line="5" w:lineRule="exact"/>
        <w:rPr>
          <w:rFonts w:ascii="Arial" w:cs="Arial" w:eastAsia="Arial" w:hAnsi="Arial"/>
          <w:sz w:val="15"/>
          <w:szCs w:val="15"/>
          <w:u w:val="single" w:color="auto"/>
          <w:color w:val="0000FF"/>
        </w:rPr>
      </w:pPr>
    </w:p>
    <w:p>
      <w:pPr>
        <w:ind w:right="120"/>
        <w:spacing w:after="0" w:line="230" w:lineRule="auto"/>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Amended and Restated Registration Rights Agreement among the</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Registrant and certain holders of its capital stock, dated as of June 21,</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2018.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0"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3.1</w:t>
            </w:r>
          </w:p>
        </w:tc>
        <w:tc>
          <w:tcPr>
            <w:tcW w:w="1240" w:type="dxa"/>
            <w:vAlign w:val="bottom"/>
          </w:tcPr>
          <w:p>
            <w:pPr>
              <w:ind w:left="340"/>
              <w:spacing w:after="0"/>
              <w:rPr>
                <w:sz w:val="20"/>
                <w:szCs w:val="20"/>
                <w:color w:val="auto"/>
              </w:rPr>
            </w:pPr>
            <w:r>
              <w:rPr>
                <w:rFonts w:ascii="Arial" w:cs="Arial" w:eastAsia="Arial" w:hAnsi="Arial"/>
                <w:sz w:val="16"/>
                <w:szCs w:val="16"/>
                <w:color w:val="auto"/>
                <w:w w:val="86"/>
              </w:rPr>
              <w:t>June 14, 2019</w:t>
            </w:r>
          </w:p>
        </w:tc>
      </w:tr>
      <w:tr>
        <w:trPr>
          <w:trHeight w:val="324"/>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3.2</w:t>
            </w:r>
          </w:p>
        </w:tc>
        <w:tc>
          <w:tcPr>
            <w:tcW w:w="1240" w:type="dxa"/>
            <w:vAlign w:val="bottom"/>
          </w:tcPr>
          <w:p>
            <w:pPr>
              <w:ind w:left="340"/>
              <w:spacing w:after="0"/>
              <w:rPr>
                <w:sz w:val="20"/>
                <w:szCs w:val="20"/>
                <w:color w:val="auto"/>
              </w:rPr>
            </w:pPr>
            <w:r>
              <w:rPr>
                <w:rFonts w:ascii="Arial" w:cs="Arial" w:eastAsia="Arial" w:hAnsi="Arial"/>
                <w:sz w:val="16"/>
                <w:szCs w:val="16"/>
                <w:color w:val="auto"/>
                <w:w w:val="86"/>
              </w:rPr>
              <w:t>June 14, 2019</w:t>
            </w:r>
          </w:p>
        </w:tc>
      </w:tr>
      <w:tr>
        <w:trPr>
          <w:trHeight w:val="378"/>
        </w:trPr>
        <w:tc>
          <w:tcPr>
            <w:tcW w:w="480" w:type="dxa"/>
            <w:vAlign w:val="bottom"/>
          </w:tcPr>
          <w:p>
            <w:pPr>
              <w:ind w:left="20"/>
              <w:spacing w:after="0"/>
              <w:rPr>
                <w:sz w:val="20"/>
                <w:szCs w:val="20"/>
                <w:color w:val="auto"/>
              </w:rPr>
            </w:pPr>
            <w:r>
              <w:rPr>
                <w:rFonts w:ascii="Arial" w:cs="Arial" w:eastAsia="Arial" w:hAnsi="Arial"/>
                <w:sz w:val="16"/>
                <w:szCs w:val="16"/>
                <w:color w:val="auto"/>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4.1</w:t>
            </w:r>
          </w:p>
        </w:tc>
        <w:tc>
          <w:tcPr>
            <w:tcW w:w="1240" w:type="dxa"/>
            <w:vAlign w:val="bottom"/>
          </w:tcPr>
          <w:p>
            <w:pPr>
              <w:ind w:left="340"/>
              <w:spacing w:after="0"/>
              <w:rPr>
                <w:sz w:val="20"/>
                <w:szCs w:val="20"/>
                <w:color w:val="auto"/>
              </w:rPr>
            </w:pPr>
            <w:r>
              <w:rPr>
                <w:rFonts w:ascii="Arial" w:cs="Arial" w:eastAsia="Arial" w:hAnsi="Arial"/>
                <w:sz w:val="16"/>
                <w:szCs w:val="16"/>
                <w:color w:val="auto"/>
                <w:w w:val="90"/>
              </w:rPr>
              <w:t>May 14, 2019</w:t>
            </w:r>
          </w:p>
        </w:tc>
      </w:tr>
      <w:tr>
        <w:trPr>
          <w:trHeight w:val="540"/>
        </w:trPr>
        <w:tc>
          <w:tcPr>
            <w:tcW w:w="480" w:type="dxa"/>
            <w:vAlign w:val="bottom"/>
          </w:tcPr>
          <w:p>
            <w:pPr>
              <w:ind w:left="20"/>
              <w:spacing w:after="0"/>
              <w:rPr>
                <w:sz w:val="20"/>
                <w:szCs w:val="20"/>
                <w:color w:val="auto"/>
              </w:rPr>
            </w:pPr>
            <w:r>
              <w:rPr>
                <w:rFonts w:ascii="Arial" w:cs="Arial" w:eastAsia="Arial" w:hAnsi="Arial"/>
                <w:sz w:val="16"/>
                <w:szCs w:val="16"/>
                <w:color w:val="auto"/>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4.2</w:t>
            </w:r>
          </w:p>
        </w:tc>
        <w:tc>
          <w:tcPr>
            <w:tcW w:w="1240" w:type="dxa"/>
            <w:vAlign w:val="bottom"/>
          </w:tcPr>
          <w:p>
            <w:pPr>
              <w:ind w:left="340"/>
              <w:spacing w:after="0"/>
              <w:rPr>
                <w:sz w:val="20"/>
                <w:szCs w:val="20"/>
                <w:color w:val="auto"/>
              </w:rPr>
            </w:pPr>
            <w:r>
              <w:rPr>
                <w:rFonts w:ascii="Arial" w:cs="Arial" w:eastAsia="Arial" w:hAnsi="Arial"/>
                <w:sz w:val="16"/>
                <w:szCs w:val="16"/>
                <w:color w:val="auto"/>
                <w:w w:val="90"/>
              </w:rPr>
              <w:t>May 14, 2019</w:t>
            </w:r>
          </w:p>
        </w:tc>
      </w:tr>
    </w:tbl>
    <w:p>
      <w:pPr>
        <w:spacing w:after="0" w:line="171" w:lineRule="exact"/>
        <w:rPr>
          <w:rFonts w:ascii="Arial" w:cs="Arial" w:eastAsia="Arial" w:hAnsi="Arial"/>
          <w:sz w:val="16"/>
          <w:szCs w:val="16"/>
          <w:u w:val="single" w:color="auto"/>
          <w:color w:val="0000FF"/>
        </w:rPr>
      </w:pPr>
    </w:p>
    <w:p>
      <w:pPr>
        <w:sectPr>
          <w:pgSz w:w="11900" w:h="16838" w:orient="portrait"/>
          <w:cols w:equalWidth="0" w:num="3">
            <w:col w:w="600" w:space="500"/>
            <w:col w:w="4660" w:space="440"/>
            <w:col w:w="4900"/>
          </w:cols>
          <w:pgMar w:left="320" w:top="125" w:right="479" w:bottom="1440" w:gutter="0" w:footer="0" w:header="0"/>
          <w:type w:val="continuous"/>
        </w:sectPr>
      </w:pPr>
    </w:p>
    <w:p>
      <w:pPr>
        <w:ind w:left="400"/>
        <w:spacing w:after="0"/>
        <w:rPr>
          <w:rFonts w:ascii="Arial" w:cs="Arial" w:eastAsia="Arial" w:hAnsi="Arial"/>
          <w:sz w:val="14"/>
          <w:szCs w:val="14"/>
          <w:u w:val="single" w:color="auto"/>
          <w:color w:val="0000FF"/>
        </w:rPr>
      </w:pPr>
      <w:hyperlink r:id="rId162">
        <w:r>
          <w:rPr>
            <w:rFonts w:ascii="Arial" w:cs="Arial" w:eastAsia="Arial" w:hAnsi="Arial"/>
            <w:sz w:val="14"/>
            <w:szCs w:val="14"/>
            <w:u w:val="single" w:color="auto"/>
            <w:color w:val="0000FF"/>
          </w:rPr>
          <w:t>4.3</w:t>
        </w:r>
      </w:hyperlink>
    </w:p>
    <w:p>
      <w:pPr>
        <w:spacing w:after="0" w:line="55" w:lineRule="exact"/>
        <w:rPr>
          <w:rFonts w:ascii="Arial" w:cs="Arial" w:eastAsia="Arial" w:hAnsi="Arial"/>
          <w:sz w:val="16"/>
          <w:szCs w:val="16"/>
          <w:u w:val="single" w:color="auto"/>
          <w:color w:val="0000FF"/>
        </w:rPr>
      </w:pPr>
    </w:p>
    <w:p>
      <w:pPr>
        <w:ind w:left="400"/>
        <w:spacing w:after="0"/>
        <w:rPr>
          <w:rFonts w:ascii="Arial" w:cs="Arial" w:eastAsia="Arial" w:hAnsi="Arial"/>
          <w:sz w:val="14"/>
          <w:szCs w:val="14"/>
          <w:u w:val="single" w:color="auto"/>
          <w:color w:val="0000FF"/>
        </w:rPr>
      </w:pPr>
      <w:hyperlink r:id="rId163">
        <w:r>
          <w:rPr>
            <w:rFonts w:ascii="Arial" w:cs="Arial" w:eastAsia="Arial" w:hAnsi="Arial"/>
            <w:sz w:val="14"/>
            <w:szCs w:val="14"/>
            <w:u w:val="single" w:color="auto"/>
            <w:color w:val="0000FF"/>
          </w:rPr>
          <w:t>4.4</w:t>
        </w:r>
      </w:hyperlink>
    </w:p>
    <w:p>
      <w:pPr>
        <w:spacing w:after="0" w:line="150" w:lineRule="exact"/>
        <w:rPr>
          <w:rFonts w:ascii="Arial" w:cs="Arial" w:eastAsia="Arial" w:hAnsi="Arial"/>
          <w:sz w:val="16"/>
          <w:szCs w:val="16"/>
          <w:u w:val="single" w:color="auto"/>
          <w:color w:val="0000FF"/>
        </w:rPr>
      </w:pPr>
    </w:p>
    <w:p>
      <w:pPr>
        <w:ind w:left="400"/>
        <w:spacing w:after="0"/>
        <w:rPr>
          <w:rFonts w:ascii="Arial" w:cs="Arial" w:eastAsia="Arial" w:hAnsi="Arial"/>
          <w:sz w:val="14"/>
          <w:szCs w:val="14"/>
          <w:u w:val="single" w:color="auto"/>
          <w:color w:val="0000FF"/>
        </w:rPr>
      </w:pPr>
      <w:hyperlink r:id="rId164">
        <w:r>
          <w:rPr>
            <w:rFonts w:ascii="Arial" w:cs="Arial" w:eastAsia="Arial" w:hAnsi="Arial"/>
            <w:sz w:val="14"/>
            <w:szCs w:val="14"/>
            <w:u w:val="single" w:color="auto"/>
            <w:color w:val="0000FF"/>
          </w:rPr>
          <w:t>4.5</w:t>
        </w:r>
      </w:hyperlink>
    </w:p>
    <w:p>
      <w:pPr>
        <w:spacing w:after="0" w:line="325" w:lineRule="exact"/>
        <w:rPr>
          <w:rFonts w:ascii="Arial" w:cs="Arial" w:eastAsia="Arial" w:hAnsi="Arial"/>
          <w:sz w:val="16"/>
          <w:szCs w:val="16"/>
          <w:u w:val="single" w:color="auto"/>
          <w:color w:val="0000FF"/>
        </w:rPr>
      </w:pPr>
    </w:p>
    <w:p>
      <w:pPr>
        <w:ind w:left="400"/>
        <w:spacing w:after="0"/>
        <w:rPr>
          <w:rFonts w:ascii="Arial" w:cs="Arial" w:eastAsia="Arial" w:hAnsi="Arial"/>
          <w:sz w:val="14"/>
          <w:szCs w:val="14"/>
          <w:u w:val="single" w:color="auto"/>
          <w:color w:val="0000FF"/>
        </w:rPr>
      </w:pPr>
      <w:hyperlink r:id="rId165">
        <w:r>
          <w:rPr>
            <w:rFonts w:ascii="Arial" w:cs="Arial" w:eastAsia="Arial" w:hAnsi="Arial"/>
            <w:sz w:val="14"/>
            <w:szCs w:val="14"/>
            <w:u w:val="single" w:color="auto"/>
            <w:color w:val="0000FF"/>
          </w:rPr>
          <w:t>4.6</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Class A common stock certificate of the Registrant.</w:t>
        </w:r>
      </w:hyperlink>
    </w:p>
    <w:p>
      <w:pPr>
        <w:spacing w:after="0" w:line="32"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63">
        <w:r>
          <w:rPr>
            <w:rFonts w:ascii="Arial" w:cs="Arial" w:eastAsia="Arial" w:hAnsi="Arial"/>
            <w:sz w:val="16"/>
            <w:szCs w:val="16"/>
            <w:u w:val="single" w:color="auto"/>
            <w:color w:val="0000FF"/>
          </w:rPr>
          <w:t>Description of Registrant’s securities.</w:t>
        </w:r>
      </w:hyperlink>
    </w:p>
    <w:p>
      <w:pPr>
        <w:spacing w:after="0" w:line="32" w:lineRule="exact"/>
        <w:rPr>
          <w:rFonts w:ascii="Arial" w:cs="Arial" w:eastAsia="Arial" w:hAnsi="Arial"/>
          <w:sz w:val="16"/>
          <w:szCs w:val="16"/>
          <w:u w:val="single" w:color="auto"/>
          <w:color w:val="0000FF"/>
        </w:rPr>
      </w:pPr>
    </w:p>
    <w:p>
      <w:pPr>
        <w:spacing w:after="0" w:line="258" w:lineRule="auto"/>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Indenture dated as of January 20, 2021, between CrowdStrike Holdings,</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Inc. and U.S. Bank National Association, as trustee</w:t>
        </w:r>
      </w:hyperlink>
    </w:p>
    <w:p>
      <w:pPr>
        <w:spacing w:after="0" w:line="9" w:lineRule="exact"/>
        <w:rPr>
          <w:sz w:val="20"/>
          <w:szCs w:val="20"/>
          <w:color w:val="auto"/>
        </w:rPr>
      </w:pPr>
    </w:p>
    <w:p>
      <w:pPr>
        <w:jc w:val="both"/>
        <w:ind w:right="220"/>
        <w:spacing w:after="0" w:line="243" w:lineRule="auto"/>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First Supplemental Indenture, dated as of January 20, 2021, between</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CrowdStrike Holdings, Inc. and U.S. Bank National Association, as</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trustee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4.3</w:t>
            </w:r>
          </w:p>
        </w:tc>
        <w:tc>
          <w:tcPr>
            <w:tcW w:w="1380" w:type="dxa"/>
            <w:vAlign w:val="bottom"/>
          </w:tcPr>
          <w:p>
            <w:pPr>
              <w:jc w:val="center"/>
              <w:ind w:left="199"/>
              <w:spacing w:after="0"/>
              <w:rPr>
                <w:sz w:val="20"/>
                <w:szCs w:val="20"/>
                <w:color w:val="auto"/>
              </w:rPr>
            </w:pPr>
            <w:r>
              <w:rPr>
                <w:rFonts w:ascii="Arial" w:cs="Arial" w:eastAsia="Arial" w:hAnsi="Arial"/>
                <w:sz w:val="16"/>
                <w:szCs w:val="16"/>
                <w:color w:val="auto"/>
                <w:w w:val="92"/>
              </w:rPr>
              <w:t>May 29, 2019</w:t>
            </w:r>
          </w:p>
        </w:tc>
      </w:tr>
      <w:tr>
        <w:trPr>
          <w:trHeight w:val="21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4.4</w:t>
            </w:r>
          </w:p>
        </w:tc>
        <w:tc>
          <w:tcPr>
            <w:tcW w:w="1380" w:type="dxa"/>
            <w:vAlign w:val="bottom"/>
          </w:tcPr>
          <w:p>
            <w:pPr>
              <w:jc w:val="center"/>
              <w:ind w:left="199"/>
              <w:spacing w:after="0"/>
              <w:rPr>
                <w:sz w:val="20"/>
                <w:szCs w:val="20"/>
                <w:color w:val="auto"/>
              </w:rPr>
            </w:pPr>
            <w:r>
              <w:rPr>
                <w:rFonts w:ascii="Arial" w:cs="Arial" w:eastAsia="Arial" w:hAnsi="Arial"/>
                <w:sz w:val="16"/>
                <w:szCs w:val="16"/>
                <w:color w:val="auto"/>
                <w:w w:val="91"/>
              </w:rPr>
              <w:t>March 23, 2020</w:t>
            </w:r>
          </w:p>
        </w:tc>
      </w:tr>
      <w:tr>
        <w:trPr>
          <w:trHeight w:val="310"/>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4.1</w:t>
            </w:r>
          </w:p>
        </w:tc>
        <w:tc>
          <w:tcPr>
            <w:tcW w:w="1380" w:type="dxa"/>
            <w:vAlign w:val="bottom"/>
          </w:tcPr>
          <w:p>
            <w:pPr>
              <w:jc w:val="center"/>
              <w:ind w:left="179"/>
              <w:spacing w:after="0"/>
              <w:rPr>
                <w:sz w:val="20"/>
                <w:szCs w:val="20"/>
                <w:color w:val="auto"/>
              </w:rPr>
            </w:pPr>
            <w:r>
              <w:rPr>
                <w:rFonts w:ascii="Arial" w:cs="Arial" w:eastAsia="Arial" w:hAnsi="Arial"/>
                <w:sz w:val="16"/>
                <w:szCs w:val="16"/>
                <w:color w:val="auto"/>
                <w:w w:val="90"/>
              </w:rPr>
              <w:t>January 20, 2021</w:t>
            </w:r>
          </w:p>
        </w:tc>
      </w:tr>
      <w:tr>
        <w:trPr>
          <w:trHeight w:val="48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4.2</w:t>
            </w:r>
          </w:p>
        </w:tc>
        <w:tc>
          <w:tcPr>
            <w:tcW w:w="1380" w:type="dxa"/>
            <w:vAlign w:val="bottom"/>
          </w:tcPr>
          <w:p>
            <w:pPr>
              <w:jc w:val="center"/>
              <w:ind w:left="179"/>
              <w:spacing w:after="0"/>
              <w:rPr>
                <w:sz w:val="20"/>
                <w:szCs w:val="20"/>
                <w:color w:val="auto"/>
              </w:rPr>
            </w:pPr>
            <w:r>
              <w:rPr>
                <w:rFonts w:ascii="Arial" w:cs="Arial" w:eastAsia="Arial" w:hAnsi="Arial"/>
                <w:sz w:val="16"/>
                <w:szCs w:val="16"/>
                <w:color w:val="auto"/>
                <w:w w:val="90"/>
              </w:rPr>
              <w:t>January 20, 2021</w:t>
            </w:r>
          </w:p>
        </w:tc>
      </w:tr>
    </w:tbl>
    <w:p>
      <w:pPr>
        <w:spacing w:after="0" w:line="199" w:lineRule="exact"/>
        <w:rPr>
          <w:rFonts w:ascii="Arial" w:cs="Arial" w:eastAsia="Arial" w:hAnsi="Arial"/>
          <w:sz w:val="16"/>
          <w:szCs w:val="16"/>
          <w:u w:val="single" w:color="auto"/>
          <w:color w:val="0000FF"/>
        </w:rPr>
      </w:pPr>
    </w:p>
    <w:p>
      <w:pPr>
        <w:sectPr>
          <w:pgSz w:w="11900" w:h="16838" w:orient="portrait"/>
          <w:cols w:equalWidth="0" w:num="3">
            <w:col w:w="600" w:space="500"/>
            <w:col w:w="4680" w:space="360"/>
            <w:col w:w="4960"/>
          </w:cols>
          <w:pgMar w:left="320" w:top="125" w:right="479" w:bottom="1440" w:gutter="0" w:footer="0" w:header="0"/>
          <w:type w:val="continuous"/>
        </w:sectPr>
      </w:pPr>
    </w:p>
    <w:tbl>
      <w:tblPr>
        <w:tblLayout w:type="fixed"/>
        <w:tblInd w:w="280" w:type="dxa"/>
        <w:tblCellMar>
          <w:top w:w="0" w:type="dxa"/>
          <w:left w:w="0" w:type="dxa"/>
          <w:bottom w:w="0" w:type="dxa"/>
          <w:right w:w="0" w:type="dxa"/>
        </w:tblCellMar>
      </w:tblPr>
      <w:tr>
        <w:trPr>
          <w:trHeight w:val="206"/>
        </w:trPr>
        <w:tc>
          <w:tcPr>
            <w:tcW w:w="320" w:type="dxa"/>
            <w:vAlign w:val="bottom"/>
          </w:tcPr>
          <w:p>
            <w:pPr>
              <w:jc w:val="center"/>
              <w:ind w:left="39"/>
              <w:spacing w:after="0"/>
              <w:rPr>
                <w:rFonts w:ascii="Arial" w:cs="Arial" w:eastAsia="Arial" w:hAnsi="Arial"/>
                <w:sz w:val="16"/>
                <w:szCs w:val="16"/>
                <w:u w:val="single" w:color="auto"/>
                <w:color w:val="0000FF"/>
                <w:w w:val="89"/>
              </w:rPr>
            </w:pPr>
            <w:hyperlink r:id="rId165">
              <w:r>
                <w:rPr>
                  <w:rFonts w:ascii="Arial" w:cs="Arial" w:eastAsia="Arial" w:hAnsi="Arial"/>
                  <w:sz w:val="16"/>
                  <w:szCs w:val="16"/>
                  <w:u w:val="single" w:color="auto"/>
                  <w:color w:val="0000FF"/>
                  <w:w w:val="89"/>
                </w:rPr>
                <w:t>4.7</w:t>
              </w:r>
            </w:hyperlink>
          </w:p>
        </w:tc>
        <w:tc>
          <w:tcPr>
            <w:tcW w:w="500" w:type="dxa"/>
            <w:vAlign w:val="bottom"/>
          </w:tcPr>
          <w:p>
            <w:pPr>
              <w:spacing w:after="0"/>
              <w:rPr>
                <w:sz w:val="17"/>
                <w:szCs w:val="17"/>
                <w:color w:val="auto"/>
              </w:rPr>
            </w:pPr>
          </w:p>
        </w:tc>
        <w:tc>
          <w:tcPr>
            <w:tcW w:w="4840" w:type="dxa"/>
            <w:vAlign w:val="bottom"/>
            <w:gridSpan w:val="19"/>
          </w:tcPr>
          <w:p>
            <w:pPr>
              <w:spacing w:after="0"/>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Form of 3.000% Senior Notes due 2029 (included in Exhibit 4.9)</w:t>
              </w:r>
            </w:hyperlink>
          </w:p>
        </w:tc>
        <w:tc>
          <w:tcPr>
            <w:tcW w:w="0" w:type="dxa"/>
            <w:vAlign w:val="bottom"/>
          </w:tcPr>
          <w:p>
            <w:pPr>
              <w:spacing w:after="0"/>
              <w:rPr>
                <w:sz w:val="1"/>
                <w:szCs w:val="1"/>
                <w:color w:val="auto"/>
              </w:rPr>
            </w:pPr>
          </w:p>
        </w:tc>
      </w:tr>
      <w:tr>
        <w:trPr>
          <w:trHeight w:val="195"/>
        </w:trPr>
        <w:tc>
          <w:tcPr>
            <w:tcW w:w="320" w:type="dxa"/>
            <w:vAlign w:val="bottom"/>
            <w:vMerge w:val="restart"/>
          </w:tcPr>
          <w:p>
            <w:pPr>
              <w:jc w:val="right"/>
              <w:spacing w:after="0"/>
              <w:rPr>
                <w:rFonts w:ascii="Arial" w:cs="Arial" w:eastAsia="Arial" w:hAnsi="Arial"/>
                <w:sz w:val="16"/>
                <w:szCs w:val="16"/>
                <w:u w:val="single" w:color="auto"/>
                <w:color w:val="0000FF"/>
                <w:w w:val="96"/>
              </w:rPr>
            </w:pPr>
            <w:hyperlink r:id="rId166">
              <w:r>
                <w:rPr>
                  <w:rFonts w:ascii="Arial" w:cs="Arial" w:eastAsia="Arial" w:hAnsi="Arial"/>
                  <w:sz w:val="16"/>
                  <w:szCs w:val="16"/>
                  <w:u w:val="single" w:color="auto"/>
                  <w:color w:val="0000FF"/>
                  <w:w w:val="96"/>
                </w:rPr>
                <w:t>10.1</w:t>
              </w:r>
            </w:hyperlink>
          </w:p>
        </w:tc>
        <w:tc>
          <w:tcPr>
            <w:tcW w:w="500" w:type="dxa"/>
            <w:vAlign w:val="bottom"/>
          </w:tcPr>
          <w:p>
            <w:pPr>
              <w:spacing w:after="0"/>
              <w:rPr>
                <w:rFonts w:ascii="Arial" w:cs="Arial" w:eastAsia="Arial" w:hAnsi="Arial"/>
                <w:sz w:val="11"/>
                <w:szCs w:val="11"/>
                <w:u w:val="single" w:color="auto"/>
                <w:color w:val="0000FF"/>
              </w:rPr>
            </w:pPr>
            <w:hyperlink r:id="rId166">
              <w:r>
                <w:rPr>
                  <w:rFonts w:ascii="Arial" w:cs="Arial" w:eastAsia="Arial" w:hAnsi="Arial"/>
                  <w:sz w:val="11"/>
                  <w:szCs w:val="11"/>
                  <w:u w:val="single" w:color="auto"/>
                  <w:color w:val="0000FF"/>
                </w:rPr>
                <w:t>†</w:t>
              </w:r>
            </w:hyperlink>
          </w:p>
        </w:tc>
        <w:tc>
          <w:tcPr>
            <w:tcW w:w="4840" w:type="dxa"/>
            <w:vAlign w:val="bottom"/>
            <w:gridSpan w:val="19"/>
          </w:tcPr>
          <w:p>
            <w:pPr>
              <w:spacing w:after="0"/>
              <w:rPr>
                <w:rFonts w:ascii="Arial" w:cs="Arial" w:eastAsia="Arial" w:hAnsi="Arial"/>
                <w:sz w:val="16"/>
                <w:szCs w:val="16"/>
                <w:color w:val="0000FF"/>
                <w:w w:val="95"/>
              </w:rPr>
            </w:pPr>
            <w:hyperlink r:id="rId166">
              <w:r>
                <w:rPr>
                  <w:rFonts w:ascii="Arial" w:cs="Arial" w:eastAsia="Arial" w:hAnsi="Arial"/>
                  <w:sz w:val="16"/>
                  <w:szCs w:val="16"/>
                  <w:color w:val="0000FF"/>
                  <w:w w:val="95"/>
                </w:rPr>
                <w:t>Form of Indemnification Agreement between the Registrant and each of</w:t>
              </w:r>
            </w:hyperlink>
          </w:p>
        </w:tc>
        <w:tc>
          <w:tcPr>
            <w:tcW w:w="0" w:type="dxa"/>
            <w:vAlign w:val="bottom"/>
          </w:tcPr>
          <w:p>
            <w:pPr>
              <w:spacing w:after="0"/>
              <w:rPr>
                <w:sz w:val="1"/>
                <w:szCs w:val="1"/>
                <w:color w:val="auto"/>
              </w:rPr>
            </w:pPr>
          </w:p>
        </w:tc>
      </w:tr>
      <w:tr>
        <w:trPr>
          <w:trHeight w:val="96"/>
        </w:trPr>
        <w:tc>
          <w:tcPr>
            <w:tcW w:w="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280" w:type="dxa"/>
            <w:vAlign w:val="bottom"/>
            <w:tcBorders>
              <w:top w:val="single" w:sz="8" w:color="0000FF"/>
            </w:tcBorders>
            <w:gridSpan w:val="8"/>
            <w:vMerge w:val="restart"/>
          </w:tcPr>
          <w:p>
            <w:pPr>
              <w:spacing w:after="0" w:line="142" w:lineRule="exact"/>
              <w:rPr>
                <w:rFonts w:ascii="Arial" w:cs="Arial" w:eastAsia="Arial" w:hAnsi="Arial"/>
                <w:sz w:val="16"/>
                <w:szCs w:val="16"/>
                <w:color w:val="0000FF"/>
                <w:w w:val="92"/>
              </w:rPr>
            </w:pPr>
            <w:hyperlink r:id="rId166">
              <w:r>
                <w:rPr>
                  <w:rFonts w:ascii="Arial" w:cs="Arial" w:eastAsia="Arial" w:hAnsi="Arial"/>
                  <w:sz w:val="16"/>
                  <w:szCs w:val="16"/>
                  <w:color w:val="0000FF"/>
                  <w:w w:val="92"/>
                </w:rPr>
                <w:t>its directors and executive officers.</w:t>
              </w:r>
            </w:hyperlink>
          </w:p>
        </w:tc>
        <w:tc>
          <w:tcPr>
            <w:tcW w:w="2400" w:type="dxa"/>
            <w:vAlign w:val="bottom"/>
            <w:tcBorders>
              <w:top w:val="single" w:sz="8" w:color="0000FF"/>
            </w:tcBorders>
            <w:gridSpan w:val="7"/>
            <w:vMerge w:val="restart"/>
          </w:tcPr>
          <w:p>
            <w:pPr>
              <w:spacing w:after="0"/>
              <w:rPr>
                <w:sz w:val="8"/>
                <w:szCs w:val="8"/>
                <w:color w:val="auto"/>
              </w:rPr>
            </w:pPr>
          </w:p>
        </w:tc>
        <w:tc>
          <w:tcPr>
            <w:tcW w:w="160" w:type="dxa"/>
            <w:vAlign w:val="bottom"/>
            <w:gridSpan w:val="4"/>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820" w:type="dxa"/>
            <w:vAlign w:val="bottom"/>
            <w:gridSpan w:val="2"/>
            <w:vMerge w:val="restart"/>
          </w:tcPr>
          <w:p>
            <w:pPr>
              <w:jc w:val="center"/>
              <w:ind w:right="347"/>
              <w:spacing w:after="0"/>
              <w:rPr>
                <w:rFonts w:ascii="Arial" w:cs="Arial" w:eastAsia="Arial" w:hAnsi="Arial"/>
                <w:sz w:val="16"/>
                <w:szCs w:val="16"/>
                <w:u w:val="single" w:color="auto"/>
                <w:color w:val="0000FF"/>
                <w:w w:val="87"/>
              </w:rPr>
            </w:pPr>
            <w:hyperlink r:id="rId167">
              <w:r>
                <w:rPr>
                  <w:rFonts w:ascii="Arial" w:cs="Arial" w:eastAsia="Arial" w:hAnsi="Arial"/>
                  <w:sz w:val="16"/>
                  <w:szCs w:val="16"/>
                  <w:u w:val="single" w:color="auto"/>
                  <w:color w:val="0000FF"/>
                  <w:w w:val="87"/>
                </w:rPr>
                <w:t>10.2</w:t>
              </w:r>
              <w:r>
                <w:rPr>
                  <w:rFonts w:ascii="Arial" w:cs="Arial" w:eastAsia="Arial" w:hAnsi="Arial"/>
                  <w:sz w:val="21"/>
                  <w:szCs w:val="21"/>
                  <w:u w:val="single" w:color="auto"/>
                  <w:color w:val="0000FF"/>
                  <w:w w:val="87"/>
                  <w:vertAlign w:val="superscript"/>
                </w:rPr>
                <w:t>†</w:t>
              </w:r>
            </w:hyperlink>
          </w:p>
        </w:tc>
        <w:tc>
          <w:tcPr>
            <w:tcW w:w="2280" w:type="dxa"/>
            <w:vAlign w:val="bottom"/>
            <w:tcBorders>
              <w:bottom w:val="single" w:sz="8" w:color="0000FF"/>
            </w:tcBorders>
            <w:gridSpan w:val="8"/>
            <w:vMerge w:val="continue"/>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820" w:type="dxa"/>
            <w:vAlign w:val="bottom"/>
            <w:gridSpan w:val="2"/>
            <w:vMerge w:val="continue"/>
          </w:tcPr>
          <w:p>
            <w:pPr>
              <w:spacing w:after="0"/>
              <w:rPr>
                <w:sz w:val="20"/>
                <w:szCs w:val="20"/>
                <w:color w:val="auto"/>
              </w:rPr>
            </w:pPr>
          </w:p>
        </w:tc>
        <w:tc>
          <w:tcPr>
            <w:tcW w:w="4840" w:type="dxa"/>
            <w:vAlign w:val="bottom"/>
            <w:gridSpan w:val="19"/>
          </w:tcPr>
          <w:p>
            <w:pPr>
              <w:spacing w:after="0"/>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2019 Equity Incentive Plan and related form agreement.</w:t>
              </w:r>
            </w:hyperlink>
          </w:p>
        </w:tc>
        <w:tc>
          <w:tcPr>
            <w:tcW w:w="0" w:type="dxa"/>
            <w:vAlign w:val="bottom"/>
          </w:tcPr>
          <w:p>
            <w:pPr>
              <w:spacing w:after="0"/>
              <w:rPr>
                <w:sz w:val="1"/>
                <w:szCs w:val="1"/>
                <w:color w:val="auto"/>
              </w:rPr>
            </w:pPr>
          </w:p>
        </w:tc>
      </w:tr>
      <w:tr>
        <w:trPr>
          <w:trHeight w:val="172"/>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68">
              <w:r>
                <w:rPr>
                  <w:rFonts w:ascii="Arial" w:cs="Arial" w:eastAsia="Arial" w:hAnsi="Arial"/>
                  <w:sz w:val="16"/>
                  <w:szCs w:val="16"/>
                  <w:u w:val="single" w:color="auto"/>
                  <w:color w:val="0000FF"/>
                  <w:w w:val="89"/>
                </w:rPr>
                <w:t>10.3</w:t>
              </w:r>
            </w:hyperlink>
          </w:p>
        </w:tc>
        <w:tc>
          <w:tcPr>
            <w:tcW w:w="4520" w:type="dxa"/>
            <w:vAlign w:val="bottom"/>
            <w:tcBorders>
              <w:bottom w:val="single" w:sz="8" w:color="0000FF"/>
            </w:tcBorders>
            <w:gridSpan w:val="12"/>
          </w:tcPr>
          <w:p>
            <w:pPr>
              <w:spacing w:after="0" w:line="172" w:lineRule="exact"/>
              <w:rPr>
                <w:rFonts w:ascii="Arial" w:cs="Arial" w:eastAsia="Arial" w:hAnsi="Arial"/>
                <w:sz w:val="16"/>
                <w:szCs w:val="16"/>
                <w:color w:val="0000FF"/>
                <w:w w:val="93"/>
              </w:rPr>
            </w:pPr>
            <w:hyperlink r:id="rId168">
              <w:r>
                <w:rPr>
                  <w:rFonts w:ascii="Arial" w:cs="Arial" w:eastAsia="Arial" w:hAnsi="Arial"/>
                  <w:sz w:val="16"/>
                  <w:szCs w:val="16"/>
                  <w:color w:val="0000FF"/>
                  <w:w w:val="93"/>
                </w:rPr>
                <w:t>Form of Global Restricted Stock Unit Agreement Outside Directors –</w:t>
              </w:r>
            </w:hyperlink>
          </w:p>
        </w:tc>
        <w:tc>
          <w:tcPr>
            <w:tcW w:w="3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20" w:type="dxa"/>
            <w:vAlign w:val="bottom"/>
            <w:gridSpan w:val="2"/>
            <w:vMerge w:val="continue"/>
          </w:tcPr>
          <w:p>
            <w:pPr>
              <w:spacing w:after="0"/>
              <w:rPr>
                <w:sz w:val="8"/>
                <w:szCs w:val="8"/>
                <w:color w:val="auto"/>
              </w:rPr>
            </w:pPr>
          </w:p>
        </w:tc>
        <w:tc>
          <w:tcPr>
            <w:tcW w:w="4840" w:type="dxa"/>
            <w:vAlign w:val="bottom"/>
            <w:gridSpan w:val="19"/>
            <w:vMerge w:val="restart"/>
          </w:tcPr>
          <w:p>
            <w:pPr>
              <w:spacing w:after="0"/>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Annual Grant under the Company’s 2019 Equity Incentive Plan</w:t>
              </w:r>
            </w:hyperlink>
          </w:p>
        </w:tc>
        <w:tc>
          <w:tcPr>
            <w:tcW w:w="0" w:type="dxa"/>
            <w:vAlign w:val="bottom"/>
          </w:tcPr>
          <w:p>
            <w:pPr>
              <w:spacing w:after="0"/>
              <w:rPr>
                <w:sz w:val="1"/>
                <w:szCs w:val="1"/>
                <w:color w:val="auto"/>
              </w:rPr>
            </w:pPr>
          </w:p>
        </w:tc>
      </w:tr>
      <w:tr>
        <w:trPr>
          <w:trHeight w:val="91"/>
        </w:trPr>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40" w:type="dxa"/>
            <w:vAlign w:val="bottom"/>
            <w:gridSpan w:val="1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w:anchor="page139">
              <w:r>
                <w:rPr>
                  <w:rFonts w:ascii="Arial" w:cs="Arial" w:eastAsia="Arial" w:hAnsi="Arial"/>
                  <w:sz w:val="16"/>
                  <w:szCs w:val="16"/>
                  <w:u w:val="single" w:color="auto"/>
                  <w:color w:val="0000FF"/>
                  <w:w w:val="89"/>
                </w:rPr>
                <w:t>10.4</w:t>
              </w:r>
            </w:hyperlink>
          </w:p>
        </w:tc>
        <w:tc>
          <w:tcPr>
            <w:tcW w:w="4520" w:type="dxa"/>
            <w:vAlign w:val="bottom"/>
            <w:tcBorders>
              <w:bottom w:val="single" w:sz="8" w:color="0000FF"/>
            </w:tcBorders>
            <w:gridSpan w:val="12"/>
          </w:tcPr>
          <w:p>
            <w:pPr>
              <w:spacing w:after="0" w:line="172" w:lineRule="exact"/>
              <w:rPr>
                <w:rFonts w:ascii="Arial" w:cs="Arial" w:eastAsia="Arial" w:hAnsi="Arial"/>
                <w:sz w:val="16"/>
                <w:szCs w:val="16"/>
                <w:color w:val="0000FF"/>
                <w:w w:val="93"/>
              </w:rPr>
            </w:pPr>
            <w:hyperlink w:anchor="page139">
              <w:r>
                <w:rPr>
                  <w:rFonts w:ascii="Arial" w:cs="Arial" w:eastAsia="Arial" w:hAnsi="Arial"/>
                  <w:sz w:val="16"/>
                  <w:szCs w:val="16"/>
                  <w:color w:val="0000FF"/>
                  <w:w w:val="93"/>
                </w:rPr>
                <w:t>Form of Global Restricted Stock Unit Agreement Outside Directors –</w:t>
              </w:r>
            </w:hyperlink>
          </w:p>
        </w:tc>
        <w:tc>
          <w:tcPr>
            <w:tcW w:w="3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20" w:type="dxa"/>
            <w:vAlign w:val="bottom"/>
            <w:gridSpan w:val="2"/>
            <w:vMerge w:val="continue"/>
          </w:tcPr>
          <w:p>
            <w:pPr>
              <w:spacing w:after="0"/>
              <w:rPr>
                <w:sz w:val="8"/>
                <w:szCs w:val="8"/>
                <w:color w:val="auto"/>
              </w:rPr>
            </w:pPr>
          </w:p>
        </w:tc>
        <w:tc>
          <w:tcPr>
            <w:tcW w:w="4840" w:type="dxa"/>
            <w:vAlign w:val="bottom"/>
            <w:gridSpan w:val="19"/>
            <w:vMerge w:val="restart"/>
          </w:tcPr>
          <w:p>
            <w:pPr>
              <w:spacing w:after="0"/>
              <w:rPr>
                <w:rFonts w:ascii="Arial" w:cs="Arial" w:eastAsia="Arial" w:hAnsi="Arial"/>
                <w:sz w:val="16"/>
                <w:szCs w:val="16"/>
                <w:u w:val="single" w:color="auto"/>
                <w:color w:val="0000FF"/>
              </w:rPr>
            </w:pPr>
            <w:hyperlink w:anchor="page139">
              <w:r>
                <w:rPr>
                  <w:rFonts w:ascii="Arial" w:cs="Arial" w:eastAsia="Arial" w:hAnsi="Arial"/>
                  <w:sz w:val="16"/>
                  <w:szCs w:val="16"/>
                  <w:u w:val="single" w:color="auto"/>
                  <w:color w:val="0000FF"/>
                </w:rPr>
                <w:t>Initial Grant under the Company’s 2019 Equity Incentive Plan</w:t>
              </w:r>
            </w:hyperlink>
          </w:p>
        </w:tc>
        <w:tc>
          <w:tcPr>
            <w:tcW w:w="0" w:type="dxa"/>
            <w:vAlign w:val="bottom"/>
          </w:tcPr>
          <w:p>
            <w:pPr>
              <w:spacing w:after="0"/>
              <w:rPr>
                <w:sz w:val="1"/>
                <w:szCs w:val="1"/>
                <w:color w:val="auto"/>
              </w:rPr>
            </w:pPr>
          </w:p>
        </w:tc>
      </w:tr>
      <w:tr>
        <w:trPr>
          <w:trHeight w:val="91"/>
        </w:trPr>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40" w:type="dxa"/>
            <w:vAlign w:val="bottom"/>
            <w:gridSpan w:val="1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69">
              <w:r>
                <w:rPr>
                  <w:rFonts w:ascii="Arial" w:cs="Arial" w:eastAsia="Arial" w:hAnsi="Arial"/>
                  <w:sz w:val="16"/>
                  <w:szCs w:val="16"/>
                  <w:u w:val="single" w:color="auto"/>
                  <w:color w:val="0000FF"/>
                  <w:w w:val="89"/>
                </w:rPr>
                <w:t>10.5</w:t>
              </w:r>
            </w:hyperlink>
          </w:p>
        </w:tc>
        <w:tc>
          <w:tcPr>
            <w:tcW w:w="4840" w:type="dxa"/>
            <w:vAlign w:val="bottom"/>
            <w:gridSpan w:val="19"/>
          </w:tcPr>
          <w:p>
            <w:pPr>
              <w:spacing w:after="0" w:line="172" w:lineRule="exact"/>
              <w:rPr>
                <w:rFonts w:ascii="Arial" w:cs="Arial" w:eastAsia="Arial" w:hAnsi="Arial"/>
                <w:sz w:val="16"/>
                <w:szCs w:val="16"/>
                <w:color w:val="0000FF"/>
              </w:rPr>
            </w:pPr>
            <w:hyperlink r:id="rId169">
              <w:r>
                <w:rPr>
                  <w:rFonts w:ascii="Arial" w:cs="Arial" w:eastAsia="Arial" w:hAnsi="Arial"/>
                  <w:sz w:val="16"/>
                  <w:szCs w:val="16"/>
                  <w:color w:val="0000FF"/>
                </w:rPr>
                <w:t>CrowdStrike Holdings, Inc. 2019 Equity Incentive Plan Global</w:t>
              </w:r>
            </w:hyperlink>
          </w:p>
        </w:tc>
        <w:tc>
          <w:tcPr>
            <w:tcW w:w="0" w:type="dxa"/>
            <w:vAlign w:val="bottom"/>
          </w:tcPr>
          <w:p>
            <w:pPr>
              <w:spacing w:after="0"/>
              <w:rPr>
                <w:sz w:val="1"/>
                <w:szCs w:val="1"/>
                <w:color w:val="auto"/>
              </w:rPr>
            </w:pPr>
          </w:p>
        </w:tc>
      </w:tr>
      <w:tr>
        <w:trPr>
          <w:trHeight w:val="95"/>
        </w:trPr>
        <w:tc>
          <w:tcPr>
            <w:tcW w:w="820" w:type="dxa"/>
            <w:vAlign w:val="bottom"/>
            <w:gridSpan w:val="2"/>
            <w:vMerge w:val="continue"/>
          </w:tcPr>
          <w:p>
            <w:pPr>
              <w:spacing w:after="0"/>
              <w:rPr>
                <w:sz w:val="8"/>
                <w:szCs w:val="8"/>
                <w:color w:val="auto"/>
              </w:rPr>
            </w:pPr>
          </w:p>
        </w:tc>
        <w:tc>
          <w:tcPr>
            <w:tcW w:w="4080" w:type="dxa"/>
            <w:vAlign w:val="bottom"/>
            <w:tcBorders>
              <w:top w:val="single" w:sz="8" w:color="0000FF"/>
            </w:tcBorders>
            <w:gridSpan w:val="9"/>
            <w:vMerge w:val="restart"/>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Performance Unit Agreement</w:t>
              </w:r>
            </w:hyperlink>
          </w:p>
        </w:tc>
        <w:tc>
          <w:tcPr>
            <w:tcW w:w="760" w:type="dxa"/>
            <w:vAlign w:val="bottom"/>
            <w:gridSpan w:val="10"/>
            <w:vMerge w:val="restart"/>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80" w:type="dxa"/>
            <w:vAlign w:val="bottom"/>
            <w:gridSpan w:val="9"/>
            <w:vMerge w:val="continue"/>
          </w:tcPr>
          <w:p>
            <w:pPr>
              <w:spacing w:after="0"/>
              <w:rPr>
                <w:sz w:val="4"/>
                <w:szCs w:val="4"/>
                <w:color w:val="auto"/>
              </w:rPr>
            </w:pPr>
          </w:p>
        </w:tc>
        <w:tc>
          <w:tcPr>
            <w:tcW w:w="76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70">
              <w:r>
                <w:rPr>
                  <w:rFonts w:ascii="Arial" w:cs="Arial" w:eastAsia="Arial" w:hAnsi="Arial"/>
                  <w:sz w:val="16"/>
                  <w:szCs w:val="16"/>
                  <w:u w:val="single" w:color="auto"/>
                  <w:color w:val="0000FF"/>
                  <w:w w:val="89"/>
                </w:rPr>
                <w:t>10.6†</w:t>
              </w:r>
            </w:hyperlink>
          </w:p>
        </w:tc>
        <w:tc>
          <w:tcPr>
            <w:tcW w:w="4360" w:type="dxa"/>
            <w:vAlign w:val="bottom"/>
            <w:tcBorders>
              <w:bottom w:val="single" w:sz="8" w:color="0000FF"/>
            </w:tcBorders>
            <w:gridSpan w:val="10"/>
          </w:tcPr>
          <w:p>
            <w:pPr>
              <w:spacing w:after="0"/>
              <w:rPr>
                <w:rFonts w:ascii="Arial" w:cs="Arial" w:eastAsia="Arial" w:hAnsi="Arial"/>
                <w:sz w:val="16"/>
                <w:szCs w:val="16"/>
                <w:color w:val="0000FF"/>
                <w:w w:val="90"/>
              </w:rPr>
            </w:pPr>
            <w:hyperlink r:id="rId170">
              <w:r>
                <w:rPr>
                  <w:rFonts w:ascii="Arial" w:cs="Arial" w:eastAsia="Arial" w:hAnsi="Arial"/>
                  <w:sz w:val="16"/>
                  <w:szCs w:val="16"/>
                  <w:color w:val="0000FF"/>
                  <w:w w:val="90"/>
                </w:rPr>
                <w:t>Amended and Restated 2011 Stock Incentive Plan and related form</w:t>
              </w:r>
            </w:hyperlink>
          </w:p>
        </w:tc>
        <w:tc>
          <w:tcPr>
            <w:tcW w:w="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820" w:type="dxa"/>
            <w:vAlign w:val="bottom"/>
            <w:gridSpan w:val="2"/>
            <w:vMerge w:val="continue"/>
          </w:tcPr>
          <w:p>
            <w:pPr>
              <w:spacing w:after="0"/>
              <w:rPr>
                <w:sz w:val="8"/>
                <w:szCs w:val="8"/>
                <w:color w:val="auto"/>
              </w:rPr>
            </w:pPr>
          </w:p>
        </w:tc>
        <w:tc>
          <w:tcPr>
            <w:tcW w:w="4840" w:type="dxa"/>
            <w:vAlign w:val="bottom"/>
            <w:gridSpan w:val="19"/>
            <w:vMerge w:val="restart"/>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agreements.</w:t>
              </w:r>
            </w:hyperlink>
          </w:p>
        </w:tc>
        <w:tc>
          <w:tcPr>
            <w:tcW w:w="0" w:type="dxa"/>
            <w:vAlign w:val="bottom"/>
          </w:tcPr>
          <w:p>
            <w:pPr>
              <w:spacing w:after="0"/>
              <w:rPr>
                <w:sz w:val="1"/>
                <w:szCs w:val="1"/>
                <w:color w:val="auto"/>
              </w:rPr>
            </w:pPr>
          </w:p>
        </w:tc>
      </w:tr>
      <w:tr>
        <w:trPr>
          <w:trHeight w:val="47"/>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 w:type="dxa"/>
            <w:vAlign w:val="bottom"/>
            <w:gridSpan w:val="2"/>
          </w:tcPr>
          <w:p>
            <w:pPr>
              <w:jc w:val="center"/>
              <w:ind w:right="327"/>
              <w:spacing w:after="0"/>
              <w:rPr>
                <w:rFonts w:ascii="Arial" w:cs="Arial" w:eastAsia="Arial" w:hAnsi="Arial"/>
                <w:sz w:val="16"/>
                <w:szCs w:val="16"/>
                <w:u w:val="single" w:color="auto"/>
                <w:color w:val="0000FF"/>
                <w:w w:val="89"/>
              </w:rPr>
            </w:pPr>
            <w:hyperlink r:id="rId171">
              <w:r>
                <w:rPr>
                  <w:rFonts w:ascii="Arial" w:cs="Arial" w:eastAsia="Arial" w:hAnsi="Arial"/>
                  <w:sz w:val="16"/>
                  <w:szCs w:val="16"/>
                  <w:u w:val="single" w:color="auto"/>
                  <w:color w:val="0000FF"/>
                  <w:w w:val="89"/>
                </w:rPr>
                <w:t>10.7†</w:t>
              </w:r>
            </w:hyperlink>
          </w:p>
        </w:tc>
        <w:tc>
          <w:tcPr>
            <w:tcW w:w="4840" w:type="dxa"/>
            <w:vAlign w:val="bottom"/>
            <w:gridSpan w:val="19"/>
          </w:tcPr>
          <w:p>
            <w:pPr>
              <w:spacing w:after="0"/>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2019 Employee Stock Purchase Plan and related form agreements.</w:t>
              </w:r>
            </w:hyperlink>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right="327"/>
              <w:spacing w:after="0"/>
              <w:rPr>
                <w:rFonts w:ascii="Arial" w:cs="Arial" w:eastAsia="Arial" w:hAnsi="Arial"/>
                <w:sz w:val="16"/>
                <w:szCs w:val="16"/>
                <w:u w:val="single" w:color="auto"/>
                <w:color w:val="0000FF"/>
                <w:w w:val="89"/>
              </w:rPr>
            </w:pPr>
            <w:hyperlink r:id="rId172">
              <w:r>
                <w:rPr>
                  <w:rFonts w:ascii="Arial" w:cs="Arial" w:eastAsia="Arial" w:hAnsi="Arial"/>
                  <w:sz w:val="16"/>
                  <w:szCs w:val="16"/>
                  <w:u w:val="single" w:color="auto"/>
                  <w:color w:val="0000FF"/>
                  <w:w w:val="89"/>
                </w:rPr>
                <w:t>10.8†</w:t>
              </w:r>
            </w:hyperlink>
          </w:p>
        </w:tc>
        <w:tc>
          <w:tcPr>
            <w:tcW w:w="4840" w:type="dxa"/>
            <w:vAlign w:val="bottom"/>
            <w:gridSpan w:val="19"/>
          </w:tcPr>
          <w:p>
            <w:pPr>
              <w:spacing w:after="0"/>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CrowdStrike Corporate Incentive Plan.</w:t>
              </w:r>
            </w:hyperlink>
          </w:p>
        </w:tc>
        <w:tc>
          <w:tcPr>
            <w:tcW w:w="0" w:type="dxa"/>
            <w:vAlign w:val="bottom"/>
          </w:tcPr>
          <w:p>
            <w:pPr>
              <w:spacing w:after="0"/>
              <w:rPr>
                <w:sz w:val="1"/>
                <w:szCs w:val="1"/>
                <w:color w:val="auto"/>
              </w:rPr>
            </w:pPr>
          </w:p>
        </w:tc>
      </w:tr>
      <w:tr>
        <w:trPr>
          <w:trHeight w:val="216"/>
        </w:trPr>
        <w:tc>
          <w:tcPr>
            <w:tcW w:w="820" w:type="dxa"/>
            <w:vAlign w:val="bottom"/>
            <w:gridSpan w:val="2"/>
          </w:tcPr>
          <w:p>
            <w:pPr>
              <w:jc w:val="center"/>
              <w:ind w:right="327"/>
              <w:spacing w:after="0"/>
              <w:rPr>
                <w:rFonts w:ascii="Arial" w:cs="Arial" w:eastAsia="Arial" w:hAnsi="Arial"/>
                <w:sz w:val="16"/>
                <w:szCs w:val="16"/>
                <w:u w:val="single" w:color="auto"/>
                <w:color w:val="0000FF"/>
                <w:w w:val="89"/>
              </w:rPr>
            </w:pPr>
            <w:hyperlink r:id="rId173">
              <w:r>
                <w:rPr>
                  <w:rFonts w:ascii="Arial" w:cs="Arial" w:eastAsia="Arial" w:hAnsi="Arial"/>
                  <w:sz w:val="16"/>
                  <w:szCs w:val="16"/>
                  <w:u w:val="single" w:color="auto"/>
                  <w:color w:val="0000FF"/>
                  <w:w w:val="89"/>
                </w:rPr>
                <w:t>10.9†</w:t>
              </w:r>
            </w:hyperlink>
          </w:p>
        </w:tc>
        <w:tc>
          <w:tcPr>
            <w:tcW w:w="4840" w:type="dxa"/>
            <w:vAlign w:val="bottom"/>
            <w:gridSpan w:val="19"/>
          </w:tcPr>
          <w:p>
            <w:pPr>
              <w:spacing w:after="0"/>
              <w:rPr>
                <w:rFonts w:ascii="Arial" w:cs="Arial" w:eastAsia="Arial" w:hAnsi="Arial"/>
                <w:sz w:val="16"/>
                <w:szCs w:val="16"/>
                <w:color w:val="0000FF"/>
              </w:rPr>
            </w:pPr>
            <w:hyperlink r:id="rId173">
              <w:r>
                <w:rPr>
                  <w:rFonts w:ascii="Arial" w:cs="Arial" w:eastAsia="Arial" w:hAnsi="Arial"/>
                  <w:sz w:val="16"/>
                  <w:szCs w:val="16"/>
                  <w:u w:val="single" w:color="auto"/>
                  <w:color w:val="0000FF"/>
                </w:rPr>
                <w:t>Outside Director Compensation Plan</w:t>
              </w:r>
              <w:r>
                <w:rPr>
                  <w:rFonts w:ascii="Arial" w:cs="Arial" w:eastAsia="Arial" w:hAnsi="Arial"/>
                  <w:sz w:val="16"/>
                  <w:szCs w:val="16"/>
                  <w:color w:val="0000FF"/>
                </w:rPr>
                <w:t>.</w:t>
              </w:r>
            </w:hyperlink>
          </w:p>
        </w:tc>
        <w:tc>
          <w:tcPr>
            <w:tcW w:w="0" w:type="dxa"/>
            <w:vAlign w:val="bottom"/>
          </w:tcPr>
          <w:p>
            <w:pPr>
              <w:spacing w:after="0"/>
              <w:rPr>
                <w:sz w:val="1"/>
                <w:szCs w:val="1"/>
                <w:color w:val="auto"/>
              </w:rPr>
            </w:pPr>
          </w:p>
        </w:tc>
      </w:tr>
      <w:tr>
        <w:trPr>
          <w:trHeight w:val="181"/>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74">
              <w:r>
                <w:rPr>
                  <w:rFonts w:ascii="Arial" w:cs="Arial" w:eastAsia="Arial" w:hAnsi="Arial"/>
                  <w:sz w:val="16"/>
                  <w:szCs w:val="16"/>
                  <w:u w:val="single" w:color="auto"/>
                  <w:color w:val="0000FF"/>
                  <w:w w:val="89"/>
                </w:rPr>
                <w:t>10.10†</w:t>
              </w:r>
            </w:hyperlink>
          </w:p>
        </w:tc>
        <w:tc>
          <w:tcPr>
            <w:tcW w:w="4760" w:type="dxa"/>
            <w:vAlign w:val="bottom"/>
            <w:tcBorders>
              <w:bottom w:val="single" w:sz="8" w:color="0000FF"/>
            </w:tcBorders>
            <w:gridSpan w:val="17"/>
          </w:tcPr>
          <w:p>
            <w:pPr>
              <w:spacing w:after="0" w:line="181" w:lineRule="exact"/>
              <w:rPr>
                <w:rFonts w:ascii="Arial" w:cs="Arial" w:eastAsia="Arial" w:hAnsi="Arial"/>
                <w:sz w:val="16"/>
                <w:szCs w:val="16"/>
                <w:color w:val="0000FF"/>
                <w:w w:val="91"/>
              </w:rPr>
            </w:pPr>
            <w:hyperlink r:id="rId174">
              <w:r>
                <w:rPr>
                  <w:rFonts w:ascii="Arial" w:cs="Arial" w:eastAsia="Arial" w:hAnsi="Arial"/>
                  <w:sz w:val="16"/>
                  <w:szCs w:val="16"/>
                  <w:color w:val="0000FF"/>
                  <w:w w:val="91"/>
                </w:rPr>
                <w:t>Employment Agreement between the Registrant and George Kurtz, dated</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820" w:type="dxa"/>
            <w:vAlign w:val="bottom"/>
            <w:gridSpan w:val="2"/>
            <w:vMerge w:val="continue"/>
          </w:tcPr>
          <w:p>
            <w:pPr>
              <w:spacing w:after="0"/>
              <w:rPr>
                <w:sz w:val="8"/>
                <w:szCs w:val="8"/>
                <w:color w:val="auto"/>
              </w:rPr>
            </w:pPr>
          </w:p>
        </w:tc>
        <w:tc>
          <w:tcPr>
            <w:tcW w:w="4840" w:type="dxa"/>
            <w:vAlign w:val="bottom"/>
            <w:gridSpan w:val="19"/>
            <w:vMerge w:val="restart"/>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as of November 18, 2011.</w:t>
              </w:r>
            </w:hyperlink>
          </w:p>
        </w:tc>
        <w:tc>
          <w:tcPr>
            <w:tcW w:w="0" w:type="dxa"/>
            <w:vAlign w:val="bottom"/>
          </w:tcPr>
          <w:p>
            <w:pPr>
              <w:spacing w:after="0"/>
              <w:rPr>
                <w:sz w:val="1"/>
                <w:szCs w:val="1"/>
                <w:color w:val="auto"/>
              </w:rPr>
            </w:pPr>
          </w:p>
        </w:tc>
      </w:tr>
      <w:tr>
        <w:trPr>
          <w:trHeight w:val="47"/>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75">
              <w:r>
                <w:rPr>
                  <w:rFonts w:ascii="Arial" w:cs="Arial" w:eastAsia="Arial" w:hAnsi="Arial"/>
                  <w:sz w:val="16"/>
                  <w:szCs w:val="16"/>
                  <w:u w:val="single" w:color="auto"/>
                  <w:color w:val="0000FF"/>
                  <w:w w:val="89"/>
                </w:rPr>
                <w:t>10.11†</w:t>
              </w:r>
            </w:hyperlink>
          </w:p>
        </w:tc>
        <w:tc>
          <w:tcPr>
            <w:tcW w:w="4840" w:type="dxa"/>
            <w:vAlign w:val="bottom"/>
            <w:gridSpan w:val="19"/>
          </w:tcPr>
          <w:p>
            <w:pPr>
              <w:spacing w:after="0"/>
              <w:rPr>
                <w:rFonts w:ascii="Arial" w:cs="Arial" w:eastAsia="Arial" w:hAnsi="Arial"/>
                <w:sz w:val="16"/>
                <w:szCs w:val="16"/>
                <w:color w:val="0000FF"/>
                <w:w w:val="93"/>
              </w:rPr>
            </w:pPr>
            <w:hyperlink r:id="rId175">
              <w:r>
                <w:rPr>
                  <w:rFonts w:ascii="Arial" w:cs="Arial" w:eastAsia="Arial" w:hAnsi="Arial"/>
                  <w:sz w:val="16"/>
                  <w:szCs w:val="16"/>
                  <w:color w:val="0000FF"/>
                  <w:w w:val="93"/>
                </w:rPr>
                <w:t>Offer Letter between the Registrant and Colin Black, dated as of October</w:t>
              </w:r>
            </w:hyperlink>
          </w:p>
        </w:tc>
        <w:tc>
          <w:tcPr>
            <w:tcW w:w="0" w:type="dxa"/>
            <w:vAlign w:val="bottom"/>
          </w:tcPr>
          <w:p>
            <w:pPr>
              <w:spacing w:after="0"/>
              <w:rPr>
                <w:sz w:val="1"/>
                <w:szCs w:val="1"/>
                <w:color w:val="auto"/>
              </w:rPr>
            </w:pPr>
          </w:p>
        </w:tc>
      </w:tr>
      <w:tr>
        <w:trPr>
          <w:trHeight w:val="95"/>
        </w:trPr>
        <w:tc>
          <w:tcPr>
            <w:tcW w:w="820" w:type="dxa"/>
            <w:vAlign w:val="bottom"/>
            <w:gridSpan w:val="2"/>
            <w:vMerge w:val="continue"/>
          </w:tcPr>
          <w:p>
            <w:pPr>
              <w:spacing w:after="0"/>
              <w:rPr>
                <w:sz w:val="8"/>
                <w:szCs w:val="8"/>
                <w:color w:val="auto"/>
              </w:rPr>
            </w:pPr>
          </w:p>
        </w:tc>
        <w:tc>
          <w:tcPr>
            <w:tcW w:w="540" w:type="dxa"/>
            <w:vAlign w:val="bottom"/>
            <w:tcBorders>
              <w:top w:val="single" w:sz="8" w:color="0000FF"/>
            </w:tcBorders>
            <w:vMerge w:val="restart"/>
          </w:tcPr>
          <w:p>
            <w:pPr>
              <w:spacing w:after="0" w:line="142" w:lineRule="exact"/>
              <w:rPr>
                <w:rFonts w:ascii="Arial" w:cs="Arial" w:eastAsia="Arial" w:hAnsi="Arial"/>
                <w:sz w:val="16"/>
                <w:szCs w:val="16"/>
                <w:color w:val="0000FF"/>
                <w:w w:val="89"/>
              </w:rPr>
            </w:pPr>
            <w:hyperlink r:id="rId175">
              <w:r>
                <w:rPr>
                  <w:rFonts w:ascii="Arial" w:cs="Arial" w:eastAsia="Arial" w:hAnsi="Arial"/>
                  <w:sz w:val="16"/>
                  <w:szCs w:val="16"/>
                  <w:color w:val="0000FF"/>
                  <w:w w:val="89"/>
                </w:rPr>
                <w:t>3, 2015.</w:t>
              </w:r>
            </w:hyperlink>
          </w:p>
        </w:tc>
        <w:tc>
          <w:tcPr>
            <w:tcW w:w="240" w:type="dxa"/>
            <w:vAlign w:val="bottom"/>
            <w:tcBorders>
              <w:top w:val="single" w:sz="8" w:color="0000FF"/>
            </w:tcBorders>
          </w:tcPr>
          <w:p>
            <w:pPr>
              <w:spacing w:after="0"/>
              <w:rPr>
                <w:sz w:val="8"/>
                <w:szCs w:val="8"/>
                <w:color w:val="auto"/>
              </w:rPr>
            </w:pPr>
          </w:p>
        </w:tc>
        <w:tc>
          <w:tcPr>
            <w:tcW w:w="34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180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Borders>
              <w:bottom w:val="single" w:sz="8" w:color="0000FF"/>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76">
              <w:r>
                <w:rPr>
                  <w:rFonts w:ascii="Arial" w:cs="Arial" w:eastAsia="Arial" w:hAnsi="Arial"/>
                  <w:sz w:val="16"/>
                  <w:szCs w:val="16"/>
                  <w:u w:val="single" w:color="auto"/>
                  <w:color w:val="0000FF"/>
                  <w:w w:val="89"/>
                </w:rPr>
                <w:t>10.12†</w:t>
              </w:r>
            </w:hyperlink>
          </w:p>
        </w:tc>
        <w:tc>
          <w:tcPr>
            <w:tcW w:w="4840" w:type="dxa"/>
            <w:vAlign w:val="bottom"/>
            <w:gridSpan w:val="19"/>
          </w:tcPr>
          <w:p>
            <w:pPr>
              <w:spacing w:after="0"/>
              <w:rPr>
                <w:rFonts w:ascii="Arial" w:cs="Arial" w:eastAsia="Arial" w:hAnsi="Arial"/>
                <w:sz w:val="16"/>
                <w:szCs w:val="16"/>
                <w:color w:val="0000FF"/>
                <w:w w:val="97"/>
              </w:rPr>
            </w:pPr>
            <w:hyperlink r:id="rId176">
              <w:r>
                <w:rPr>
                  <w:rFonts w:ascii="Arial" w:cs="Arial" w:eastAsia="Arial" w:hAnsi="Arial"/>
                  <w:sz w:val="16"/>
                  <w:szCs w:val="16"/>
                  <w:color w:val="0000FF"/>
                  <w:w w:val="97"/>
                </w:rPr>
                <w:t>Offer Letter between the Registrant and Burt W. Podbere, dated as of</w:t>
              </w:r>
            </w:hyperlink>
          </w:p>
        </w:tc>
        <w:tc>
          <w:tcPr>
            <w:tcW w:w="0" w:type="dxa"/>
            <w:vAlign w:val="bottom"/>
          </w:tcPr>
          <w:p>
            <w:pPr>
              <w:spacing w:after="0"/>
              <w:rPr>
                <w:sz w:val="1"/>
                <w:szCs w:val="1"/>
                <w:color w:val="auto"/>
              </w:rPr>
            </w:pPr>
          </w:p>
        </w:tc>
      </w:tr>
      <w:tr>
        <w:trPr>
          <w:trHeight w:val="96"/>
        </w:trPr>
        <w:tc>
          <w:tcPr>
            <w:tcW w:w="820" w:type="dxa"/>
            <w:vAlign w:val="bottom"/>
            <w:gridSpan w:val="2"/>
            <w:vMerge w:val="continue"/>
          </w:tcPr>
          <w:p>
            <w:pPr>
              <w:spacing w:after="0"/>
              <w:rPr>
                <w:sz w:val="8"/>
                <w:szCs w:val="8"/>
                <w:color w:val="auto"/>
              </w:rPr>
            </w:pPr>
          </w:p>
        </w:tc>
        <w:tc>
          <w:tcPr>
            <w:tcW w:w="4480" w:type="dxa"/>
            <w:vAlign w:val="bottom"/>
            <w:tcBorders>
              <w:top w:val="single" w:sz="8" w:color="0000FF"/>
            </w:tcBorders>
            <w:gridSpan w:val="11"/>
            <w:vMerge w:val="restart"/>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August 10, 2015.</w:t>
              </w:r>
            </w:hyperlink>
          </w:p>
        </w:tc>
        <w:tc>
          <w:tcPr>
            <w:tcW w:w="360" w:type="dxa"/>
            <w:vAlign w:val="bottom"/>
            <w:gridSpan w:val="8"/>
            <w:vMerge w:val="restart"/>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80" w:type="dxa"/>
            <w:vAlign w:val="bottom"/>
            <w:gridSpan w:val="11"/>
            <w:vMerge w:val="continue"/>
          </w:tcPr>
          <w:p>
            <w:pPr>
              <w:spacing w:after="0"/>
              <w:rPr>
                <w:sz w:val="4"/>
                <w:szCs w:val="4"/>
                <w:color w:val="auto"/>
              </w:rPr>
            </w:pPr>
          </w:p>
        </w:tc>
        <w:tc>
          <w:tcPr>
            <w:tcW w:w="3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77">
              <w:r>
                <w:rPr>
                  <w:rFonts w:ascii="Arial" w:cs="Arial" w:eastAsia="Arial" w:hAnsi="Arial"/>
                  <w:sz w:val="16"/>
                  <w:szCs w:val="16"/>
                  <w:u w:val="single" w:color="auto"/>
                  <w:color w:val="0000FF"/>
                  <w:w w:val="89"/>
                </w:rPr>
                <w:t>10.13†</w:t>
              </w:r>
            </w:hyperlink>
          </w:p>
        </w:tc>
        <w:tc>
          <w:tcPr>
            <w:tcW w:w="4840" w:type="dxa"/>
            <w:vAlign w:val="bottom"/>
            <w:gridSpan w:val="19"/>
          </w:tcPr>
          <w:p>
            <w:pPr>
              <w:spacing w:after="0"/>
              <w:rPr>
                <w:rFonts w:ascii="Arial" w:cs="Arial" w:eastAsia="Arial" w:hAnsi="Arial"/>
                <w:sz w:val="16"/>
                <w:szCs w:val="16"/>
                <w:color w:val="0000FF"/>
                <w:w w:val="96"/>
              </w:rPr>
            </w:pPr>
            <w:hyperlink r:id="rId177">
              <w:r>
                <w:rPr>
                  <w:rFonts w:ascii="Arial" w:cs="Arial" w:eastAsia="Arial" w:hAnsi="Arial"/>
                  <w:sz w:val="16"/>
                  <w:szCs w:val="16"/>
                  <w:color w:val="0000FF"/>
                  <w:w w:val="96"/>
                </w:rPr>
                <w:t>Offer Letter between the Registrant and Roxanne S. Austin dated as of</w:t>
              </w:r>
            </w:hyperlink>
          </w:p>
        </w:tc>
        <w:tc>
          <w:tcPr>
            <w:tcW w:w="0" w:type="dxa"/>
            <w:vAlign w:val="bottom"/>
          </w:tcPr>
          <w:p>
            <w:pPr>
              <w:spacing w:after="0"/>
              <w:rPr>
                <w:sz w:val="1"/>
                <w:szCs w:val="1"/>
                <w:color w:val="auto"/>
              </w:rPr>
            </w:pPr>
          </w:p>
        </w:tc>
      </w:tr>
      <w:tr>
        <w:trPr>
          <w:trHeight w:val="95"/>
        </w:trPr>
        <w:tc>
          <w:tcPr>
            <w:tcW w:w="820" w:type="dxa"/>
            <w:vAlign w:val="bottom"/>
            <w:gridSpan w:val="2"/>
            <w:vMerge w:val="continue"/>
          </w:tcPr>
          <w:p>
            <w:pPr>
              <w:spacing w:after="0"/>
              <w:rPr>
                <w:sz w:val="8"/>
                <w:szCs w:val="8"/>
                <w:color w:val="auto"/>
              </w:rPr>
            </w:pPr>
          </w:p>
        </w:tc>
        <w:tc>
          <w:tcPr>
            <w:tcW w:w="4580" w:type="dxa"/>
            <w:vAlign w:val="bottom"/>
            <w:tcBorders>
              <w:top w:val="single" w:sz="8" w:color="0000FF"/>
            </w:tcBorders>
            <w:gridSpan w:val="13"/>
            <w:vMerge w:val="restart"/>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September 10, 2018.</w:t>
              </w:r>
            </w:hyperlink>
          </w:p>
        </w:tc>
        <w:tc>
          <w:tcPr>
            <w:tcW w:w="260" w:type="dxa"/>
            <w:vAlign w:val="bottom"/>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580" w:type="dxa"/>
            <w:vAlign w:val="bottom"/>
            <w:gridSpan w:val="13"/>
            <w:vMerge w:val="continue"/>
          </w:tcPr>
          <w:p>
            <w:pPr>
              <w:spacing w:after="0"/>
              <w:rPr>
                <w:sz w:val="4"/>
                <w:szCs w:val="4"/>
                <w:color w:val="auto"/>
              </w:rPr>
            </w:pPr>
          </w:p>
        </w:tc>
        <w:tc>
          <w:tcPr>
            <w:tcW w:w="2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20" w:type="dxa"/>
            <w:vAlign w:val="bottom"/>
            <w:gridSpan w:val="2"/>
          </w:tcPr>
          <w:p>
            <w:pPr>
              <w:jc w:val="center"/>
              <w:ind w:right="327"/>
              <w:spacing w:after="0"/>
              <w:rPr>
                <w:rFonts w:ascii="Arial" w:cs="Arial" w:eastAsia="Arial" w:hAnsi="Arial"/>
                <w:sz w:val="16"/>
                <w:szCs w:val="16"/>
                <w:u w:val="single" w:color="auto"/>
                <w:color w:val="0000FF"/>
                <w:w w:val="89"/>
              </w:rPr>
            </w:pPr>
            <w:hyperlink r:id="rId178">
              <w:r>
                <w:rPr>
                  <w:rFonts w:ascii="Arial" w:cs="Arial" w:eastAsia="Arial" w:hAnsi="Arial"/>
                  <w:sz w:val="16"/>
                  <w:szCs w:val="16"/>
                  <w:u w:val="single" w:color="auto"/>
                  <w:color w:val="0000FF"/>
                  <w:w w:val="89"/>
                </w:rPr>
                <w:t>10.14†</w:t>
              </w:r>
            </w:hyperlink>
          </w:p>
        </w:tc>
        <w:tc>
          <w:tcPr>
            <w:tcW w:w="4840" w:type="dxa"/>
            <w:vAlign w:val="bottom"/>
            <w:gridSpan w:val="19"/>
          </w:tcPr>
          <w:p>
            <w:pPr>
              <w:spacing w:after="0"/>
              <w:rPr>
                <w:rFonts w:ascii="Arial" w:cs="Arial" w:eastAsia="Arial" w:hAnsi="Arial"/>
                <w:sz w:val="16"/>
                <w:szCs w:val="16"/>
                <w:u w:val="single" w:color="auto"/>
                <w:color w:val="0000FF"/>
                <w:w w:val="97"/>
              </w:rPr>
            </w:pPr>
            <w:hyperlink r:id="rId178">
              <w:r>
                <w:rPr>
                  <w:rFonts w:ascii="Arial" w:cs="Arial" w:eastAsia="Arial" w:hAnsi="Arial"/>
                  <w:sz w:val="16"/>
                  <w:szCs w:val="16"/>
                  <w:u w:val="single" w:color="auto"/>
                  <w:color w:val="0000FF"/>
                  <w:w w:val="97"/>
                </w:rPr>
                <w:t>Offer Letter between the Registrant and Godfrey R. Sullivan, undated.</w:t>
              </w:r>
            </w:hyperlink>
          </w:p>
        </w:tc>
        <w:tc>
          <w:tcPr>
            <w:tcW w:w="0" w:type="dxa"/>
            <w:vAlign w:val="bottom"/>
          </w:tcPr>
          <w:p>
            <w:pPr>
              <w:spacing w:after="0"/>
              <w:rPr>
                <w:sz w:val="1"/>
                <w:szCs w:val="1"/>
                <w:color w:val="auto"/>
              </w:rPr>
            </w:pPr>
          </w:p>
        </w:tc>
      </w:tr>
      <w:tr>
        <w:trPr>
          <w:trHeight w:val="182"/>
        </w:trPr>
        <w:tc>
          <w:tcPr>
            <w:tcW w:w="820" w:type="dxa"/>
            <w:vAlign w:val="bottom"/>
            <w:gridSpan w:val="2"/>
            <w:vMerge w:val="restart"/>
          </w:tcPr>
          <w:p>
            <w:pPr>
              <w:jc w:val="center"/>
              <w:ind w:right="327"/>
              <w:spacing w:after="0"/>
              <w:rPr>
                <w:rFonts w:ascii="Arial" w:cs="Arial" w:eastAsia="Arial" w:hAnsi="Arial"/>
                <w:sz w:val="16"/>
                <w:szCs w:val="16"/>
                <w:u w:val="single" w:color="auto"/>
                <w:color w:val="0000FF"/>
                <w:w w:val="89"/>
              </w:rPr>
            </w:pPr>
            <w:hyperlink r:id="rId179">
              <w:r>
                <w:rPr>
                  <w:rFonts w:ascii="Arial" w:cs="Arial" w:eastAsia="Arial" w:hAnsi="Arial"/>
                  <w:sz w:val="16"/>
                  <w:szCs w:val="16"/>
                  <w:u w:val="single" w:color="auto"/>
                  <w:color w:val="0000FF"/>
                  <w:w w:val="89"/>
                </w:rPr>
                <w:t>10.15</w:t>
              </w:r>
            </w:hyperlink>
          </w:p>
        </w:tc>
        <w:tc>
          <w:tcPr>
            <w:tcW w:w="4840" w:type="dxa"/>
            <w:vAlign w:val="bottom"/>
            <w:gridSpan w:val="19"/>
          </w:tcPr>
          <w:p>
            <w:pPr>
              <w:spacing w:after="0" w:line="181" w:lineRule="exact"/>
              <w:rPr>
                <w:rFonts w:ascii="Arial" w:cs="Arial" w:eastAsia="Arial" w:hAnsi="Arial"/>
                <w:sz w:val="16"/>
                <w:szCs w:val="16"/>
                <w:color w:val="0000FF"/>
                <w:w w:val="92"/>
              </w:rPr>
            </w:pPr>
            <w:hyperlink r:id="rId179">
              <w:r>
                <w:rPr>
                  <w:rFonts w:ascii="Arial" w:cs="Arial" w:eastAsia="Arial" w:hAnsi="Arial"/>
                  <w:sz w:val="16"/>
                  <w:szCs w:val="16"/>
                  <w:color w:val="0000FF"/>
                  <w:w w:val="92"/>
                </w:rPr>
                <w:t>Office Lease between CrowdStrike, Inc. and SPF Mathilda, LLC, dated as</w:t>
              </w:r>
            </w:hyperlink>
          </w:p>
        </w:tc>
        <w:tc>
          <w:tcPr>
            <w:tcW w:w="0" w:type="dxa"/>
            <w:vAlign w:val="bottom"/>
          </w:tcPr>
          <w:p>
            <w:pPr>
              <w:spacing w:after="0"/>
              <w:rPr>
                <w:sz w:val="1"/>
                <w:szCs w:val="1"/>
                <w:color w:val="auto"/>
              </w:rPr>
            </w:pPr>
          </w:p>
        </w:tc>
      </w:tr>
      <w:tr>
        <w:trPr>
          <w:trHeight w:val="142"/>
        </w:trPr>
        <w:tc>
          <w:tcPr>
            <w:tcW w:w="820" w:type="dxa"/>
            <w:vAlign w:val="bottom"/>
            <w:gridSpan w:val="2"/>
            <w:vMerge w:val="continue"/>
          </w:tcPr>
          <w:p>
            <w:pPr>
              <w:spacing w:after="0"/>
              <w:rPr>
                <w:sz w:val="12"/>
                <w:szCs w:val="12"/>
                <w:color w:val="auto"/>
              </w:rPr>
            </w:pPr>
          </w:p>
        </w:tc>
        <w:tc>
          <w:tcPr>
            <w:tcW w:w="4820" w:type="dxa"/>
            <w:vAlign w:val="bottom"/>
            <w:tcBorders>
              <w:top w:val="single" w:sz="8" w:color="0000FF"/>
            </w:tcBorders>
            <w:gridSpan w:val="18"/>
          </w:tcPr>
          <w:p>
            <w:pPr>
              <w:spacing w:after="0" w:line="142" w:lineRule="exact"/>
              <w:rPr>
                <w:rFonts w:ascii="Arial" w:cs="Arial" w:eastAsia="Arial" w:hAnsi="Arial"/>
                <w:sz w:val="16"/>
                <w:szCs w:val="16"/>
                <w:color w:val="0000FF"/>
                <w:w w:val="94"/>
              </w:rPr>
            </w:pPr>
            <w:hyperlink r:id="rId179">
              <w:r>
                <w:rPr>
                  <w:rFonts w:ascii="Arial" w:cs="Arial" w:eastAsia="Arial" w:hAnsi="Arial"/>
                  <w:sz w:val="16"/>
                  <w:szCs w:val="16"/>
                  <w:color w:val="0000FF"/>
                  <w:w w:val="94"/>
                </w:rPr>
                <w:t>of April 4, 2017, as amended on September 18, 2017, October 27, 2017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0"/>
              </w:rPr>
            </w:pPr>
            <w:hyperlink r:id="rId179">
              <w:r>
                <w:rPr>
                  <w:rFonts w:ascii="Arial" w:cs="Arial" w:eastAsia="Arial" w:hAnsi="Arial"/>
                  <w:sz w:val="16"/>
                  <w:szCs w:val="16"/>
                  <w:color w:val="0000FF"/>
                  <w:w w:val="90"/>
                </w:rPr>
                <w:t>and November 5, 2018.</w:t>
              </w:r>
            </w:hyperlink>
          </w:p>
        </w:tc>
        <w:tc>
          <w:tcPr>
            <w:tcW w:w="3100" w:type="dxa"/>
            <w:vAlign w:val="bottom"/>
            <w:tcBorders>
              <w:top w:val="single" w:sz="8" w:color="0000FF"/>
            </w:tcBorders>
            <w:gridSpan w:val="9"/>
          </w:tcPr>
          <w:p>
            <w:pPr>
              <w:spacing w:after="0"/>
              <w:rPr>
                <w:sz w:val="12"/>
                <w:szCs w:val="12"/>
                <w:color w:val="auto"/>
              </w:rPr>
            </w:pPr>
          </w:p>
        </w:tc>
        <w:tc>
          <w:tcPr>
            <w:tcW w:w="2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2160" w:type="dxa"/>
            <w:vAlign w:val="bottom"/>
          </w:tcPr>
          <w:p>
            <w:pPr>
              <w:jc w:val="center"/>
              <w:ind w:right="439"/>
              <w:spacing w:after="0"/>
              <w:rPr>
                <w:sz w:val="20"/>
                <w:szCs w:val="20"/>
                <w:color w:val="auto"/>
              </w:rPr>
            </w:pPr>
            <w:r>
              <w:rPr>
                <w:rFonts w:ascii="Arial" w:cs="Arial" w:eastAsia="Arial" w:hAnsi="Arial"/>
                <w:sz w:val="16"/>
                <w:szCs w:val="16"/>
                <w:color w:val="auto"/>
                <w:w w:val="90"/>
              </w:rPr>
              <w:t>January 20, 2021</w:t>
            </w:r>
          </w:p>
        </w:tc>
      </w:tr>
      <w:tr>
        <w:trPr>
          <w:trHeight w:val="311"/>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4"/>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29,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5"/>
              </w:rPr>
              <w:t>10-Q</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89"/>
              </w:rPr>
              <w:t>September 3, 2020</w:t>
            </w:r>
          </w:p>
        </w:tc>
      </w:tr>
      <w:tr>
        <w:trPr>
          <w:trHeight w:val="378"/>
        </w:trPr>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ind w:left="2040"/>
              <w:spacing w:after="0"/>
              <w:rPr>
                <w:sz w:val="20"/>
                <w:szCs w:val="20"/>
                <w:color w:val="auto"/>
              </w:rPr>
            </w:pPr>
            <w:r>
              <w:rPr>
                <w:rFonts w:ascii="Arial" w:cs="Arial" w:eastAsia="Arial" w:hAnsi="Arial"/>
                <w:sz w:val="16"/>
                <w:szCs w:val="16"/>
                <w:color w:val="auto"/>
                <w:w w:val="93"/>
              </w:rPr>
              <w:t>X</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5"/>
              </w:rPr>
              <w:t>10-Q</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88"/>
              </w:rPr>
              <w:t>June 3, 2020</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4"/>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29, 2019</w:t>
            </w:r>
          </w:p>
        </w:tc>
      </w:tr>
      <w:tr>
        <w:trPr>
          <w:trHeight w:val="21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1"/>
              </w:rPr>
              <w:t>March 12, 2021</w:t>
            </w:r>
          </w:p>
        </w:tc>
      </w:tr>
      <w:tr>
        <w:trPr>
          <w:trHeight w:val="216"/>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4"/>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29,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2160" w:type="dxa"/>
            <w:vAlign w:val="bottom"/>
          </w:tcPr>
          <w:p>
            <w:pPr>
              <w:jc w:val="center"/>
              <w:ind w:right="419"/>
              <w:spacing w:after="0"/>
              <w:rPr>
                <w:sz w:val="20"/>
                <w:szCs w:val="20"/>
                <w:color w:val="auto"/>
              </w:rPr>
            </w:pPr>
            <w:r>
              <w:rPr>
                <w:rFonts w:ascii="Arial" w:cs="Arial" w:eastAsia="Arial" w:hAnsi="Arial"/>
                <w:sz w:val="16"/>
                <w:szCs w:val="16"/>
                <w:color w:val="auto"/>
                <w:w w:val="92"/>
              </w:rPr>
              <w:t>May 14, 2019</w:t>
            </w:r>
          </w:p>
        </w:tc>
      </w:tr>
    </w:tbl>
    <w:p>
      <w:pPr>
        <w:spacing w:after="0" w:line="341" w:lineRule="exact"/>
        <w:rPr>
          <w:sz w:val="20"/>
          <w:szCs w:val="20"/>
          <w:color w:val="auto"/>
        </w:rPr>
      </w:pPr>
    </w:p>
    <w:p>
      <w:pPr>
        <w:sectPr>
          <w:pgSz w:w="11900" w:h="16838" w:orient="portrait"/>
          <w:cols w:equalWidth="0" w:num="2">
            <w:col w:w="5920" w:space="220"/>
            <w:col w:w="4960"/>
          </w:cols>
          <w:pgMar w:left="320" w:top="125" w:right="479" w:bottom="1440" w:gutter="0" w:footer="0" w:header="0"/>
          <w:type w:val="continuous"/>
        </w:sect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900" w:type="dxa"/>
            <w:vAlign w:val="bottom"/>
            <w:vMerge w:val="restart"/>
          </w:tcPr>
          <w:p>
            <w:pPr>
              <w:jc w:val="center"/>
              <w:ind w:right="219"/>
              <w:spacing w:after="0"/>
              <w:rPr>
                <w:rFonts w:ascii="Arial" w:cs="Arial" w:eastAsia="Arial" w:hAnsi="Arial"/>
                <w:sz w:val="16"/>
                <w:szCs w:val="16"/>
                <w:u w:val="single" w:color="auto"/>
                <w:color w:val="0000FF"/>
                <w:w w:val="89"/>
              </w:rPr>
            </w:pPr>
            <w:hyperlink r:id="rId181">
              <w:r>
                <w:rPr>
                  <w:rFonts w:ascii="Arial" w:cs="Arial" w:eastAsia="Arial" w:hAnsi="Arial"/>
                  <w:sz w:val="16"/>
                  <w:szCs w:val="16"/>
                  <w:u w:val="single" w:color="auto"/>
                  <w:color w:val="0000FF"/>
                  <w:w w:val="89"/>
                </w:rPr>
                <w:t>10.16</w:t>
              </w:r>
            </w:hyperlink>
          </w:p>
        </w:tc>
        <w:tc>
          <w:tcPr>
            <w:tcW w:w="4500" w:type="dxa"/>
            <w:vAlign w:val="bottom"/>
            <w:tcBorders>
              <w:bottom w:val="single" w:sz="8" w:color="0000FF"/>
            </w:tcBorders>
            <w:gridSpan w:val="9"/>
          </w:tcPr>
          <w:p>
            <w:pPr>
              <w:spacing w:after="0"/>
              <w:rPr>
                <w:rFonts w:ascii="Arial" w:cs="Arial" w:eastAsia="Arial" w:hAnsi="Arial"/>
                <w:sz w:val="16"/>
                <w:szCs w:val="16"/>
                <w:color w:val="0000FF"/>
                <w:w w:val="92"/>
              </w:rPr>
            </w:pPr>
            <w:hyperlink r:id="rId181">
              <w:r>
                <w:rPr>
                  <w:rFonts w:ascii="Arial" w:cs="Arial" w:eastAsia="Arial" w:hAnsi="Arial"/>
                  <w:sz w:val="16"/>
                  <w:szCs w:val="16"/>
                  <w:color w:val="0000FF"/>
                  <w:w w:val="92"/>
                </w:rPr>
                <w:t>Fourth Amendment to Office Lease between SPF Mathilda, LLC and</w:t>
              </w:r>
            </w:hyperlink>
          </w:p>
        </w:tc>
        <w:tc>
          <w:tcPr>
            <w:tcW w:w="3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2720" w:type="dxa"/>
            <w:vAlign w:val="bottom"/>
            <w:gridSpan w:val="5"/>
            <w:vMerge w:val="restart"/>
          </w:tcPr>
          <w:p>
            <w:pPr>
              <w:spacing w:after="0" w:line="142" w:lineRule="exact"/>
              <w:rPr>
                <w:rFonts w:ascii="Arial" w:cs="Arial" w:eastAsia="Arial" w:hAnsi="Arial"/>
                <w:sz w:val="16"/>
                <w:szCs w:val="16"/>
                <w:color w:val="0000FF"/>
                <w:w w:val="92"/>
              </w:rPr>
            </w:pPr>
            <w:hyperlink r:id="rId181">
              <w:r>
                <w:rPr>
                  <w:rFonts w:ascii="Arial" w:cs="Arial" w:eastAsia="Arial" w:hAnsi="Arial"/>
                  <w:sz w:val="16"/>
                  <w:szCs w:val="16"/>
                  <w:color w:val="0000FF"/>
                  <w:w w:val="92"/>
                </w:rPr>
                <w:t>CrowdStrike, Inc., dated August 16, 2019</w:t>
              </w:r>
            </w:hyperlink>
          </w:p>
        </w:tc>
        <w:tc>
          <w:tcPr>
            <w:tcW w:w="2080" w:type="dxa"/>
            <w:vAlign w:val="bottom"/>
            <w:gridSpan w:val="13"/>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2720" w:type="dxa"/>
            <w:vAlign w:val="bottom"/>
            <w:tcBorders>
              <w:bottom w:val="single" w:sz="8" w:color="0000FF"/>
            </w:tcBorders>
            <w:gridSpan w:val="5"/>
            <w:vMerge w:val="continue"/>
          </w:tcPr>
          <w:p>
            <w:pPr>
              <w:spacing w:after="0"/>
              <w:rPr>
                <w:sz w:val="4"/>
                <w:szCs w:val="4"/>
                <w:color w:val="auto"/>
              </w:rPr>
            </w:pPr>
          </w:p>
        </w:tc>
        <w:tc>
          <w:tcPr>
            <w:tcW w:w="208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00" w:type="dxa"/>
            <w:vAlign w:val="bottom"/>
            <w:vMerge w:val="restart"/>
          </w:tcPr>
          <w:p>
            <w:pPr>
              <w:jc w:val="center"/>
              <w:ind w:right="219"/>
              <w:spacing w:after="0"/>
              <w:rPr>
                <w:rFonts w:ascii="Arial" w:cs="Arial" w:eastAsia="Arial" w:hAnsi="Arial"/>
                <w:sz w:val="16"/>
                <w:szCs w:val="16"/>
                <w:u w:val="single" w:color="auto"/>
                <w:color w:val="0000FF"/>
                <w:w w:val="89"/>
              </w:rPr>
            </w:pPr>
            <w:hyperlink r:id="rId182">
              <w:r>
                <w:rPr>
                  <w:rFonts w:ascii="Arial" w:cs="Arial" w:eastAsia="Arial" w:hAnsi="Arial"/>
                  <w:sz w:val="16"/>
                  <w:szCs w:val="16"/>
                  <w:u w:val="single" w:color="auto"/>
                  <w:color w:val="0000FF"/>
                  <w:w w:val="89"/>
                </w:rPr>
                <w:t>10.17</w:t>
              </w:r>
            </w:hyperlink>
          </w:p>
        </w:tc>
        <w:tc>
          <w:tcPr>
            <w:tcW w:w="4380" w:type="dxa"/>
            <w:vAlign w:val="bottom"/>
            <w:tcBorders>
              <w:bottom w:val="single" w:sz="8" w:color="0000FF"/>
            </w:tcBorders>
            <w:gridSpan w:val="8"/>
          </w:tcPr>
          <w:p>
            <w:pPr>
              <w:spacing w:after="0"/>
              <w:rPr>
                <w:rFonts w:ascii="Arial" w:cs="Arial" w:eastAsia="Arial" w:hAnsi="Arial"/>
                <w:sz w:val="16"/>
                <w:szCs w:val="16"/>
                <w:color w:val="0000FF"/>
                <w:w w:val="93"/>
              </w:rPr>
            </w:pPr>
            <w:hyperlink r:id="rId182">
              <w:r>
                <w:rPr>
                  <w:rFonts w:ascii="Arial" w:cs="Arial" w:eastAsia="Arial" w:hAnsi="Arial"/>
                  <w:sz w:val="16"/>
                  <w:szCs w:val="16"/>
                  <w:color w:val="0000FF"/>
                  <w:w w:val="93"/>
                </w:rPr>
                <w:t>Fifth Amendment to Office Lease between SPF Mathilda, LLC and</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4800" w:type="dxa"/>
            <w:vAlign w:val="bottom"/>
            <w:gridSpan w:val="18"/>
            <w:vMerge w:val="restart"/>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CrowdStrike, Inc., dated October 2, 2019</w:t>
              </w:r>
            </w:hyperlink>
          </w:p>
        </w:tc>
        <w:tc>
          <w:tcPr>
            <w:tcW w:w="0" w:type="dxa"/>
            <w:vAlign w:val="bottom"/>
          </w:tcPr>
          <w:p>
            <w:pPr>
              <w:spacing w:after="0"/>
              <w:rPr>
                <w:sz w:val="1"/>
                <w:szCs w:val="1"/>
                <w:color w:val="auto"/>
              </w:rPr>
            </w:pPr>
          </w:p>
        </w:tc>
      </w:tr>
      <w:tr>
        <w:trPr>
          <w:trHeight w:val="46"/>
        </w:trPr>
        <w:tc>
          <w:tcPr>
            <w:tcW w:w="900" w:type="dxa"/>
            <w:vAlign w:val="bottom"/>
          </w:tcPr>
          <w:p>
            <w:pPr>
              <w:spacing w:after="0"/>
              <w:rPr>
                <w:sz w:val="4"/>
                <w:szCs w:val="4"/>
                <w:color w:val="auto"/>
              </w:rPr>
            </w:pPr>
          </w:p>
        </w:tc>
        <w:tc>
          <w:tcPr>
            <w:tcW w:w="480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vMerge w:val="restart"/>
          </w:tcPr>
          <w:p>
            <w:pPr>
              <w:jc w:val="center"/>
              <w:ind w:right="219"/>
              <w:spacing w:after="0"/>
              <w:rPr>
                <w:rFonts w:ascii="Arial" w:cs="Arial" w:eastAsia="Arial" w:hAnsi="Arial"/>
                <w:sz w:val="16"/>
                <w:szCs w:val="16"/>
                <w:u w:val="single" w:color="auto"/>
                <w:color w:val="0000FF"/>
                <w:w w:val="89"/>
              </w:rPr>
            </w:pPr>
            <w:hyperlink r:id="rId183">
              <w:r>
                <w:rPr>
                  <w:rFonts w:ascii="Arial" w:cs="Arial" w:eastAsia="Arial" w:hAnsi="Arial"/>
                  <w:sz w:val="16"/>
                  <w:szCs w:val="16"/>
                  <w:u w:val="single" w:color="auto"/>
                  <w:color w:val="0000FF"/>
                  <w:w w:val="89"/>
                </w:rPr>
                <w:t>10.18</w:t>
              </w:r>
            </w:hyperlink>
          </w:p>
        </w:tc>
        <w:tc>
          <w:tcPr>
            <w:tcW w:w="4540" w:type="dxa"/>
            <w:vAlign w:val="bottom"/>
            <w:tcBorders>
              <w:bottom w:val="single" w:sz="8" w:color="0000FF"/>
            </w:tcBorders>
            <w:gridSpan w:val="11"/>
          </w:tcPr>
          <w:p>
            <w:pPr>
              <w:spacing w:after="0"/>
              <w:rPr>
                <w:rFonts w:ascii="Arial" w:cs="Arial" w:eastAsia="Arial" w:hAnsi="Arial"/>
                <w:sz w:val="16"/>
                <w:szCs w:val="16"/>
                <w:color w:val="0000FF"/>
                <w:w w:val="91"/>
              </w:rPr>
            </w:pPr>
            <w:hyperlink r:id="rId183">
              <w:r>
                <w:rPr>
                  <w:rFonts w:ascii="Arial" w:cs="Arial" w:eastAsia="Arial" w:hAnsi="Arial"/>
                  <w:sz w:val="16"/>
                  <w:szCs w:val="16"/>
                  <w:color w:val="0000FF"/>
                  <w:w w:val="91"/>
                </w:rPr>
                <w:t>Sublease by and between CrowdStrike, Inc. and Knowles Electronics,</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2100" w:type="dxa"/>
            <w:vAlign w:val="bottom"/>
            <w:gridSpan w:val="3"/>
            <w:vMerge w:val="restart"/>
          </w:tcPr>
          <w:p>
            <w:pPr>
              <w:spacing w:after="0" w:line="142" w:lineRule="exact"/>
              <w:rPr>
                <w:rFonts w:ascii="Arial" w:cs="Arial" w:eastAsia="Arial" w:hAnsi="Arial"/>
                <w:sz w:val="16"/>
                <w:szCs w:val="16"/>
                <w:color w:val="0000FF"/>
                <w:w w:val="91"/>
              </w:rPr>
            </w:pPr>
            <w:hyperlink r:id="rId183">
              <w:r>
                <w:rPr>
                  <w:rFonts w:ascii="Arial" w:cs="Arial" w:eastAsia="Arial" w:hAnsi="Arial"/>
                  <w:sz w:val="16"/>
                  <w:szCs w:val="16"/>
                  <w:color w:val="0000FF"/>
                  <w:w w:val="91"/>
                </w:rPr>
                <w:t>LLC, dated December 17, 2015.</w:t>
              </w:r>
            </w:hyperlink>
          </w:p>
        </w:tc>
        <w:tc>
          <w:tcPr>
            <w:tcW w:w="2700" w:type="dxa"/>
            <w:vAlign w:val="bottom"/>
            <w:gridSpan w:val="15"/>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2100" w:type="dxa"/>
            <w:vAlign w:val="bottom"/>
            <w:tcBorders>
              <w:bottom w:val="single" w:sz="8" w:color="0000FF"/>
            </w:tcBorders>
            <w:gridSpan w:val="3"/>
            <w:vMerge w:val="continue"/>
          </w:tcPr>
          <w:p>
            <w:pPr>
              <w:spacing w:after="0"/>
              <w:rPr>
                <w:sz w:val="4"/>
                <w:szCs w:val="4"/>
                <w:color w:val="auto"/>
              </w:rPr>
            </w:pPr>
          </w:p>
        </w:tc>
        <w:tc>
          <w:tcPr>
            <w:tcW w:w="270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00" w:type="dxa"/>
            <w:vAlign w:val="bottom"/>
            <w:vMerge w:val="restart"/>
          </w:tcPr>
          <w:p>
            <w:pPr>
              <w:jc w:val="center"/>
              <w:ind w:right="219"/>
              <w:spacing w:after="0"/>
              <w:rPr>
                <w:rFonts w:ascii="Arial" w:cs="Arial" w:eastAsia="Arial" w:hAnsi="Arial"/>
                <w:sz w:val="16"/>
                <w:szCs w:val="16"/>
                <w:u w:val="single" w:color="auto"/>
                <w:color w:val="0000FF"/>
                <w:w w:val="89"/>
              </w:rPr>
            </w:pPr>
            <w:hyperlink r:id="rId184">
              <w:r>
                <w:rPr>
                  <w:rFonts w:ascii="Arial" w:cs="Arial" w:eastAsia="Arial" w:hAnsi="Arial"/>
                  <w:sz w:val="16"/>
                  <w:szCs w:val="16"/>
                  <w:u w:val="single" w:color="auto"/>
                  <w:color w:val="0000FF"/>
                  <w:w w:val="89"/>
                </w:rPr>
                <w:t>10.19</w:t>
              </w:r>
            </w:hyperlink>
          </w:p>
        </w:tc>
        <w:tc>
          <w:tcPr>
            <w:tcW w:w="4800" w:type="dxa"/>
            <w:vAlign w:val="bottom"/>
            <w:gridSpan w:val="18"/>
          </w:tcPr>
          <w:p>
            <w:pPr>
              <w:spacing w:after="0"/>
              <w:rPr>
                <w:rFonts w:ascii="Arial" w:cs="Arial" w:eastAsia="Arial" w:hAnsi="Arial"/>
                <w:sz w:val="16"/>
                <w:szCs w:val="16"/>
                <w:color w:val="0000FF"/>
                <w:w w:val="95"/>
              </w:rPr>
            </w:pPr>
            <w:hyperlink r:id="rId184">
              <w:r>
                <w:rPr>
                  <w:rFonts w:ascii="Arial" w:cs="Arial" w:eastAsia="Arial" w:hAnsi="Arial"/>
                  <w:sz w:val="16"/>
                  <w:szCs w:val="16"/>
                  <w:color w:val="0000FF"/>
                  <w:w w:val="95"/>
                </w:rPr>
                <w:t>Amended and Restated Credit Agreement dated as of January 4, 2021</w:t>
              </w:r>
            </w:hyperlink>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00" w:type="dxa"/>
            <w:vAlign w:val="bottom"/>
            <w:vMerge w:val="continue"/>
          </w:tcPr>
          <w:p>
            <w:pPr>
              <w:spacing w:after="0"/>
              <w:rPr>
                <w:sz w:val="12"/>
                <w:szCs w:val="12"/>
                <w:color w:val="auto"/>
              </w:rPr>
            </w:pPr>
          </w:p>
        </w:tc>
        <w:tc>
          <w:tcPr>
            <w:tcW w:w="4800" w:type="dxa"/>
            <w:vAlign w:val="bottom"/>
            <w:gridSpan w:val="18"/>
          </w:tcPr>
          <w:p>
            <w:pPr>
              <w:spacing w:after="0" w:line="142" w:lineRule="exact"/>
              <w:rPr>
                <w:rFonts w:ascii="Arial" w:cs="Arial" w:eastAsia="Arial" w:hAnsi="Arial"/>
                <w:sz w:val="16"/>
                <w:szCs w:val="16"/>
                <w:color w:val="0000FF"/>
                <w:w w:val="97"/>
              </w:rPr>
            </w:pPr>
            <w:hyperlink r:id="rId184">
              <w:r>
                <w:rPr>
                  <w:rFonts w:ascii="Arial" w:cs="Arial" w:eastAsia="Arial" w:hAnsi="Arial"/>
                  <w:sz w:val="16"/>
                  <w:szCs w:val="16"/>
                  <w:color w:val="0000FF"/>
                  <w:w w:val="97"/>
                </w:rPr>
                <w:t>among CrowdStrike Holdings, Inc., as guarantor, CrowdStrike, Inc. as</w:t>
              </w:r>
            </w:hyperlink>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560" w:type="dxa"/>
            <w:vAlign w:val="bottom"/>
            <w:tcBorders>
              <w:top w:val="single" w:sz="8" w:color="0000FF"/>
            </w:tcBorders>
            <w:gridSpan w:val="12"/>
          </w:tcPr>
          <w:p>
            <w:pPr>
              <w:spacing w:after="0"/>
              <w:rPr>
                <w:rFonts w:ascii="Arial" w:cs="Arial" w:eastAsia="Arial" w:hAnsi="Arial"/>
                <w:sz w:val="16"/>
                <w:szCs w:val="16"/>
                <w:u w:val="single" w:color="auto"/>
                <w:color w:val="0000FF"/>
                <w:w w:val="91"/>
              </w:rPr>
            </w:pPr>
            <w:hyperlink r:id="rId184">
              <w:r>
                <w:rPr>
                  <w:rFonts w:ascii="Arial" w:cs="Arial" w:eastAsia="Arial" w:hAnsi="Arial"/>
                  <w:sz w:val="16"/>
                  <w:szCs w:val="16"/>
                  <w:u w:val="single" w:color="auto"/>
                  <w:color w:val="0000FF"/>
                  <w:w w:val="91"/>
                </w:rPr>
                <w:t>borrower, and Silicon Valley Bank and the other lenders party thereto.</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00" w:type="dxa"/>
            <w:vAlign w:val="bottom"/>
          </w:tcPr>
          <w:p>
            <w:pPr>
              <w:jc w:val="center"/>
              <w:ind w:right="219"/>
              <w:spacing w:after="0"/>
              <w:rPr>
                <w:rFonts w:ascii="Arial" w:cs="Arial" w:eastAsia="Arial" w:hAnsi="Arial"/>
                <w:sz w:val="16"/>
                <w:szCs w:val="16"/>
                <w:u w:val="single" w:color="auto"/>
                <w:color w:val="0000FF"/>
                <w:w w:val="89"/>
              </w:rPr>
            </w:pPr>
            <w:hyperlink w:anchor="page149">
              <w:r>
                <w:rPr>
                  <w:rFonts w:ascii="Arial" w:cs="Arial" w:eastAsia="Arial" w:hAnsi="Arial"/>
                  <w:sz w:val="16"/>
                  <w:szCs w:val="16"/>
                  <w:u w:val="single" w:color="auto"/>
                  <w:color w:val="0000FF"/>
                  <w:w w:val="89"/>
                </w:rPr>
                <w:t>21.1</w:t>
              </w:r>
            </w:hyperlink>
          </w:p>
        </w:tc>
        <w:tc>
          <w:tcPr>
            <w:tcW w:w="4800" w:type="dxa"/>
            <w:vAlign w:val="bottom"/>
            <w:gridSpan w:val="18"/>
          </w:tcPr>
          <w:p>
            <w:pPr>
              <w:spacing w:after="0"/>
              <w:rPr>
                <w:rFonts w:ascii="Arial" w:cs="Arial" w:eastAsia="Arial" w:hAnsi="Arial"/>
                <w:sz w:val="16"/>
                <w:szCs w:val="16"/>
                <w:u w:val="single" w:color="auto"/>
                <w:color w:val="0000FF"/>
              </w:rPr>
            </w:pPr>
            <w:hyperlink w:anchor="page149">
              <w:r>
                <w:rPr>
                  <w:rFonts w:ascii="Arial" w:cs="Arial" w:eastAsia="Arial" w:hAnsi="Arial"/>
                  <w:sz w:val="16"/>
                  <w:szCs w:val="16"/>
                  <w:u w:val="single" w:color="auto"/>
                  <w:color w:val="0000FF"/>
                </w:rPr>
                <w:t>List of subsidiaries of the Registrant.</w:t>
              </w:r>
            </w:hyperlink>
          </w:p>
        </w:tc>
        <w:tc>
          <w:tcPr>
            <w:tcW w:w="0" w:type="dxa"/>
            <w:vAlign w:val="bottom"/>
          </w:tcPr>
          <w:p>
            <w:pPr>
              <w:spacing w:after="0"/>
              <w:rPr>
                <w:sz w:val="1"/>
                <w:szCs w:val="1"/>
                <w:color w:val="auto"/>
              </w:rPr>
            </w:pPr>
          </w:p>
        </w:tc>
      </w:tr>
      <w:tr>
        <w:trPr>
          <w:trHeight w:val="216"/>
        </w:trPr>
        <w:tc>
          <w:tcPr>
            <w:tcW w:w="900" w:type="dxa"/>
            <w:vAlign w:val="bottom"/>
          </w:tcPr>
          <w:p>
            <w:pPr>
              <w:jc w:val="center"/>
              <w:ind w:right="219"/>
              <w:spacing w:after="0"/>
              <w:rPr>
                <w:rFonts w:ascii="Arial" w:cs="Arial" w:eastAsia="Arial" w:hAnsi="Arial"/>
                <w:sz w:val="16"/>
                <w:szCs w:val="16"/>
                <w:u w:val="single" w:color="auto"/>
                <w:color w:val="0000FF"/>
                <w:w w:val="89"/>
              </w:rPr>
            </w:pPr>
            <w:hyperlink r:id="rId185">
              <w:r>
                <w:rPr>
                  <w:rFonts w:ascii="Arial" w:cs="Arial" w:eastAsia="Arial" w:hAnsi="Arial"/>
                  <w:sz w:val="16"/>
                  <w:szCs w:val="16"/>
                  <w:u w:val="single" w:color="auto"/>
                  <w:color w:val="0000FF"/>
                  <w:w w:val="89"/>
                </w:rPr>
                <w:t>22.1</w:t>
              </w:r>
            </w:hyperlink>
          </w:p>
        </w:tc>
        <w:tc>
          <w:tcPr>
            <w:tcW w:w="4800" w:type="dxa"/>
            <w:vAlign w:val="bottom"/>
            <w:gridSpan w:val="18"/>
          </w:tcPr>
          <w:p>
            <w:pPr>
              <w:spacing w:after="0"/>
              <w:rPr>
                <w:rFonts w:ascii="Arial" w:cs="Arial" w:eastAsia="Arial" w:hAnsi="Arial"/>
                <w:sz w:val="16"/>
                <w:szCs w:val="16"/>
                <w:u w:val="single" w:color="auto"/>
                <w:color w:val="0000FF"/>
              </w:rPr>
            </w:pPr>
            <w:hyperlink r:id="rId185">
              <w:r>
                <w:rPr>
                  <w:rFonts w:ascii="Arial" w:cs="Arial" w:eastAsia="Arial" w:hAnsi="Arial"/>
                  <w:sz w:val="16"/>
                  <w:szCs w:val="16"/>
                  <w:u w:val="single" w:color="auto"/>
                  <w:color w:val="0000FF"/>
                </w:rPr>
                <w:t>List of Subsidiary Guarantors</w:t>
              </w:r>
            </w:hyperlink>
          </w:p>
        </w:tc>
        <w:tc>
          <w:tcPr>
            <w:tcW w:w="0" w:type="dxa"/>
            <w:vAlign w:val="bottom"/>
          </w:tcPr>
          <w:p>
            <w:pPr>
              <w:spacing w:after="0"/>
              <w:rPr>
                <w:sz w:val="1"/>
                <w:szCs w:val="1"/>
                <w:color w:val="auto"/>
              </w:rPr>
            </w:pPr>
          </w:p>
        </w:tc>
      </w:tr>
      <w:tr>
        <w:trPr>
          <w:trHeight w:val="195"/>
        </w:trPr>
        <w:tc>
          <w:tcPr>
            <w:tcW w:w="900" w:type="dxa"/>
            <w:vAlign w:val="bottom"/>
            <w:vMerge w:val="restart"/>
          </w:tcPr>
          <w:p>
            <w:pPr>
              <w:jc w:val="center"/>
              <w:ind w:right="219"/>
              <w:spacing w:after="0"/>
              <w:rPr>
                <w:rFonts w:ascii="Arial" w:cs="Arial" w:eastAsia="Arial" w:hAnsi="Arial"/>
                <w:sz w:val="16"/>
                <w:szCs w:val="16"/>
                <w:u w:val="single" w:color="auto"/>
                <w:color w:val="0000FF"/>
                <w:w w:val="89"/>
              </w:rPr>
            </w:pPr>
            <w:hyperlink w:anchor="page150">
              <w:r>
                <w:rPr>
                  <w:rFonts w:ascii="Arial" w:cs="Arial" w:eastAsia="Arial" w:hAnsi="Arial"/>
                  <w:sz w:val="16"/>
                  <w:szCs w:val="16"/>
                  <w:u w:val="single" w:color="auto"/>
                  <w:color w:val="0000FF"/>
                  <w:w w:val="89"/>
                </w:rPr>
                <w:t>23.1</w:t>
              </w:r>
            </w:hyperlink>
          </w:p>
        </w:tc>
        <w:tc>
          <w:tcPr>
            <w:tcW w:w="4800" w:type="dxa"/>
            <w:vAlign w:val="bottom"/>
            <w:gridSpan w:val="18"/>
          </w:tcPr>
          <w:p>
            <w:pPr>
              <w:spacing w:after="0"/>
              <w:rPr>
                <w:rFonts w:ascii="Arial" w:cs="Arial" w:eastAsia="Arial" w:hAnsi="Arial"/>
                <w:sz w:val="16"/>
                <w:szCs w:val="16"/>
                <w:color w:val="0000FF"/>
                <w:w w:val="92"/>
              </w:rPr>
            </w:pPr>
            <w:hyperlink w:anchor="page150">
              <w:r>
                <w:rPr>
                  <w:rFonts w:ascii="Arial" w:cs="Arial" w:eastAsia="Arial" w:hAnsi="Arial"/>
                  <w:sz w:val="16"/>
                  <w:szCs w:val="16"/>
                  <w:color w:val="0000FF"/>
                  <w:w w:val="92"/>
                </w:rPr>
                <w:t>Consent of PricewaterhouseCoopers LLC, independent registered public</w:t>
              </w:r>
            </w:hyperlink>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1080" w:type="dxa"/>
            <w:vAlign w:val="bottom"/>
            <w:tcBorders>
              <w:top w:val="single" w:sz="8" w:color="0000FF"/>
            </w:tcBorders>
            <w:vMerge w:val="restart"/>
          </w:tcPr>
          <w:p>
            <w:pPr>
              <w:spacing w:after="0" w:line="142" w:lineRule="exact"/>
              <w:rPr>
                <w:rFonts w:ascii="Arial" w:cs="Arial" w:eastAsia="Arial" w:hAnsi="Arial"/>
                <w:sz w:val="16"/>
                <w:szCs w:val="16"/>
                <w:color w:val="0000FF"/>
                <w:w w:val="93"/>
              </w:rPr>
            </w:pPr>
            <w:hyperlink w:anchor="page150">
              <w:r>
                <w:rPr>
                  <w:rFonts w:ascii="Arial" w:cs="Arial" w:eastAsia="Arial" w:hAnsi="Arial"/>
                  <w:sz w:val="16"/>
                  <w:szCs w:val="16"/>
                  <w:color w:val="0000FF"/>
                  <w:w w:val="93"/>
                </w:rPr>
                <w:t>accounting firm.</w:t>
              </w:r>
            </w:hyperlink>
          </w:p>
        </w:tc>
        <w:tc>
          <w:tcPr>
            <w:tcW w:w="3620" w:type="dxa"/>
            <w:vAlign w:val="bottom"/>
            <w:tcBorders>
              <w:top w:val="single" w:sz="8" w:color="0000FF"/>
            </w:tcBorders>
            <w:gridSpan w:val="14"/>
            <w:vMerge w:val="restart"/>
          </w:tcPr>
          <w:p>
            <w:pPr>
              <w:spacing w:after="0"/>
              <w:rPr>
                <w:sz w:val="8"/>
                <w:szCs w:val="8"/>
                <w:color w:val="auto"/>
              </w:rPr>
            </w:pPr>
          </w:p>
        </w:tc>
        <w:tc>
          <w:tcPr>
            <w:tcW w:w="100" w:type="dxa"/>
            <w:vAlign w:val="bottom"/>
            <w:gridSpan w:val="3"/>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1080" w:type="dxa"/>
            <w:vAlign w:val="bottom"/>
            <w:tcBorders>
              <w:bottom w:val="single" w:sz="8" w:color="0000FF"/>
            </w:tcBorders>
            <w:vMerge w:val="continue"/>
          </w:tcPr>
          <w:p>
            <w:pPr>
              <w:spacing w:after="0"/>
              <w:rPr>
                <w:sz w:val="4"/>
                <w:szCs w:val="4"/>
                <w:color w:val="auto"/>
              </w:rPr>
            </w:pPr>
          </w:p>
        </w:tc>
        <w:tc>
          <w:tcPr>
            <w:tcW w:w="3620" w:type="dxa"/>
            <w:vAlign w:val="bottom"/>
            <w:gridSpan w:val="14"/>
            <w:vMerge w:val="continue"/>
          </w:tcPr>
          <w:p>
            <w:pPr>
              <w:spacing w:after="0"/>
              <w:rPr>
                <w:sz w:val="4"/>
                <w:szCs w:val="4"/>
                <w:color w:val="auto"/>
              </w:rPr>
            </w:pPr>
          </w:p>
        </w:tc>
        <w:tc>
          <w:tcPr>
            <w:tcW w:w="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900" w:type="dxa"/>
            <w:vAlign w:val="bottom"/>
          </w:tcPr>
          <w:p>
            <w:pPr>
              <w:jc w:val="center"/>
              <w:ind w:right="219"/>
              <w:spacing w:after="0"/>
              <w:rPr>
                <w:rFonts w:ascii="Arial" w:cs="Arial" w:eastAsia="Arial" w:hAnsi="Arial"/>
                <w:sz w:val="16"/>
                <w:szCs w:val="16"/>
                <w:u w:val="single" w:color="auto"/>
                <w:color w:val="0000FF"/>
                <w:w w:val="89"/>
              </w:rPr>
            </w:pPr>
            <w:hyperlink w:anchor="page137">
              <w:r>
                <w:rPr>
                  <w:rFonts w:ascii="Arial" w:cs="Arial" w:eastAsia="Arial" w:hAnsi="Arial"/>
                  <w:sz w:val="16"/>
                  <w:szCs w:val="16"/>
                  <w:u w:val="single" w:color="auto"/>
                  <w:color w:val="0000FF"/>
                  <w:w w:val="89"/>
                </w:rPr>
                <w:t>24.1</w:t>
              </w:r>
            </w:hyperlink>
          </w:p>
        </w:tc>
        <w:tc>
          <w:tcPr>
            <w:tcW w:w="4800" w:type="dxa"/>
            <w:vAlign w:val="bottom"/>
            <w:gridSpan w:val="18"/>
          </w:tcPr>
          <w:p>
            <w:pPr>
              <w:spacing w:after="0"/>
              <w:rPr>
                <w:rFonts w:ascii="Arial" w:cs="Arial" w:eastAsia="Arial" w:hAnsi="Arial"/>
                <w:sz w:val="16"/>
                <w:szCs w:val="16"/>
                <w:u w:val="single" w:color="auto"/>
                <w:color w:val="0000FF"/>
                <w:w w:val="99"/>
              </w:rPr>
            </w:pPr>
            <w:hyperlink w:anchor="page137">
              <w:r>
                <w:rPr>
                  <w:rFonts w:ascii="Arial" w:cs="Arial" w:eastAsia="Arial" w:hAnsi="Arial"/>
                  <w:sz w:val="16"/>
                  <w:szCs w:val="16"/>
                  <w:u w:val="single" w:color="auto"/>
                  <w:color w:val="0000FF"/>
                  <w:w w:val="99"/>
                </w:rPr>
                <w:t>Power of Attorney (reference is made to the signature page hereto).</w:t>
              </w:r>
            </w:hyperlink>
          </w:p>
        </w:tc>
        <w:tc>
          <w:tcPr>
            <w:tcW w:w="0" w:type="dxa"/>
            <w:vAlign w:val="bottom"/>
          </w:tcPr>
          <w:p>
            <w:pPr>
              <w:spacing w:after="0"/>
              <w:rPr>
                <w:sz w:val="1"/>
                <w:szCs w:val="1"/>
                <w:color w:val="auto"/>
              </w:rPr>
            </w:pPr>
          </w:p>
        </w:tc>
      </w:tr>
      <w:tr>
        <w:trPr>
          <w:trHeight w:val="182"/>
        </w:trPr>
        <w:tc>
          <w:tcPr>
            <w:tcW w:w="900" w:type="dxa"/>
            <w:vAlign w:val="bottom"/>
            <w:vMerge w:val="restart"/>
          </w:tcPr>
          <w:p>
            <w:pPr>
              <w:jc w:val="center"/>
              <w:ind w:right="219"/>
              <w:spacing w:after="0"/>
              <w:rPr>
                <w:rFonts w:ascii="Arial" w:cs="Arial" w:eastAsia="Arial" w:hAnsi="Arial"/>
                <w:sz w:val="16"/>
                <w:szCs w:val="16"/>
                <w:u w:val="single" w:color="auto"/>
                <w:color w:val="0000FF"/>
                <w:w w:val="89"/>
              </w:rPr>
            </w:pPr>
            <w:hyperlink w:anchor="page151">
              <w:r>
                <w:rPr>
                  <w:rFonts w:ascii="Arial" w:cs="Arial" w:eastAsia="Arial" w:hAnsi="Arial"/>
                  <w:sz w:val="16"/>
                  <w:szCs w:val="16"/>
                  <w:u w:val="single" w:color="auto"/>
                  <w:color w:val="0000FF"/>
                  <w:w w:val="89"/>
                </w:rPr>
                <w:t>31.1</w:t>
              </w:r>
            </w:hyperlink>
          </w:p>
        </w:tc>
        <w:tc>
          <w:tcPr>
            <w:tcW w:w="4800" w:type="dxa"/>
            <w:vAlign w:val="bottom"/>
            <w:gridSpan w:val="18"/>
          </w:tcPr>
          <w:p>
            <w:pPr>
              <w:spacing w:after="0" w:line="181" w:lineRule="exact"/>
              <w:rPr>
                <w:rFonts w:ascii="Arial" w:cs="Arial" w:eastAsia="Arial" w:hAnsi="Arial"/>
                <w:sz w:val="16"/>
                <w:szCs w:val="16"/>
                <w:color w:val="0000FF"/>
                <w:w w:val="94"/>
              </w:rPr>
            </w:pPr>
            <w:hyperlink w:anchor="page151">
              <w:r>
                <w:rPr>
                  <w:rFonts w:ascii="Arial" w:cs="Arial" w:eastAsia="Arial" w:hAnsi="Arial"/>
                  <w:sz w:val="16"/>
                  <w:szCs w:val="16"/>
                  <w:color w:val="0000FF"/>
                  <w:w w:val="94"/>
                </w:rPr>
                <w:t>Certification of the Principal Executive Officer pursuant to Exchange Act</w:t>
              </w:r>
            </w:hyperlink>
          </w:p>
        </w:tc>
        <w:tc>
          <w:tcPr>
            <w:tcW w:w="0" w:type="dxa"/>
            <w:vAlign w:val="bottom"/>
          </w:tcPr>
          <w:p>
            <w:pPr>
              <w:spacing w:after="0"/>
              <w:rPr>
                <w:sz w:val="1"/>
                <w:szCs w:val="1"/>
                <w:color w:val="auto"/>
              </w:rPr>
            </w:pPr>
          </w:p>
        </w:tc>
      </w:tr>
      <w:tr>
        <w:trPr>
          <w:trHeight w:val="142"/>
        </w:trPr>
        <w:tc>
          <w:tcPr>
            <w:tcW w:w="900" w:type="dxa"/>
            <w:vAlign w:val="bottom"/>
            <w:vMerge w:val="continue"/>
          </w:tcPr>
          <w:p>
            <w:pPr>
              <w:spacing w:after="0"/>
              <w:rPr>
                <w:sz w:val="12"/>
                <w:szCs w:val="12"/>
                <w:color w:val="auto"/>
              </w:rPr>
            </w:pPr>
          </w:p>
        </w:tc>
        <w:tc>
          <w:tcPr>
            <w:tcW w:w="4780" w:type="dxa"/>
            <w:vAlign w:val="bottom"/>
            <w:tcBorders>
              <w:top w:val="single" w:sz="8" w:color="0000FF"/>
            </w:tcBorders>
            <w:gridSpan w:val="17"/>
          </w:tcPr>
          <w:p>
            <w:pPr>
              <w:spacing w:after="0" w:line="142" w:lineRule="exact"/>
              <w:rPr>
                <w:rFonts w:ascii="Arial" w:cs="Arial" w:eastAsia="Arial" w:hAnsi="Arial"/>
                <w:sz w:val="16"/>
                <w:szCs w:val="16"/>
                <w:color w:val="0000FF"/>
                <w:w w:val="92"/>
              </w:rPr>
            </w:pPr>
            <w:hyperlink w:anchor="page151">
              <w:r>
                <w:rPr>
                  <w:rFonts w:ascii="Arial" w:cs="Arial" w:eastAsia="Arial" w:hAnsi="Arial"/>
                  <w:sz w:val="16"/>
                  <w:szCs w:val="16"/>
                  <w:color w:val="0000FF"/>
                  <w:w w:val="92"/>
                </w:rPr>
                <w:t>Rules 13a14(a) and 15d14(a), as adopted pursuant to Section 302 of the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9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1"/>
              </w:rPr>
            </w:pPr>
            <w:hyperlink w:anchor="page151">
              <w:r>
                <w:rPr>
                  <w:rFonts w:ascii="Arial" w:cs="Arial" w:eastAsia="Arial" w:hAnsi="Arial"/>
                  <w:sz w:val="16"/>
                  <w:szCs w:val="16"/>
                  <w:color w:val="0000FF"/>
                  <w:w w:val="91"/>
                </w:rPr>
                <w:t>Sarbanes-Oxley Act of 2002.</w:t>
              </w:r>
            </w:hyperlink>
          </w:p>
        </w:tc>
        <w:tc>
          <w:tcPr>
            <w:tcW w:w="2740" w:type="dxa"/>
            <w:vAlign w:val="bottom"/>
            <w:tcBorders>
              <w:top w:val="single" w:sz="8" w:color="0000FF"/>
            </w:tcBorders>
            <w:gridSpan w:val="12"/>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vMerge w:val="restart"/>
          </w:tcPr>
          <w:p>
            <w:pPr>
              <w:jc w:val="center"/>
              <w:ind w:right="219"/>
              <w:spacing w:after="0"/>
              <w:rPr>
                <w:rFonts w:ascii="Arial" w:cs="Arial" w:eastAsia="Arial" w:hAnsi="Arial"/>
                <w:sz w:val="16"/>
                <w:szCs w:val="16"/>
                <w:u w:val="single" w:color="auto"/>
                <w:color w:val="0000FF"/>
                <w:w w:val="89"/>
              </w:rPr>
            </w:pPr>
            <w:hyperlink w:anchor="page152">
              <w:r>
                <w:rPr>
                  <w:rFonts w:ascii="Arial" w:cs="Arial" w:eastAsia="Arial" w:hAnsi="Arial"/>
                  <w:sz w:val="16"/>
                  <w:szCs w:val="16"/>
                  <w:u w:val="single" w:color="auto"/>
                  <w:color w:val="0000FF"/>
                  <w:w w:val="89"/>
                </w:rPr>
                <w:t>31.2</w:t>
              </w:r>
            </w:hyperlink>
          </w:p>
        </w:tc>
        <w:tc>
          <w:tcPr>
            <w:tcW w:w="4800" w:type="dxa"/>
            <w:vAlign w:val="bottom"/>
            <w:gridSpan w:val="18"/>
          </w:tcPr>
          <w:p>
            <w:pPr>
              <w:spacing w:after="0"/>
              <w:rPr>
                <w:rFonts w:ascii="Arial" w:cs="Arial" w:eastAsia="Arial" w:hAnsi="Arial"/>
                <w:sz w:val="16"/>
                <w:szCs w:val="16"/>
                <w:color w:val="0000FF"/>
                <w:w w:val="95"/>
              </w:rPr>
            </w:pPr>
            <w:hyperlink w:anchor="page152">
              <w:r>
                <w:rPr>
                  <w:rFonts w:ascii="Arial" w:cs="Arial" w:eastAsia="Arial" w:hAnsi="Arial"/>
                  <w:sz w:val="16"/>
                  <w:szCs w:val="16"/>
                  <w:color w:val="0000FF"/>
                  <w:w w:val="95"/>
                </w:rPr>
                <w:t>Certification of the Principal Financial Officer pursuant to Exchange Act</w:t>
              </w:r>
            </w:hyperlink>
          </w:p>
        </w:tc>
        <w:tc>
          <w:tcPr>
            <w:tcW w:w="0" w:type="dxa"/>
            <w:vAlign w:val="bottom"/>
          </w:tcPr>
          <w:p>
            <w:pPr>
              <w:spacing w:after="0"/>
              <w:rPr>
                <w:sz w:val="1"/>
                <w:szCs w:val="1"/>
                <w:color w:val="auto"/>
              </w:rPr>
            </w:pPr>
          </w:p>
        </w:tc>
      </w:tr>
      <w:tr>
        <w:trPr>
          <w:trHeight w:val="142"/>
        </w:trPr>
        <w:tc>
          <w:tcPr>
            <w:tcW w:w="900" w:type="dxa"/>
            <w:vAlign w:val="bottom"/>
            <w:vMerge w:val="continue"/>
          </w:tcPr>
          <w:p>
            <w:pPr>
              <w:spacing w:after="0"/>
              <w:rPr>
                <w:sz w:val="12"/>
                <w:szCs w:val="12"/>
                <w:color w:val="auto"/>
              </w:rPr>
            </w:pPr>
          </w:p>
        </w:tc>
        <w:tc>
          <w:tcPr>
            <w:tcW w:w="4740" w:type="dxa"/>
            <w:vAlign w:val="bottom"/>
            <w:tcBorders>
              <w:top w:val="single" w:sz="8" w:color="0000FF"/>
            </w:tcBorders>
            <w:gridSpan w:val="16"/>
          </w:tcPr>
          <w:p>
            <w:pPr>
              <w:spacing w:after="0" w:line="142" w:lineRule="exact"/>
              <w:rPr>
                <w:rFonts w:ascii="Arial" w:cs="Arial" w:eastAsia="Arial" w:hAnsi="Arial"/>
                <w:sz w:val="16"/>
                <w:szCs w:val="16"/>
                <w:color w:val="0000FF"/>
                <w:w w:val="91"/>
              </w:rPr>
            </w:pPr>
            <w:hyperlink w:anchor="page152">
              <w:r>
                <w:rPr>
                  <w:rFonts w:ascii="Arial" w:cs="Arial" w:eastAsia="Arial" w:hAnsi="Arial"/>
                  <w:sz w:val="16"/>
                  <w:szCs w:val="16"/>
                  <w:color w:val="0000FF"/>
                  <w:w w:val="91"/>
                </w:rPr>
                <w:t>Rules 13a14(a) and 15d14(a), as adopted pursuant to Section 302 of the</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9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1"/>
              </w:rPr>
            </w:pPr>
            <w:hyperlink w:anchor="page152">
              <w:r>
                <w:rPr>
                  <w:rFonts w:ascii="Arial" w:cs="Arial" w:eastAsia="Arial" w:hAnsi="Arial"/>
                  <w:sz w:val="16"/>
                  <w:szCs w:val="16"/>
                  <w:color w:val="0000FF"/>
                  <w:w w:val="91"/>
                </w:rPr>
                <w:t>Sarbanes-Oxley Act of 2002.</w:t>
              </w:r>
            </w:hyperlink>
          </w:p>
        </w:tc>
        <w:tc>
          <w:tcPr>
            <w:tcW w:w="2740" w:type="dxa"/>
            <w:vAlign w:val="bottom"/>
            <w:tcBorders>
              <w:top w:val="single" w:sz="8" w:color="0000FF"/>
            </w:tcBorders>
            <w:gridSpan w:val="12"/>
          </w:tcPr>
          <w:p>
            <w:pPr>
              <w:spacing w:after="0"/>
              <w:rPr>
                <w:sz w:val="12"/>
                <w:szCs w:val="12"/>
                <w:color w:val="auto"/>
              </w:rPr>
            </w:pPr>
          </w:p>
        </w:tc>
        <w:tc>
          <w:tcPr>
            <w:tcW w:w="1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vMerge w:val="restart"/>
          </w:tcPr>
          <w:p>
            <w:pPr>
              <w:jc w:val="center"/>
              <w:ind w:right="219"/>
              <w:spacing w:after="0"/>
              <w:rPr>
                <w:rFonts w:ascii="Arial" w:cs="Arial" w:eastAsia="Arial" w:hAnsi="Arial"/>
                <w:sz w:val="16"/>
                <w:szCs w:val="16"/>
                <w:u w:val="single" w:color="auto"/>
                <w:color w:val="0000FF"/>
                <w:w w:val="96"/>
              </w:rPr>
            </w:pPr>
            <w:hyperlink w:anchor="page153">
              <w:r>
                <w:rPr>
                  <w:rFonts w:ascii="Arial" w:cs="Arial" w:eastAsia="Arial" w:hAnsi="Arial"/>
                  <w:sz w:val="16"/>
                  <w:szCs w:val="16"/>
                  <w:u w:val="single" w:color="auto"/>
                  <w:color w:val="0000FF"/>
                  <w:w w:val="96"/>
                </w:rPr>
                <w:t>32.1*</w:t>
              </w:r>
            </w:hyperlink>
          </w:p>
        </w:tc>
        <w:tc>
          <w:tcPr>
            <w:tcW w:w="4800" w:type="dxa"/>
            <w:vAlign w:val="bottom"/>
            <w:gridSpan w:val="18"/>
          </w:tcPr>
          <w:p>
            <w:pPr>
              <w:spacing w:after="0"/>
              <w:rPr>
                <w:rFonts w:ascii="Arial" w:cs="Arial" w:eastAsia="Arial" w:hAnsi="Arial"/>
                <w:sz w:val="16"/>
                <w:szCs w:val="16"/>
                <w:color w:val="0000FF"/>
                <w:w w:val="98"/>
              </w:rPr>
            </w:pPr>
            <w:hyperlink w:anchor="page153">
              <w:r>
                <w:rPr>
                  <w:rFonts w:ascii="Arial" w:cs="Arial" w:eastAsia="Arial" w:hAnsi="Arial"/>
                  <w:sz w:val="16"/>
                  <w:szCs w:val="16"/>
                  <w:color w:val="0000FF"/>
                  <w:w w:val="98"/>
                </w:rPr>
                <w:t>Certification of the Principal Executive Officer and Principal Financial</w:t>
              </w:r>
            </w:hyperlink>
          </w:p>
        </w:tc>
        <w:tc>
          <w:tcPr>
            <w:tcW w:w="0" w:type="dxa"/>
            <w:vAlign w:val="bottom"/>
          </w:tcPr>
          <w:p>
            <w:pPr>
              <w:spacing w:after="0"/>
              <w:rPr>
                <w:sz w:val="1"/>
                <w:szCs w:val="1"/>
                <w:color w:val="auto"/>
              </w:rPr>
            </w:pPr>
          </w:p>
        </w:tc>
      </w:tr>
      <w:tr>
        <w:trPr>
          <w:trHeight w:val="142"/>
        </w:trPr>
        <w:tc>
          <w:tcPr>
            <w:tcW w:w="900" w:type="dxa"/>
            <w:vAlign w:val="bottom"/>
            <w:vMerge w:val="continue"/>
          </w:tcPr>
          <w:p>
            <w:pPr>
              <w:spacing w:after="0"/>
              <w:rPr>
                <w:sz w:val="12"/>
                <w:szCs w:val="12"/>
                <w:color w:val="auto"/>
              </w:rPr>
            </w:pPr>
          </w:p>
        </w:tc>
        <w:tc>
          <w:tcPr>
            <w:tcW w:w="4600" w:type="dxa"/>
            <w:vAlign w:val="bottom"/>
            <w:tcBorders>
              <w:top w:val="single" w:sz="8" w:color="0000FF"/>
            </w:tcBorders>
            <w:gridSpan w:val="13"/>
          </w:tcPr>
          <w:p>
            <w:pPr>
              <w:spacing w:after="0" w:line="142" w:lineRule="exact"/>
              <w:rPr>
                <w:rFonts w:ascii="Arial" w:cs="Arial" w:eastAsia="Arial" w:hAnsi="Arial"/>
                <w:sz w:val="16"/>
                <w:szCs w:val="16"/>
                <w:color w:val="0000FF"/>
                <w:w w:val="96"/>
              </w:rPr>
            </w:pPr>
            <w:hyperlink w:anchor="page153">
              <w:r>
                <w:rPr>
                  <w:rFonts w:ascii="Arial" w:cs="Arial" w:eastAsia="Arial" w:hAnsi="Arial"/>
                  <w:sz w:val="16"/>
                  <w:szCs w:val="16"/>
                  <w:color w:val="0000FF"/>
                  <w:w w:val="96"/>
                </w:rPr>
                <w:t>Officer pursuant to 18 U.S.C. Section 1350, as adopted pursuant to</w:t>
              </w:r>
            </w:hyperlink>
          </w:p>
        </w:tc>
        <w:tc>
          <w:tcPr>
            <w:tcW w:w="2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1"/>
              </w:rPr>
            </w:pPr>
            <w:hyperlink w:anchor="page153">
              <w:r>
                <w:rPr>
                  <w:rFonts w:ascii="Arial" w:cs="Arial" w:eastAsia="Arial" w:hAnsi="Arial"/>
                  <w:sz w:val="16"/>
                  <w:szCs w:val="16"/>
                  <w:color w:val="0000FF"/>
                  <w:w w:val="91"/>
                </w:rPr>
                <w:t>Section 906 of the Sarbanes-Oxley Act of 2002.</w:t>
              </w:r>
            </w:hyperlink>
          </w:p>
        </w:tc>
        <w:tc>
          <w:tcPr>
            <w:tcW w:w="1220" w:type="dxa"/>
            <w:vAlign w:val="bottom"/>
            <w:tcBorders>
              <w:top w:val="single" w:sz="8" w:color="0000FF"/>
            </w:tcBorders>
          </w:tcPr>
          <w:p>
            <w:pPr>
              <w:spacing w:after="0"/>
              <w:rPr>
                <w:sz w:val="12"/>
                <w:szCs w:val="12"/>
                <w:color w:val="auto"/>
              </w:rPr>
            </w:pPr>
          </w:p>
        </w:tc>
        <w:tc>
          <w:tcPr>
            <w:tcW w:w="4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900" w:type="dxa"/>
            <w:vAlign w:val="bottom"/>
          </w:tcPr>
          <w:p>
            <w:pPr>
              <w:jc w:val="center"/>
              <w:ind w:right="239"/>
              <w:spacing w:after="0"/>
              <w:rPr>
                <w:sz w:val="20"/>
                <w:szCs w:val="20"/>
                <w:color w:val="auto"/>
              </w:rPr>
            </w:pPr>
            <w:r>
              <w:rPr>
                <w:rFonts w:ascii="Arial" w:cs="Arial" w:eastAsia="Arial" w:hAnsi="Arial"/>
                <w:sz w:val="16"/>
                <w:szCs w:val="16"/>
                <w:color w:val="auto"/>
                <w:w w:val="93"/>
              </w:rPr>
              <w:t>101.INS</w:t>
            </w:r>
          </w:p>
        </w:tc>
        <w:tc>
          <w:tcPr>
            <w:tcW w:w="4800" w:type="dxa"/>
            <w:vAlign w:val="bottom"/>
            <w:gridSpan w:val="18"/>
          </w:tcPr>
          <w:p>
            <w:pPr>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16"/>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2"/>
              </w:rPr>
              <w:t>101.SCH</w:t>
            </w:r>
          </w:p>
        </w:tc>
        <w:tc>
          <w:tcPr>
            <w:tcW w:w="4800" w:type="dxa"/>
            <w:vAlign w:val="bottom"/>
            <w:gridSpan w:val="18"/>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6"/>
              </w:rPr>
              <w:t>101.CAL</w:t>
            </w:r>
          </w:p>
        </w:tc>
        <w:tc>
          <w:tcPr>
            <w:tcW w:w="4800" w:type="dxa"/>
            <w:vAlign w:val="bottom"/>
            <w:gridSpan w:val="1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00" w:type="dxa"/>
            <w:vAlign w:val="bottom"/>
          </w:tcPr>
          <w:p>
            <w:pPr>
              <w:jc w:val="center"/>
              <w:ind w:right="239"/>
              <w:spacing w:after="0"/>
              <w:rPr>
                <w:sz w:val="20"/>
                <w:szCs w:val="20"/>
                <w:color w:val="auto"/>
              </w:rPr>
            </w:pPr>
            <w:r>
              <w:rPr>
                <w:rFonts w:ascii="Arial" w:cs="Arial" w:eastAsia="Arial" w:hAnsi="Arial"/>
                <w:sz w:val="16"/>
                <w:szCs w:val="16"/>
                <w:color w:val="auto"/>
                <w:w w:val="91"/>
              </w:rPr>
              <w:t>101.DEF</w:t>
            </w:r>
          </w:p>
        </w:tc>
        <w:tc>
          <w:tcPr>
            <w:tcW w:w="4800" w:type="dxa"/>
            <w:vAlign w:val="bottom"/>
            <w:gridSpan w:val="1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7"/>
              </w:rPr>
              <w:t>101.LAB</w:t>
            </w:r>
          </w:p>
        </w:tc>
        <w:tc>
          <w:tcPr>
            <w:tcW w:w="4800" w:type="dxa"/>
            <w:vAlign w:val="bottom"/>
            <w:gridSpan w:val="1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00" w:type="dxa"/>
            <w:vAlign w:val="bottom"/>
          </w:tcPr>
          <w:p>
            <w:pPr>
              <w:jc w:val="center"/>
              <w:ind w:right="239"/>
              <w:spacing w:after="0"/>
              <w:rPr>
                <w:sz w:val="20"/>
                <w:szCs w:val="20"/>
                <w:color w:val="auto"/>
              </w:rPr>
            </w:pPr>
            <w:r>
              <w:rPr>
                <w:rFonts w:ascii="Arial" w:cs="Arial" w:eastAsia="Arial" w:hAnsi="Arial"/>
                <w:sz w:val="16"/>
                <w:szCs w:val="16"/>
                <w:color w:val="auto"/>
                <w:w w:val="90"/>
              </w:rPr>
              <w:t>101.PRE</w:t>
            </w:r>
          </w:p>
        </w:tc>
        <w:tc>
          <w:tcPr>
            <w:tcW w:w="4800" w:type="dxa"/>
            <w:vAlign w:val="bottom"/>
            <w:gridSpan w:val="18"/>
          </w:tcPr>
          <w:p>
            <w:pPr>
              <w:spacing w:after="0"/>
              <w:rPr>
                <w:sz w:val="20"/>
                <w:szCs w:val="20"/>
                <w:color w:val="auto"/>
              </w:rPr>
            </w:pPr>
            <w:r>
              <w:rPr>
                <w:rFonts w:ascii="Arial" w:cs="Arial" w:eastAsia="Arial" w:hAnsi="Arial"/>
                <w:sz w:val="16"/>
                <w:szCs w:val="16"/>
                <w:color w:val="auto"/>
                <w:w w:val="99"/>
              </w:rPr>
              <w:t>Inline XBRL Taxonomy Extension Presentation Linkbase Document</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100" w:right="540" w:hanging="728"/>
        <w:spacing w:after="0" w:line="187" w:lineRule="auto"/>
        <w:tabs>
          <w:tab w:leader="none" w:pos="1100" w:val="left"/>
        </w:tabs>
        <w:numPr>
          <w:ilvl w:val="0"/>
          <w:numId w:val="59"/>
        </w:numPr>
        <w:rPr>
          <w:rFonts w:ascii="Arial" w:cs="Arial" w:eastAsia="Arial" w:hAnsi="Arial"/>
          <w:sz w:val="27"/>
          <w:szCs w:val="27"/>
          <w:color w:val="auto"/>
          <w:vertAlign w:val="subscript"/>
        </w:rPr>
      </w:pPr>
      <w:r>
        <w:rPr>
          <w:rFonts w:ascii="Arial" w:cs="Arial" w:eastAsia="Arial" w:hAnsi="Arial"/>
          <w:sz w:val="14"/>
          <w:szCs w:val="14"/>
          <w:color w:val="auto"/>
        </w:rPr>
        <w:t>Cover Page Interactive Data File – the cover page XBRL tags are embedded within the Inline Instance XBRL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jc w:val="center"/>
              <w:ind w:right="59"/>
              <w:spacing w:after="0"/>
              <w:rPr>
                <w:sz w:val="20"/>
                <w:szCs w:val="20"/>
                <w:color w:val="auto"/>
              </w:rPr>
            </w:pPr>
            <w:r>
              <w:rPr>
                <w:rFonts w:ascii="Arial" w:cs="Arial" w:eastAsia="Arial" w:hAnsi="Arial"/>
                <w:sz w:val="16"/>
                <w:szCs w:val="16"/>
                <w:color w:val="auto"/>
                <w:w w:val="95"/>
              </w:rPr>
              <w:t>10-Q</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140" w:type="dxa"/>
            <w:vAlign w:val="bottom"/>
          </w:tcPr>
          <w:p>
            <w:pPr>
              <w:jc w:val="center"/>
              <w:ind w:right="459"/>
              <w:spacing w:after="0"/>
              <w:rPr>
                <w:sz w:val="20"/>
                <w:szCs w:val="20"/>
                <w:color w:val="auto"/>
              </w:rPr>
            </w:pPr>
            <w:r>
              <w:rPr>
                <w:rFonts w:ascii="Arial" w:cs="Arial" w:eastAsia="Arial" w:hAnsi="Arial"/>
                <w:sz w:val="16"/>
                <w:szCs w:val="16"/>
                <w:color w:val="auto"/>
                <w:w w:val="91"/>
              </w:rPr>
              <w:t>December 6, 2019</w:t>
            </w:r>
          </w:p>
        </w:tc>
      </w:tr>
      <w:tr>
        <w:trPr>
          <w:trHeight w:val="378"/>
        </w:trPr>
        <w:tc>
          <w:tcPr>
            <w:tcW w:w="680" w:type="dxa"/>
            <w:vAlign w:val="bottom"/>
          </w:tcPr>
          <w:p>
            <w:pPr>
              <w:jc w:val="center"/>
              <w:ind w:right="59"/>
              <w:spacing w:after="0"/>
              <w:rPr>
                <w:sz w:val="20"/>
                <w:szCs w:val="20"/>
                <w:color w:val="auto"/>
              </w:rPr>
            </w:pPr>
            <w:r>
              <w:rPr>
                <w:rFonts w:ascii="Arial" w:cs="Arial" w:eastAsia="Arial" w:hAnsi="Arial"/>
                <w:sz w:val="16"/>
                <w:szCs w:val="16"/>
                <w:color w:val="auto"/>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2140" w:type="dxa"/>
            <w:vAlign w:val="bottom"/>
          </w:tcPr>
          <w:p>
            <w:pPr>
              <w:jc w:val="center"/>
              <w:ind w:right="439"/>
              <w:spacing w:after="0"/>
              <w:rPr>
                <w:sz w:val="20"/>
                <w:szCs w:val="20"/>
                <w:color w:val="auto"/>
              </w:rPr>
            </w:pPr>
            <w:r>
              <w:rPr>
                <w:rFonts w:ascii="Arial" w:cs="Arial" w:eastAsia="Arial" w:hAnsi="Arial"/>
                <w:sz w:val="16"/>
                <w:szCs w:val="16"/>
                <w:color w:val="auto"/>
                <w:w w:val="91"/>
              </w:rPr>
              <w:t>March 23, 2020</w:t>
            </w:r>
          </w:p>
        </w:tc>
      </w:tr>
      <w:tr>
        <w:trPr>
          <w:trHeight w:val="378"/>
        </w:trPr>
        <w:tc>
          <w:tcPr>
            <w:tcW w:w="680" w:type="dxa"/>
            <w:vAlign w:val="bottom"/>
          </w:tcPr>
          <w:p>
            <w:pPr>
              <w:jc w:val="center"/>
              <w:ind w:right="59"/>
              <w:spacing w:after="0"/>
              <w:rPr>
                <w:sz w:val="20"/>
                <w:szCs w:val="20"/>
                <w:color w:val="auto"/>
              </w:rPr>
            </w:pPr>
            <w:r>
              <w:rPr>
                <w:rFonts w:ascii="Arial" w:cs="Arial" w:eastAsia="Arial" w:hAnsi="Arial"/>
                <w:sz w:val="16"/>
                <w:szCs w:val="16"/>
                <w:color w:val="auto"/>
                <w:w w:val="88"/>
              </w:rPr>
              <w:t>S-1</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2140" w:type="dxa"/>
            <w:vAlign w:val="bottom"/>
          </w:tcPr>
          <w:p>
            <w:pPr>
              <w:jc w:val="center"/>
              <w:ind w:right="439"/>
              <w:spacing w:after="0"/>
              <w:rPr>
                <w:sz w:val="20"/>
                <w:szCs w:val="20"/>
                <w:color w:val="auto"/>
              </w:rPr>
            </w:pPr>
            <w:r>
              <w:rPr>
                <w:rFonts w:ascii="Arial" w:cs="Arial" w:eastAsia="Arial" w:hAnsi="Arial"/>
                <w:sz w:val="16"/>
                <w:szCs w:val="16"/>
                <w:color w:val="auto"/>
                <w:w w:val="92"/>
              </w:rPr>
              <w:t>May 14, 2019</w:t>
            </w:r>
          </w:p>
        </w:tc>
      </w:tr>
      <w:tr>
        <w:trPr>
          <w:trHeight w:val="621"/>
        </w:trPr>
        <w:tc>
          <w:tcPr>
            <w:tcW w:w="680" w:type="dxa"/>
            <w:vAlign w:val="bottom"/>
          </w:tcPr>
          <w:p>
            <w:pPr>
              <w:jc w:val="center"/>
              <w:ind w:right="59"/>
              <w:spacing w:after="0"/>
              <w:rPr>
                <w:sz w:val="20"/>
                <w:szCs w:val="20"/>
                <w:color w:val="auto"/>
              </w:rPr>
            </w:pPr>
            <w:r>
              <w:rPr>
                <w:rFonts w:ascii="Arial" w:cs="Arial" w:eastAsia="Arial" w:hAnsi="Arial"/>
                <w:sz w:val="16"/>
                <w:szCs w:val="16"/>
                <w:color w:val="auto"/>
              </w:rPr>
              <w:t>8-K</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2140" w:type="dxa"/>
            <w:vAlign w:val="bottom"/>
          </w:tcPr>
          <w:p>
            <w:pPr>
              <w:jc w:val="center"/>
              <w:ind w:right="439"/>
              <w:spacing w:after="0"/>
              <w:rPr>
                <w:sz w:val="20"/>
                <w:szCs w:val="20"/>
                <w:color w:val="auto"/>
              </w:rPr>
            </w:pPr>
            <w:r>
              <w:rPr>
                <w:rFonts w:ascii="Arial" w:cs="Arial" w:eastAsia="Arial" w:hAnsi="Arial"/>
                <w:sz w:val="16"/>
                <w:szCs w:val="16"/>
                <w:color w:val="auto"/>
                <w:w w:val="88"/>
              </w:rPr>
              <w:t>January 5, 2021</w:t>
            </w:r>
          </w:p>
        </w:tc>
      </w:tr>
      <w:tr>
        <w:trPr>
          <w:trHeight w:val="216"/>
        </w:trPr>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40" w:type="dxa"/>
            <w:vAlign w:val="bottom"/>
          </w:tcPr>
          <w:p>
            <w:pPr>
              <w:ind w:left="2020"/>
              <w:spacing w:after="0"/>
              <w:rPr>
                <w:sz w:val="20"/>
                <w:szCs w:val="20"/>
                <w:color w:val="auto"/>
              </w:rPr>
            </w:pPr>
            <w:r>
              <w:rPr>
                <w:rFonts w:ascii="Arial" w:cs="Arial" w:eastAsia="Arial" w:hAnsi="Arial"/>
                <w:sz w:val="16"/>
                <w:szCs w:val="16"/>
                <w:color w:val="auto"/>
                <w:w w:val="93"/>
              </w:rPr>
              <w:t>X</w:t>
            </w:r>
          </w:p>
        </w:tc>
      </w:tr>
      <w:tr>
        <w:trPr>
          <w:trHeight w:val="235"/>
        </w:trPr>
        <w:tc>
          <w:tcPr>
            <w:tcW w:w="680" w:type="dxa"/>
            <w:vAlign w:val="bottom"/>
          </w:tcPr>
          <w:p>
            <w:pPr>
              <w:jc w:val="center"/>
              <w:ind w:right="59"/>
              <w:spacing w:after="0"/>
              <w:rPr>
                <w:sz w:val="20"/>
                <w:szCs w:val="20"/>
                <w:color w:val="auto"/>
              </w:rPr>
            </w:pPr>
            <w:r>
              <w:rPr>
                <w:rFonts w:ascii="Arial" w:cs="Arial" w:eastAsia="Arial" w:hAnsi="Arial"/>
                <w:sz w:val="16"/>
                <w:szCs w:val="16"/>
                <w:color w:val="auto"/>
                <w:w w:val="93"/>
              </w:rPr>
              <w:t>S-3ASR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333-252007</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22.1</w:t>
            </w:r>
          </w:p>
        </w:tc>
        <w:tc>
          <w:tcPr>
            <w:tcW w:w="2140" w:type="dxa"/>
            <w:vAlign w:val="bottom"/>
          </w:tcPr>
          <w:p>
            <w:pPr>
              <w:jc w:val="center"/>
              <w:ind w:right="439"/>
              <w:spacing w:after="0"/>
              <w:rPr>
                <w:sz w:val="20"/>
                <w:szCs w:val="20"/>
                <w:color w:val="auto"/>
              </w:rPr>
            </w:pPr>
            <w:r>
              <w:rPr>
                <w:rFonts w:ascii="Arial" w:cs="Arial" w:eastAsia="Arial" w:hAnsi="Arial"/>
                <w:sz w:val="16"/>
                <w:szCs w:val="16"/>
                <w:color w:val="auto"/>
                <w:w w:val="88"/>
              </w:rPr>
              <w:t>January 11, 2021</w:t>
            </w:r>
          </w:p>
        </w:tc>
      </w:tr>
    </w:tbl>
    <w:p>
      <w:pPr>
        <w:spacing w:after="0" w:line="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510" w:lineRule="exact"/>
        <w:rPr>
          <w:sz w:val="20"/>
          <w:szCs w:val="20"/>
          <w:color w:val="auto"/>
        </w:rPr>
      </w:pPr>
    </w:p>
    <w:p>
      <w:pPr>
        <w:sectPr>
          <w:pgSz w:w="11900" w:h="16838" w:orient="portrait"/>
          <w:cols w:equalWidth="0" w:num="2">
            <w:col w:w="5880" w:space="180"/>
            <w:col w:w="4780"/>
          </w:cols>
          <w:pgMar w:left="320" w:top="125" w:right="739" w:bottom="1440" w:gutter="0" w:footer="0" w:header="0"/>
        </w:sectPr>
      </w:pPr>
    </w:p>
    <w:p>
      <w:pPr>
        <w:spacing w:after="0" w:line="21"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221" w:lineRule="exact"/>
        <w:rPr>
          <w:sz w:val="20"/>
          <w:szCs w:val="20"/>
          <w:color w:val="auto"/>
        </w:rPr>
      </w:pPr>
    </w:p>
    <w:p>
      <w:pPr>
        <w:ind w:left="420" w:right="160" w:hanging="412"/>
        <w:spacing w:after="0" w:line="310" w:lineRule="auto"/>
        <w:tabs>
          <w:tab w:leader="none" w:pos="4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in Sunnyvale, California, on the day of March 18, 2021.</w:t>
      </w:r>
    </w:p>
    <w:p>
      <w:pPr>
        <w:spacing w:after="0" w:line="4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CROWDSTRIKE HOLDINGS, INC.</w:t>
      </w:r>
    </w:p>
    <w:p>
      <w:pPr>
        <w:spacing w:after="0" w:line="135" w:lineRule="exact"/>
        <w:rPr>
          <w:sz w:val="20"/>
          <w:szCs w:val="20"/>
          <w:color w:val="auto"/>
        </w:rPr>
      </w:pPr>
    </w:p>
    <w:p>
      <w:pPr>
        <w:ind w:left="5380"/>
        <w:spacing w:after="0"/>
        <w:tabs>
          <w:tab w:leader="none" w:pos="586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George Kurtz</w:t>
      </w:r>
    </w:p>
    <w:p>
      <w:pPr>
        <w:ind w:left="5880"/>
        <w:spacing w:after="0" w:line="228" w:lineRule="auto"/>
        <w:rPr>
          <w:sz w:val="20"/>
          <w:szCs w:val="20"/>
          <w:color w:val="auto"/>
        </w:rPr>
      </w:pPr>
      <w:r>
        <w:rPr>
          <w:rFonts w:ascii="Arial" w:cs="Arial" w:eastAsia="Arial" w:hAnsi="Arial"/>
          <w:sz w:val="16"/>
          <w:szCs w:val="16"/>
          <w:i w:val="1"/>
          <w:iCs w:val="1"/>
          <w:color w:val="auto"/>
        </w:rPr>
        <w:t>President, Chief Executive Officer and Director (Principal Executive</w:t>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KNOW ALL THESE PERSONS BY THESE PRESENTS, that each person whose signature appears below constitutes and appoints George Kurtz, Burt W. Podbere, and Abhishek Maheshwari,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6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18"/>
        </w:trPr>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/s/ George Kurtz</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w w:val="96"/>
              </w:rPr>
              <w:t>President, Chief Executive Officer, and Director (Principal Executive</w:t>
            </w:r>
          </w:p>
        </w:tc>
        <w:tc>
          <w:tcPr>
            <w:tcW w:w="1520" w:type="dxa"/>
            <w:vAlign w:val="bottom"/>
            <w:vMerge w:val="restart"/>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George Kurtz</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Burt W. Podbere</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Abhishek Maheshwari</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 (Principal Accounting Officer)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Abhishek Maheshwari</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Gerhard Watzinger</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Chairman of the Board of Directors</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Gerhard Watzinger</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Cary J. Davis</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Cary J. Davis</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Denis J. O’Leary</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Denis J. O’Leary</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Godfrey R. Sullivan</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Godfrey R. Sullivan</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E. Sexton</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Joseph E. Sexton</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J. Schumacher</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Laura J. Schumacher</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Roxanne S. Austin</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Roxanne S. Austin</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Sameer K. Gandhi</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60"/>
              <w:spacing w:after="0"/>
              <w:rPr>
                <w:sz w:val="20"/>
                <w:szCs w:val="20"/>
                <w:color w:val="auto"/>
              </w:rPr>
            </w:pPr>
            <w:r>
              <w:rPr>
                <w:rFonts w:ascii="Arial" w:cs="Arial" w:eastAsia="Arial" w:hAnsi="Arial"/>
                <w:sz w:val="18"/>
                <w:szCs w:val="18"/>
                <w:color w:val="auto"/>
                <w:w w:val="91"/>
              </w:rPr>
              <w:t>March 18, 2021</w:t>
            </w:r>
          </w:p>
        </w:tc>
        <w:tc>
          <w:tcPr>
            <w:tcW w:w="0" w:type="dxa"/>
            <w:vAlign w:val="bottom"/>
          </w:tcPr>
          <w:p>
            <w:pPr>
              <w:spacing w:after="0"/>
              <w:rPr>
                <w:sz w:val="1"/>
                <w:szCs w:val="1"/>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Sameer K. Gandhi</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2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DIRECTORS – INITIAL GRANT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Unless otherwise defined herein, the terms defined in the CrowdStrike Holdings, Inc. 2019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will have the same defined meanings in this Global Restricted Stock Unit Agreement, which includes the Notice of Restricted Stock Unit Grant (the “</w:t>
      </w:r>
      <w:r>
        <w:rPr>
          <w:rFonts w:ascii="Arial" w:cs="Arial" w:eastAsia="Arial" w:hAnsi="Arial"/>
          <w:sz w:val="22"/>
          <w:szCs w:val="22"/>
          <w:u w:val="single" w:color="auto"/>
          <w:color w:val="auto"/>
        </w:rPr>
        <w:t>Notice of Grant</w:t>
      </w:r>
      <w:r>
        <w:rPr>
          <w:rFonts w:ascii="Arial" w:cs="Arial" w:eastAsia="Arial" w:hAnsi="Arial"/>
          <w:sz w:val="22"/>
          <w:szCs w:val="22"/>
          <w:color w:val="auto"/>
        </w:rPr>
        <w:t>”), the Terms and Conditions of Restricted Stock Unit Grant, and all other exhibits and appendices (all together, the “</w:t>
      </w:r>
      <w:r>
        <w:rPr>
          <w:rFonts w:ascii="Arial" w:cs="Arial" w:eastAsia="Arial" w:hAnsi="Arial"/>
          <w:sz w:val="22"/>
          <w:szCs w:val="22"/>
          <w:u w:val="single" w:color="auto"/>
          <w:color w:val="auto"/>
        </w:rPr>
        <w:t>Award Agreement</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NOTICE OF RESTRICTED STOCK UNIT GRANT</w:t>
      </w:r>
    </w:p>
    <w:p>
      <w:pPr>
        <w:spacing w:after="0" w:line="22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color w:val="auto"/>
          <w:highlight w:val="yellow"/>
        </w:rPr>
        <w:t>[_]</w:t>
      </w:r>
    </w:p>
    <w:p>
      <w:pPr>
        <w:spacing w:after="0" w:line="22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b w:val="1"/>
          <w:bCs w:val="1"/>
          <w:color w:val="auto"/>
        </w:rPr>
        <w:t>Address:</w:t>
      </w:r>
      <w:r>
        <w:rPr>
          <w:sz w:val="20"/>
          <w:szCs w:val="20"/>
          <w:color w:val="auto"/>
        </w:rPr>
        <w:tab/>
      </w:r>
      <w:r>
        <w:rPr>
          <w:rFonts w:ascii="Arial" w:cs="Arial" w:eastAsia="Arial" w:hAnsi="Arial"/>
          <w:sz w:val="21"/>
          <w:szCs w:val="21"/>
          <w:color w:val="auto"/>
          <w:highlight w:val="yellow"/>
        </w:rPr>
        <w:t>[_]</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CrowdStrike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 has granted Participant the right to receive an Award of Restricted Stock Units, subject to the terms and conditions of the Plan and this Award Agreement, as follows:</w:t>
      </w:r>
    </w:p>
    <w:p>
      <w:pPr>
        <w:spacing w:after="0" w:line="175"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22"/>
          <w:szCs w:val="22"/>
          <w:color w:val="auto"/>
        </w:rPr>
        <w:t>Grant Number:</w:t>
      </w:r>
      <w:r>
        <w:rPr>
          <w:sz w:val="20"/>
          <w:szCs w:val="20"/>
          <w:color w:val="auto"/>
        </w:rPr>
        <w:tab/>
      </w:r>
      <w:r>
        <w:rPr>
          <w:rFonts w:ascii="Arial" w:cs="Arial" w:eastAsia="Arial" w:hAnsi="Arial"/>
          <w:sz w:val="21"/>
          <w:szCs w:val="21"/>
          <w:color w:val="auto"/>
          <w:highlight w:val="yellow"/>
        </w:rPr>
        <w:t>[_]</w:t>
      </w:r>
    </w:p>
    <w:p>
      <w:pPr>
        <w:spacing w:after="0" w:line="220"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Date of Grant:</w:t>
      </w:r>
      <w:r>
        <w:rPr>
          <w:rFonts w:ascii="Arial" w:cs="Arial" w:eastAsia="Arial" w:hAnsi="Arial"/>
          <w:sz w:val="22"/>
          <w:szCs w:val="22"/>
          <w:color w:val="auto"/>
          <w:highlight w:val="yellow"/>
        </w:rPr>
        <w:tab/>
        <w:t>[_]</w:t>
      </w:r>
    </w:p>
    <w:p>
      <w:pPr>
        <w:spacing w:after="0" w:line="220" w:lineRule="exact"/>
        <w:rPr>
          <w:sz w:val="20"/>
          <w:szCs w:val="20"/>
          <w:color w:val="auto"/>
        </w:rPr>
      </w:pPr>
    </w:p>
    <w:p>
      <w:pPr>
        <w:ind w:left="660"/>
        <w:spacing w:after="0"/>
        <w:tabs>
          <w:tab w:leader="none" w:pos="3960" w:val="left"/>
        </w:tabs>
        <w:rPr>
          <w:sz w:val="20"/>
          <w:szCs w:val="20"/>
          <w:color w:val="auto"/>
        </w:rPr>
      </w:pPr>
      <w:r>
        <w:rPr>
          <w:rFonts w:ascii="Arial" w:cs="Arial" w:eastAsia="Arial" w:hAnsi="Arial"/>
          <w:sz w:val="22"/>
          <w:szCs w:val="22"/>
          <w:color w:val="auto"/>
        </w:rPr>
        <w:t>Number of Restricted Stock Units:</w:t>
      </w:r>
      <w:r>
        <w:rPr>
          <w:rFonts w:ascii="Arial" w:cs="Arial" w:eastAsia="Arial" w:hAnsi="Arial"/>
          <w:sz w:val="22"/>
          <w:szCs w:val="22"/>
          <w:color w:val="auto"/>
          <w:highlight w:val="yellow"/>
        </w:rPr>
        <w:tab/>
        <w:t>[_]</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Subject to any acceleration provisions contained in the Plan or set forth below, the Restricted Stock Units will vest in accordance with the following schedule: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1/3 of the Restricted Stock Units will vest on each of the first three anniversaries of </w:t>
      </w:r>
      <w:r>
        <w:rPr>
          <w:rFonts w:ascii="Arial" w:cs="Arial" w:eastAsia="Arial" w:hAnsi="Arial"/>
          <w:sz w:val="22"/>
          <w:szCs w:val="22"/>
          <w:color w:val="auto"/>
          <w:highlight w:val="yellow"/>
        </w:rPr>
        <w:t>[_]</w:t>
      </w:r>
      <w:r>
        <w:rPr>
          <w:rFonts w:ascii="Arial" w:cs="Arial" w:eastAsia="Arial" w:hAnsi="Arial"/>
          <w:sz w:val="22"/>
          <w:szCs w:val="22"/>
          <w:color w:val="auto"/>
        </w:rPr>
        <w:t>, in each case subject to the Participant’s continued service on the Board through the applicable vesting date.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anything to the contrary herein, in the event of a Change in Control, 100% of the Restricted Stock Units shall fully vest as of the date of such Change in Control, subject to the Participant’s continued service on the Board through the date of such Change in Control.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Participant ceases to be a Service Provider for any or no reason before Participant vests in the Restricted Stock Units (or a portion thereof), the unvested Restricted Stock Units (or the unvested portion thereof) and Participant’s right to acquire any Shares hereunder will immediately terminate.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13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If Participant does </w:t>
      </w:r>
      <w:r>
        <w:rPr>
          <w:rFonts w:ascii="Arial" w:cs="Arial" w:eastAsia="Arial" w:hAnsi="Arial"/>
          <w:sz w:val="21"/>
          <w:szCs w:val="21"/>
          <w:b w:val="1"/>
          <w:bCs w:val="1"/>
          <w:u w:val="single" w:color="auto"/>
          <w:color w:val="auto"/>
        </w:rPr>
        <w:t>not</w:t>
      </w:r>
      <w:r>
        <w:rPr>
          <w:rFonts w:ascii="Arial" w:cs="Arial" w:eastAsia="Arial" w:hAnsi="Arial"/>
          <w:sz w:val="21"/>
          <w:szCs w:val="21"/>
          <w:b w:val="1"/>
          <w:bCs w:val="1"/>
          <w:color w:val="auto"/>
        </w:rPr>
        <w:t xml:space="preserve"> wish to accept this Award Agreement and the Restricted Stock Units granted hereunder, Participant must inform the Company in writing (by writing to stockadmin@crowdstrike.com) within forty-five (45) days after the Date of Grant, in which case the Company will cancel this Award and the Restricted Stock Units granted hereunder will be immediately forfeited and canceled in their entirety without any payment or consideration being due from the Company. </w:t>
      </w:r>
      <w:r>
        <w:rPr>
          <w:rFonts w:ascii="Arial" w:cs="Arial" w:eastAsia="Arial" w:hAnsi="Arial"/>
          <w:sz w:val="21"/>
          <w:szCs w:val="21"/>
          <w:b w:val="1"/>
          <w:bCs w:val="1"/>
          <w:u w:val="single" w:color="auto"/>
          <w:color w:val="auto"/>
        </w:rPr>
        <w:t>If, during such period, Participant does not inform the Company in writing of his or her refusal to</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accept this Award of Restricted Stock Units, then Participant will be deemed to have accepted this Award of Restricted Stock Units and, by accepting, to</w:t>
      </w:r>
      <w:r>
        <w:rPr>
          <w:rFonts w:ascii="Arial" w:cs="Arial" w:eastAsia="Arial" w:hAnsi="Arial"/>
          <w:sz w:val="21"/>
          <w:szCs w:val="21"/>
          <w:b w:val="1"/>
          <w:bCs w:val="1"/>
          <w:color w:val="auto"/>
        </w:rPr>
        <w:t>:</w:t>
      </w:r>
    </w:p>
    <w:p>
      <w:pPr>
        <w:spacing w:after="0" w:line="173" w:lineRule="exact"/>
        <w:rPr>
          <w:sz w:val="20"/>
          <w:szCs w:val="20"/>
          <w:color w:val="auto"/>
        </w:rPr>
      </w:pPr>
    </w:p>
    <w:p>
      <w:pPr>
        <w:jc w:val="both"/>
        <w:ind w:left="1300" w:hanging="320"/>
        <w:spacing w:after="0" w:line="315" w:lineRule="auto"/>
        <w:tabs>
          <w:tab w:leader="none" w:pos="1295"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b w:val="1"/>
          <w:bCs w:val="1"/>
          <w:color w:val="auto"/>
        </w:rPr>
        <w:t>, all of which are made a part of this document;</w:t>
      </w:r>
    </w:p>
    <w:p>
      <w:pPr>
        <w:spacing w:after="0" w:line="125" w:lineRule="exact"/>
        <w:rPr>
          <w:rFonts w:ascii="Arial" w:cs="Arial" w:eastAsia="Arial" w:hAnsi="Arial"/>
          <w:sz w:val="19"/>
          <w:szCs w:val="19"/>
          <w:color w:val="auto"/>
        </w:rPr>
      </w:pPr>
    </w:p>
    <w:p>
      <w:pPr>
        <w:ind w:left="1300" w:hanging="320"/>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acknowledge receipt of a copy of the Plan;</w:t>
      </w:r>
    </w:p>
    <w:p>
      <w:pPr>
        <w:spacing w:after="0" w:line="219" w:lineRule="exact"/>
        <w:rPr>
          <w:rFonts w:ascii="Arial" w:cs="Arial" w:eastAsia="Arial" w:hAnsi="Arial"/>
          <w:sz w:val="22"/>
          <w:szCs w:val="22"/>
          <w:color w:val="auto"/>
        </w:rPr>
      </w:pPr>
    </w:p>
    <w:p>
      <w:pPr>
        <w:jc w:val="both"/>
        <w:ind w:left="1300" w:hanging="320"/>
        <w:spacing w:after="0" w:line="256" w:lineRule="auto"/>
        <w:tabs>
          <w:tab w:leader="none" w:pos="1295"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acknowledge that Participant has reviewed the Plan and this Award Agreement in their entirety, has had an opportunity to obtain the advice of counsel prior to executing this Award Agreement, and fully understands all provisions of the Plan and this Award Agreement;</w:t>
      </w:r>
    </w:p>
    <w:p>
      <w:pPr>
        <w:spacing w:after="0" w:line="176" w:lineRule="exact"/>
        <w:rPr>
          <w:rFonts w:ascii="Arial" w:cs="Arial" w:eastAsia="Arial" w:hAnsi="Arial"/>
          <w:sz w:val="22"/>
          <w:szCs w:val="22"/>
          <w:color w:val="auto"/>
        </w:rPr>
      </w:pPr>
    </w:p>
    <w:p>
      <w:pPr>
        <w:ind w:left="1300" w:hanging="320"/>
        <w:spacing w:after="0" w:line="269" w:lineRule="auto"/>
        <w:tabs>
          <w:tab w:leader="none" w:pos="1295"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agree to accept as binding, conclusive, and final all decisions or interpretations of the Administrator upon any questions relating to the Plan and the Award Agreement; and</w:t>
      </w:r>
    </w:p>
    <w:p>
      <w:pPr>
        <w:spacing w:after="0" w:line="161" w:lineRule="exact"/>
        <w:rPr>
          <w:rFonts w:ascii="Arial" w:cs="Arial" w:eastAsia="Arial" w:hAnsi="Arial"/>
          <w:sz w:val="22"/>
          <w:szCs w:val="22"/>
          <w:color w:val="auto"/>
        </w:rPr>
      </w:pPr>
    </w:p>
    <w:p>
      <w:pPr>
        <w:ind w:left="1300" w:hanging="320"/>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agree to notify the Company upon any change in his or her residence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 AND CONDITIONS OF RESTRICTED STOCK UNIT GRANT</w:t>
      </w:r>
    </w:p>
    <w:p>
      <w:pPr>
        <w:spacing w:after="0" w:line="226" w:lineRule="exact"/>
        <w:rPr>
          <w:sz w:val="20"/>
          <w:szCs w:val="20"/>
          <w:color w:val="auto"/>
        </w:rPr>
      </w:pPr>
    </w:p>
    <w:p>
      <w:pPr>
        <w:jc w:val="both"/>
        <w:ind w:firstLine="656"/>
        <w:spacing w:after="0" w:line="297" w:lineRule="auto"/>
        <w:tabs>
          <w:tab w:leader="none" w:pos="128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The Company hereby grants to the individual (the “</w:t>
      </w:r>
      <w:r>
        <w:rPr>
          <w:rFonts w:ascii="Arial" w:cs="Arial" w:eastAsia="Arial" w:hAnsi="Arial"/>
          <w:sz w:val="19"/>
          <w:szCs w:val="19"/>
          <w:u w:val="single" w:color="auto"/>
          <w:color w:val="auto"/>
        </w:rPr>
        <w:t>Participant</w:t>
      </w:r>
      <w:r>
        <w:rPr>
          <w:rFonts w:ascii="Arial" w:cs="Arial" w:eastAsia="Arial" w:hAnsi="Arial"/>
          <w:sz w:val="19"/>
          <w:szCs w:val="19"/>
          <w:color w:val="auto"/>
        </w:rPr>
        <w:t>”) named in the Notice of Restricted Stock Unit Grant of this Award Agreement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under the Plan an Award of Restricted Stock Units, subject to all of the terms and conditions in this Award Agreement and the Plan, which is incorporated herein by reference. Subject to Section 21(c) of the Plan, in the event of a conflict between the terms and conditions of the Plan and the terms and conditions of this Award Agreement, the terms and conditions of the Plan shall prevail.</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Company’s Obligation to Deliver and Settle</w:t>
      </w:r>
      <w:r>
        <w:rPr>
          <w:rFonts w:ascii="Arial" w:cs="Arial" w:eastAsia="Arial" w:hAnsi="Arial"/>
          <w:sz w:val="22"/>
          <w:szCs w:val="22"/>
          <w:color w:val="auto"/>
        </w:rPr>
        <w:t>. Each Restricted Stock Unit represents the right to receive a Share on the date it vests. Unless and until the Restricted Stock Units will have vested in the manner set forth in Section 3 or 4, Participant will have no right to settlement of any such Restricted Stock Units. Prior to actual settlement of any vested Restricted Stock Units, such Restricted Stock Unit will represent an unsecured obligation of the Company, payable (if at all) only from the general assets of the Company.</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284"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Settlement after Vesting</w:t>
      </w:r>
      <w:r>
        <w:rPr>
          <w:rFonts w:ascii="Arial" w:cs="Arial" w:eastAsia="Arial" w:hAnsi="Arial"/>
          <w:sz w:val="22"/>
          <w:szCs w:val="22"/>
          <w:color w:val="auto"/>
        </w:rPr>
        <w:t>.</w:t>
      </w:r>
    </w:p>
    <w:p>
      <w:pPr>
        <w:spacing w:after="0" w:line="220" w:lineRule="exact"/>
        <w:rPr>
          <w:sz w:val="20"/>
          <w:szCs w:val="20"/>
          <w:color w:val="auto"/>
        </w:rPr>
      </w:pPr>
    </w:p>
    <w:p>
      <w:pPr>
        <w:jc w:val="both"/>
        <w:ind w:firstLine="1182"/>
        <w:spacing w:after="0" w:line="297"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General Rule</w:t>
      </w:r>
      <w:r>
        <w:rPr>
          <w:rFonts w:ascii="Arial" w:cs="Arial" w:eastAsia="Arial" w:hAnsi="Arial"/>
          <w:sz w:val="19"/>
          <w:szCs w:val="19"/>
          <w:color w:val="auto"/>
        </w:rPr>
        <w:t>. Subject to Section 8, any Restricted Stock Units that vest will be settled to Participant (or in the event of Participant’s death, to his or her properly designated beneficiary or estate) in whole Shares. Subject to the provisions of Section 4(b), such vested Restricted Stock Units shall be settled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47" w:lineRule="exact"/>
        <w:rPr>
          <w:sz w:val="20"/>
          <w:szCs w:val="20"/>
          <w:color w:val="auto"/>
        </w:rPr>
      </w:pPr>
    </w:p>
    <w:p>
      <w:pPr>
        <w:jc w:val="both"/>
        <w:ind w:firstLine="1122"/>
        <w:spacing w:after="0" w:line="294"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of the Code. The prior sentence may be superseded in a future agreement or amendment to this Award Agreement only by direct and specific reference to such sentence.</w:t>
      </w:r>
    </w:p>
    <w:p>
      <w:pPr>
        <w:spacing w:after="0" w:line="149" w:lineRule="exact"/>
        <w:rPr>
          <w:sz w:val="20"/>
          <w:szCs w:val="20"/>
          <w:color w:val="auto"/>
        </w:rPr>
      </w:pPr>
    </w:p>
    <w:p>
      <w:pPr>
        <w:ind w:right="20" w:firstLine="656"/>
        <w:spacing w:after="0" w:line="263" w:lineRule="auto"/>
        <w:tabs>
          <w:tab w:leader="none" w:pos="128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Forfeiture Upon Termination as a Service Provider</w:t>
      </w:r>
      <w:r>
        <w:rPr>
          <w:rFonts w:ascii="Arial" w:cs="Arial" w:eastAsia="Arial" w:hAnsi="Arial"/>
          <w:sz w:val="22"/>
          <w:szCs w:val="22"/>
          <w:color w:val="auto"/>
        </w:rPr>
        <w:t>. Notwithstanding any contrary provision of this Award Agreement, if Participant ceases to be a Service Provider for any or no</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reason, the then-unvested Restricted Stock Units awarded by this Award Agreement will thereupon be forfeited at no cost to the Company and Participant will have no further rights thereunder.</w:t>
      </w:r>
    </w:p>
    <w:p>
      <w:pPr>
        <w:spacing w:after="0" w:line="175" w:lineRule="exact"/>
        <w:rPr>
          <w:sz w:val="20"/>
          <w:szCs w:val="20"/>
          <w:color w:val="auto"/>
        </w:rPr>
      </w:pPr>
    </w:p>
    <w:p>
      <w:pPr>
        <w:jc w:val="both"/>
        <w:ind w:firstLine="656"/>
        <w:spacing w:after="0" w:line="294" w:lineRule="auto"/>
        <w:tabs>
          <w:tab w:leader="none" w:pos="1287"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is then deceased, be made to Participant’s designated beneficiary (to the extent such designation is permitted by the Company and the Company has determined it to be valid under applicable law), or if no beneficiary has been validly designated or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49" w:lineRule="exact"/>
        <w:rPr>
          <w:rFonts w:ascii="Arial" w:cs="Arial" w:eastAsia="Arial" w:hAnsi="Arial"/>
          <w:sz w:val="19"/>
          <w:szCs w:val="19"/>
          <w:color w:val="auto"/>
        </w:rPr>
      </w:pPr>
    </w:p>
    <w:p>
      <w:pPr>
        <w:jc w:val="both"/>
        <w:ind w:firstLine="656"/>
        <w:spacing w:after="0" w:line="312"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Subject to the terms set forth in the Notice of Grant, in the event of a Change in Control, the Administrator will have full discretion, subject to any applicable regulatory approvals, to take whatever actions it deems necessary or appropriate with respect to the Restricted Stock Units, in accordance with Section 15 of the Plan.</w:t>
      </w:r>
    </w:p>
    <w:p>
      <w:pPr>
        <w:spacing w:after="0" w:line="133" w:lineRule="exact"/>
        <w:rPr>
          <w:rFonts w:ascii="Arial" w:cs="Arial" w:eastAsia="Arial" w:hAnsi="Arial"/>
          <w:sz w:val="19"/>
          <w:szCs w:val="19"/>
          <w:color w:val="auto"/>
        </w:rPr>
      </w:pPr>
    </w:p>
    <w:p>
      <w:pPr>
        <w:jc w:val="both"/>
        <w:ind w:firstLine="656"/>
        <w:spacing w:after="0" w:line="288" w:lineRule="auto"/>
        <w:tabs>
          <w:tab w:leader="none" w:pos="129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Tax Obligations</w:t>
      </w:r>
      <w:r>
        <w:rPr>
          <w:rFonts w:ascii="Arial" w:cs="Arial" w:eastAsia="Arial" w:hAnsi="Arial"/>
          <w:sz w:val="19"/>
          <w:szCs w:val="19"/>
          <w:color w:val="auto"/>
        </w:rPr>
        <w:t>. Participant acknowledges that, regardless of any action taken by the Company (or any of its affiliates), the ultimate liability for any income tax, social insurance, excise tax, payroll tax, fringe benefits tax, payment on account or other tax-related items related to Participant’s participation in the Plan and legally applicable to Participant (collectively, the “</w:t>
      </w:r>
      <w:r>
        <w:rPr>
          <w:rFonts w:ascii="Arial" w:cs="Arial" w:eastAsia="Arial" w:hAnsi="Arial"/>
          <w:sz w:val="19"/>
          <w:szCs w:val="19"/>
          <w:u w:val="single" w:color="auto"/>
          <w:color w:val="auto"/>
        </w:rPr>
        <w:t>Tax Obligations</w:t>
      </w:r>
      <w:r>
        <w:rPr>
          <w:rFonts w:ascii="Arial" w:cs="Arial" w:eastAsia="Arial" w:hAnsi="Arial"/>
          <w:sz w:val="19"/>
          <w:szCs w:val="19"/>
          <w:color w:val="auto"/>
        </w:rPr>
        <w:t>”), is and remains Participant’s responsibility, and Participant shall be solely responsible for any and all such applicable taxes and penalties, and any interest that accrues thereon, that the Participant incurs in connection with participation in the Plan and the receipt, vesting or settlement of any Restricted Stock Units granted hereunder. Further, if Participant is subject to Tax Obligations in more than one jurisdiction, Participant acknowledges that the Company (or its applicable affiliate)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59" w:lineRule="exact"/>
        <w:rPr>
          <w:rFonts w:ascii="Arial" w:cs="Arial" w:eastAsia="Arial" w:hAnsi="Arial"/>
          <w:sz w:val="19"/>
          <w:szCs w:val="19"/>
          <w:color w:val="auto"/>
        </w:rPr>
      </w:pPr>
    </w:p>
    <w:p>
      <w:pPr>
        <w:jc w:val="both"/>
        <w:ind w:firstLine="656"/>
        <w:spacing w:after="0" w:line="294" w:lineRule="auto"/>
        <w:tabs>
          <w:tab w:leader="none" w:pos="1288"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49" w:lineRule="exact"/>
        <w:rPr>
          <w:rFonts w:ascii="Arial" w:cs="Arial" w:eastAsia="Arial" w:hAnsi="Arial"/>
          <w:sz w:val="19"/>
          <w:szCs w:val="19"/>
          <w:color w:val="auto"/>
        </w:rPr>
      </w:pPr>
    </w:p>
    <w:p>
      <w:pPr>
        <w:ind w:firstLine="656"/>
        <w:spacing w:after="0" w:line="263" w:lineRule="auto"/>
        <w:tabs>
          <w:tab w:leader="none" w:pos="128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Grant Is Not Transferable</w:t>
      </w:r>
      <w:r>
        <w:rPr>
          <w:rFonts w:ascii="Arial" w:cs="Arial" w:eastAsia="Arial" w:hAnsi="Arial"/>
          <w:sz w:val="22"/>
          <w:szCs w:val="22"/>
          <w:color w:val="auto"/>
        </w:rPr>
        <w:t>. Except to the limited extent provided in Section 6, Section 14 of the Plan will govern the transferability of the Restricted Stock Units.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grant, Participant acknowledges, understands and agrees that: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2" w:name="page143"/>
    <w:bookmarkEnd w:id="142"/>
    <w:p>
      <w:pPr>
        <w:ind w:left="10180"/>
        <w:spacing w:after="0"/>
        <w:rPr>
          <w:sz w:val="20"/>
          <w:szCs w:val="20"/>
          <w:color w:val="auto"/>
        </w:rPr>
      </w:pPr>
      <w:r>
        <w:rPr>
          <w:rFonts w:ascii="Arial" w:cs="Arial" w:eastAsia="Arial" w:hAnsi="Arial"/>
          <w:sz w:val="19"/>
          <w:szCs w:val="19"/>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1182"/>
        <w:spacing w:after="0" w:line="253" w:lineRule="auto"/>
        <w:rPr>
          <w:sz w:val="20"/>
          <w:szCs w:val="20"/>
          <w:color w:val="auto"/>
        </w:rPr>
      </w:pPr>
      <w:r>
        <w:rPr>
          <w:rFonts w:ascii="Arial" w:cs="Arial" w:eastAsia="Arial" w:hAnsi="Arial"/>
          <w:sz w:val="22"/>
          <w:szCs w:val="22"/>
          <w:color w:val="auto"/>
        </w:rPr>
        <w:t>i.the grant of Restricted Stock Units is exceptional, voluntary and occasional and does not create any contractual right to receive future grants of Restricted Stock Units, or benefits in lieu of Restricted Stock Units, even if Restricted Stock Units have been granted in the past;</w:t>
      </w:r>
    </w:p>
    <w:p>
      <w:pPr>
        <w:spacing w:after="0" w:line="185" w:lineRule="exact"/>
        <w:rPr>
          <w:sz w:val="20"/>
          <w:szCs w:val="20"/>
          <w:color w:val="auto"/>
        </w:rPr>
      </w:pPr>
    </w:p>
    <w:p>
      <w:pPr>
        <w:ind w:left="1080" w:right="800" w:firstLine="60"/>
        <w:spacing w:after="0" w:line="448" w:lineRule="auto"/>
        <w:rPr>
          <w:sz w:val="20"/>
          <w:szCs w:val="20"/>
          <w:color w:val="auto"/>
        </w:rPr>
      </w:pPr>
      <w:r>
        <w:rPr>
          <w:rFonts w:ascii="Arial" w:cs="Arial" w:eastAsia="Arial" w:hAnsi="Arial"/>
          <w:sz w:val="22"/>
          <w:szCs w:val="22"/>
          <w:color w:val="auto"/>
        </w:rPr>
        <w:t>ii.all decisions with respect to future grants of Awards, if any, will be at the sole discretion of the Company; iii.Participant is voluntarily participating in the Plan;</w:t>
      </w:r>
    </w:p>
    <w:p>
      <w:pPr>
        <w:spacing w:after="0" w:line="1" w:lineRule="exact"/>
        <w:rPr>
          <w:sz w:val="20"/>
          <w:szCs w:val="20"/>
          <w:color w:val="auto"/>
        </w:rPr>
      </w:pPr>
    </w:p>
    <w:p>
      <w:pPr>
        <w:jc w:val="both"/>
        <w:ind w:firstLine="1074"/>
        <w:spacing w:after="0" w:line="263" w:lineRule="auto"/>
        <w:rPr>
          <w:sz w:val="20"/>
          <w:szCs w:val="20"/>
          <w:color w:val="auto"/>
        </w:rPr>
      </w:pPr>
      <w:r>
        <w:rPr>
          <w:rFonts w:ascii="Arial" w:cs="Arial" w:eastAsia="Arial" w:hAnsi="Arial"/>
          <w:sz w:val="22"/>
          <w:szCs w:val="22"/>
          <w:color w:val="auto"/>
        </w:rPr>
        <w:t>iv.the future value of the Shares underlying the Restricted Stock Units is unknown, indeterminable and cannot be predicted with certainty;</w:t>
      </w:r>
    </w:p>
    <w:p>
      <w:pPr>
        <w:spacing w:after="0" w:line="175"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9"/>
          <w:szCs w:val="19"/>
          <w:color w:val="auto"/>
        </w:rPr>
        <w:t>v.for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or similar laws in the jurisdiction where Participant is a Service Provider or the terms of Participant’s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similar period mandated under laws in the jurisdiction where Participant is a Service Provider or the terms of Participant’s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200" w:lineRule="exact"/>
        <w:rPr>
          <w:sz w:val="20"/>
          <w:szCs w:val="20"/>
          <w:color w:val="auto"/>
        </w:rPr>
      </w:pPr>
    </w:p>
    <w:p>
      <w:pPr>
        <w:spacing w:after="0" w:line="220" w:lineRule="exact"/>
        <w:rPr>
          <w:sz w:val="20"/>
          <w:szCs w:val="20"/>
          <w:color w:val="auto"/>
        </w:rPr>
      </w:pPr>
    </w:p>
    <w:p>
      <w:pPr>
        <w:jc w:val="both"/>
        <w:ind w:firstLine="1074"/>
        <w:spacing w:after="0" w:line="253" w:lineRule="auto"/>
        <w:rPr>
          <w:sz w:val="20"/>
          <w:szCs w:val="20"/>
          <w:color w:val="auto"/>
        </w:rPr>
      </w:pPr>
      <w:r>
        <w:rPr>
          <w:rFonts w:ascii="Arial" w:cs="Arial" w:eastAsia="Arial" w:hAnsi="Arial"/>
          <w:sz w:val="22"/>
          <w:szCs w:val="22"/>
          <w:color w:val="auto"/>
        </w:rPr>
        <w:t>vi.unless otherwise agreed with the Company, the Restricted Stock Units and Shares subject to the Restricted Stock Units, and the income from and value of same, are not granted as consideration for, or in connection with, the service Participant may provide as a director of a Subsidiary; and</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vii.for Participants who reside outside the United States, the following additional provisions shall apply:</w:t>
      </w:r>
    </w:p>
    <w:p>
      <w:pPr>
        <w:spacing w:after="0" w:line="220" w:lineRule="exact"/>
        <w:rPr>
          <w:sz w:val="20"/>
          <w:szCs w:val="20"/>
          <w:color w:val="auto"/>
        </w:rPr>
      </w:pPr>
    </w:p>
    <w:p>
      <w:pPr>
        <w:ind w:firstLine="1952"/>
        <w:spacing w:after="0" w:line="263" w:lineRule="auto"/>
        <w:tabs>
          <w:tab w:leader="none" w:pos="259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Restricted Stock Units and any Shares acquired under the Plan are not intended to replace any pension rights or compensation;</w:t>
      </w:r>
    </w:p>
    <w:p>
      <w:pPr>
        <w:spacing w:after="0" w:line="174" w:lineRule="exact"/>
        <w:rPr>
          <w:rFonts w:ascii="Arial" w:cs="Arial" w:eastAsia="Arial" w:hAnsi="Arial"/>
          <w:sz w:val="22"/>
          <w:szCs w:val="22"/>
          <w:color w:val="auto"/>
        </w:rPr>
      </w:pPr>
    </w:p>
    <w:p>
      <w:pPr>
        <w:jc w:val="both"/>
        <w:ind w:firstLine="1952"/>
        <w:spacing w:after="0" w:line="250" w:lineRule="auto"/>
        <w:tabs>
          <w:tab w:leader="none" w:pos="2592"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Restricted Stock Units and any Shares acquired under the Plan,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1952"/>
        <w:spacing w:after="0" w:line="250" w:lineRule="auto"/>
        <w:tabs>
          <w:tab w:leader="none" w:pos="25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the forfeiture of the Restricted Stock Units resulting from the termination of Participant’s status as a Service Provider (for any reason whatsoever, whether or not later found to be invalid or in breach of employment or similar laws in the jurisdiction where Participant is engaged or the terms of his or her service agreement, if any); and</w:t>
      </w:r>
    </w:p>
    <w:p>
      <w:pPr>
        <w:spacing w:after="0" w:line="187" w:lineRule="exact"/>
        <w:rPr>
          <w:rFonts w:ascii="Arial" w:cs="Arial" w:eastAsia="Arial" w:hAnsi="Arial"/>
          <w:sz w:val="22"/>
          <w:szCs w:val="22"/>
          <w:color w:val="auto"/>
        </w:rPr>
      </w:pPr>
    </w:p>
    <w:p>
      <w:pPr>
        <w:jc w:val="both"/>
        <w:ind w:firstLine="1952"/>
        <w:spacing w:after="0" w:line="250" w:lineRule="auto"/>
        <w:tabs>
          <w:tab w:leader="none" w:pos="2592" w:val="left"/>
        </w:tabs>
        <w:numPr>
          <w:ilvl w:val="1"/>
          <w:numId w:val="67"/>
        </w:numPr>
        <w:rPr>
          <w:rFonts w:ascii="Arial" w:cs="Arial" w:eastAsia="Arial" w:hAnsi="Arial"/>
          <w:sz w:val="22"/>
          <w:szCs w:val="22"/>
          <w:color w:val="auto"/>
        </w:rPr>
      </w:pPr>
      <w:r>
        <w:rPr>
          <w:rFonts w:ascii="Arial" w:cs="Arial" w:eastAsia="Arial" w:hAnsi="Arial"/>
          <w:sz w:val="22"/>
          <w:szCs w:val="22"/>
          <w:color w:val="auto"/>
        </w:rPr>
        <w:t>neither the Company nor any of its affiliates shall be liable for any foreign exchange rate fluctuation between Participant’s local currency and the United States Dollar that may affect the value of the Restricted Stock Units or of any amounts due to Participant pursuant to the settlement of Restricted Stock Units or subsequent sale of Shares acquired upon settlement.</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Tax Consequences and Acknowledgements</w:t>
      </w:r>
      <w:r>
        <w:rPr>
          <w:rFonts w:ascii="Arial" w:cs="Arial" w:eastAsia="Arial" w:hAnsi="Arial"/>
          <w:sz w:val="22"/>
          <w:szCs w:val="22"/>
          <w:color w:val="auto"/>
        </w:rPr>
        <w:t>.</w:t>
      </w:r>
    </w:p>
    <w:p>
      <w:pPr>
        <w:spacing w:after="0" w:line="220" w:lineRule="exact"/>
        <w:rPr>
          <w:sz w:val="20"/>
          <w:szCs w:val="20"/>
          <w:color w:val="auto"/>
        </w:rPr>
      </w:pPr>
    </w:p>
    <w:p>
      <w:pPr>
        <w:jc w:val="both"/>
        <w:ind w:firstLine="1182"/>
        <w:spacing w:after="0" w:line="297" w:lineRule="auto"/>
        <w:rPr>
          <w:sz w:val="20"/>
          <w:szCs w:val="20"/>
          <w:color w:val="auto"/>
        </w:rPr>
      </w:pPr>
      <w:r>
        <w:rPr>
          <w:rFonts w:ascii="Arial" w:cs="Arial" w:eastAsia="Arial" w:hAnsi="Arial"/>
          <w:sz w:val="19"/>
          <w:szCs w:val="19"/>
          <w:color w:val="auto"/>
        </w:rPr>
        <w:t>i.Participant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47" w:lineRule="exact"/>
        <w:rPr>
          <w:sz w:val="20"/>
          <w:szCs w:val="20"/>
          <w:color w:val="auto"/>
        </w:rPr>
      </w:pPr>
    </w:p>
    <w:p>
      <w:pPr>
        <w:jc w:val="both"/>
        <w:ind w:firstLine="1122"/>
        <w:spacing w:after="0" w:line="247" w:lineRule="auto"/>
        <w:rPr>
          <w:sz w:val="20"/>
          <w:szCs w:val="20"/>
          <w:color w:val="auto"/>
        </w:rPr>
      </w:pPr>
      <w:r>
        <w:rPr>
          <w:rFonts w:ascii="Arial" w:cs="Arial" w:eastAsia="Arial" w:hAnsi="Arial"/>
          <w:sz w:val="22"/>
          <w:szCs w:val="22"/>
          <w:color w:val="auto"/>
        </w:rPr>
        <w:t>ii.Participant acknowledges that the Company and its affiliates (i)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(ii) do not commit to and are under no obligation to structure the terms of the grant or any aspect of the Restricted Stock Units to reduce or eliminate Participant’s liability for Tax Obligations or achieve any particular tax result.</w:t>
      </w:r>
    </w:p>
    <w:p>
      <w:pPr>
        <w:spacing w:after="0" w:line="193"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Data Protection</w:t>
      </w:r>
      <w:r>
        <w:rPr>
          <w:rFonts w:ascii="Arial" w:cs="Arial" w:eastAsia="Arial" w:hAnsi="Arial"/>
          <w:sz w:val="22"/>
          <w:szCs w:val="22"/>
          <w:b w:val="1"/>
          <w:bCs w:val="1"/>
          <w:i w:val="1"/>
          <w:iCs w:val="1"/>
          <w:color w:val="auto"/>
        </w:rPr>
        <w:t>.</w:t>
      </w:r>
    </w:p>
    <w:p>
      <w:pPr>
        <w:spacing w:after="0" w:line="220" w:lineRule="exact"/>
        <w:rPr>
          <w:sz w:val="20"/>
          <w:szCs w:val="20"/>
          <w:color w:val="auto"/>
        </w:rPr>
      </w:pPr>
    </w:p>
    <w:p>
      <w:pPr>
        <w:jc w:val="both"/>
        <w:ind w:firstLine="1182"/>
        <w:spacing w:after="0" w:line="307" w:lineRule="auto"/>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8"/>
          <w:szCs w:val="18"/>
          <w:b w:val="1"/>
          <w:bCs w:val="1"/>
          <w:i w:val="1"/>
          <w:iCs w:val="1"/>
          <w:u w:val="single" w:color="auto"/>
          <w:color w:val="auto"/>
        </w:rPr>
        <w:t>Data Processing</w:t>
      </w:r>
      <w:r>
        <w:rPr>
          <w:rFonts w:ascii="Arial" w:cs="Arial" w:eastAsia="Arial" w:hAnsi="Arial"/>
          <w:sz w:val="18"/>
          <w:szCs w:val="18"/>
          <w:b w:val="1"/>
          <w:bCs w:val="1"/>
          <w:i w:val="1"/>
          <w:iCs w:val="1"/>
          <w:color w:val="auto"/>
        </w:rPr>
        <w:t>. By participating in the Plan, Participant understands and acknowledges that it is necessary for the Company, Parent and any of their Subsidiaries or affiliates to collect, use, disclose, hold, transfer and otherwise process certain personal information about Participant as described in Section 28 of the Plan. This personal data (hereinafter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includes but is not limited to, Participant’s name, home address, email address and telephone number, date of birth, social insurance number, passport or other identification number, salary, nationality, job title, any Shares or directorships held in the Company, details of all Restricted Stock Units or any other entitlement to Shares awarded, canceled, vested, unvested or outstanding in Participant’s favor, which the Company receives from Participant or any applicable affiliate of the Company. This may include the international transfer of Participant’s Data to a jurisdiction that might have enacted data privacy laws that are less protective or otherwise different from those applicable in the Participant's country of residence.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1122"/>
        <w:spacing w:after="0" w:line="250" w:lineRule="auto"/>
        <w:rPr>
          <w:sz w:val="20"/>
          <w:szCs w:val="20"/>
          <w:color w:val="auto"/>
        </w:rPr>
      </w:pPr>
      <w:r>
        <w:rPr>
          <w:rFonts w:ascii="Arial" w:cs="Arial" w:eastAsia="Arial" w:hAnsi="Arial"/>
          <w:sz w:val="22"/>
          <w:szCs w:val="22"/>
          <w:b w:val="1"/>
          <w:bCs w:val="1"/>
          <w:i w:val="1"/>
          <w:iCs w:val="1"/>
          <w:color w:val="auto"/>
        </w:rPr>
        <w:t>ii.</w:t>
      </w:r>
      <w:r>
        <w:rPr>
          <w:rFonts w:ascii="Arial" w:cs="Arial" w:eastAsia="Arial" w:hAnsi="Arial"/>
          <w:sz w:val="22"/>
          <w:szCs w:val="22"/>
          <w:b w:val="1"/>
          <w:bCs w:val="1"/>
          <w:i w:val="1"/>
          <w:iCs w:val="1"/>
          <w:u w:val="single" w:color="auto"/>
          <w:color w:val="auto"/>
        </w:rPr>
        <w:t>Necessary Disclosure of Data</w:t>
      </w:r>
      <w:r>
        <w:rPr>
          <w:rFonts w:ascii="Arial" w:cs="Arial" w:eastAsia="Arial" w:hAnsi="Arial"/>
          <w:sz w:val="22"/>
          <w:szCs w:val="22"/>
          <w:b w:val="1"/>
          <w:bCs w:val="1"/>
          <w:i w:val="1"/>
          <w:iCs w:val="1"/>
          <w:color w:val="auto"/>
        </w:rPr>
        <w:t>. Participant understands that providing the Company with Data is necessary for performance of the Award Agreement and that Participant’s refusal to provide the Data would make it impossible for the Company to perform its contractual obligations and legitimate interests and may affect Participant’s ability to participate in the Plan.</w:t>
      </w:r>
    </w:p>
    <w:p>
      <w:pPr>
        <w:spacing w:after="0" w:line="188" w:lineRule="exact"/>
        <w:rPr>
          <w:sz w:val="20"/>
          <w:szCs w:val="20"/>
          <w:color w:val="auto"/>
        </w:rPr>
      </w:pPr>
    </w:p>
    <w:p>
      <w:pPr>
        <w:jc w:val="both"/>
        <w:ind w:firstLine="1062"/>
        <w:spacing w:after="0" w:line="286" w:lineRule="auto"/>
        <w:rPr>
          <w:sz w:val="20"/>
          <w:szCs w:val="20"/>
          <w:color w:val="auto"/>
        </w:rPr>
      </w:pPr>
      <w:r>
        <w:rPr>
          <w:rFonts w:ascii="Arial" w:cs="Arial" w:eastAsia="Arial" w:hAnsi="Arial"/>
          <w:sz w:val="19"/>
          <w:szCs w:val="19"/>
          <w:b w:val="1"/>
          <w:bCs w:val="1"/>
          <w:i w:val="1"/>
          <w:iCs w:val="1"/>
          <w:color w:val="auto"/>
        </w:rPr>
        <w:t>iii.</w:t>
      </w:r>
      <w:r>
        <w:rPr>
          <w:rFonts w:ascii="Arial" w:cs="Arial" w:eastAsia="Arial" w:hAnsi="Arial"/>
          <w:sz w:val="19"/>
          <w:szCs w:val="19"/>
          <w:b w:val="1"/>
          <w:bCs w:val="1"/>
          <w:i w:val="1"/>
          <w:iCs w:val="1"/>
          <w:u w:val="single" w:color="auto"/>
          <w:color w:val="auto"/>
        </w:rPr>
        <w:t>Data Processing and Transfer Consent</w:t>
      </w:r>
      <w:r>
        <w:rPr>
          <w:rFonts w:ascii="Arial" w:cs="Arial" w:eastAsia="Arial" w:hAnsi="Arial"/>
          <w:sz w:val="19"/>
          <w:szCs w:val="19"/>
          <w:b w:val="1"/>
          <w:bCs w:val="1"/>
          <w:i w:val="1"/>
          <w:iCs w:val="1"/>
          <w:color w:val="auto"/>
        </w:rPr>
        <w:t>. Notwithstanding the foregoing, if Participant is located in a jurisdiction for which the lawful bases for processing and transferring personal data described in the Plan are not recognized, then, to the extent applicable, Participant hereby unambiguously consents to the collection, use and transfer, in electronic or other form, of his or her Data, as described above and in any other grant materials, by and among, as applicable, the Company and any affiliate for the exclusive purpose of implementing, administering and managing Participant’s participation in the Plan. Participant understands that he or she may, at any time, refuse or withdraw the consents herein, in any case without cost, by contacting in writing his or her human resources representative. If Participant does not consent or later seeks to revoke his or her consent, Participant’s service with the Company or its applicable affiliate will not be affected; the only consequence of refusing or withdrawing consent is that the Company would not be able to grant Restricted Stock Units or other Awards to Participant under the Plan or administer or maintain such Awards. Therefore, Participant understands that refusing or withdrawing consent may affect his or her ability to participate in the Plan. For more information on the consequences of refusal to consent or withdrawal of consent, Participant should contact his or her local human resources representative.</w:t>
      </w:r>
    </w:p>
    <w:p>
      <w:pPr>
        <w:spacing w:after="0" w:line="166" w:lineRule="exact"/>
        <w:rPr>
          <w:sz w:val="20"/>
          <w:szCs w:val="20"/>
          <w:color w:val="auto"/>
        </w:rPr>
      </w:pPr>
    </w:p>
    <w:p>
      <w:pPr>
        <w:jc w:val="both"/>
        <w:ind w:firstLine="656"/>
        <w:spacing w:after="0" w:line="250" w:lineRule="auto"/>
        <w:tabs>
          <w:tab w:leader="none" w:pos="129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his or her participation in the Plan before taking any action related to the Plan.</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Award Agreement will be addressed to the Company at CrowdStrike Holdings, Inc., 150 Mathilda Place, Suite 300, Sunnyvale, CA 94086 United States or at such other address as the Company may hereafter designate in writing.</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Participant acknowledges that he or she is sufficiently proficient in English, or has consulted with an advisor who is sufficiently proficient in English, so as to allow Participant to understand the terms and conditions of the Award Agreement. If Participant has received the Award Agreement or any other document related to the Plan translated into a language other than English, and if the meaning of the translated version is different than the English version, the English version will control.</w:t>
      </w:r>
    </w:p>
    <w:p>
      <w:pPr>
        <w:spacing w:after="0" w:line="191" w:lineRule="exact"/>
        <w:rPr>
          <w:rFonts w:ascii="Arial" w:cs="Arial" w:eastAsia="Arial" w:hAnsi="Arial"/>
          <w:sz w:val="22"/>
          <w:szCs w:val="22"/>
          <w:color w:val="auto"/>
        </w:rPr>
      </w:pPr>
    </w:p>
    <w:p>
      <w:pPr>
        <w:jc w:val="both"/>
        <w:ind w:firstLine="656"/>
        <w:spacing w:after="0" w:line="302" w:lineRule="auto"/>
        <w:tabs>
          <w:tab w:leader="none" w:pos="129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Award Agreement to single or multiple assignees, and this Award Agreement shall be binding upon and inure to the benefit of any assignee or successor of the Company. Subject to the restrictions on transfer set forth herein and in the Plan, this Award Agreement shall be binding upon Participant and his or her heirs, executors, administrators, successors and assigns. The rights and obligations 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Participant under this Award Agreement may only be assigned with the prior written consent of the Company.</w:t>
      </w:r>
    </w:p>
    <w:p>
      <w:pPr>
        <w:spacing w:after="0" w:line="220" w:lineRule="exact"/>
        <w:rPr>
          <w:sz w:val="20"/>
          <w:szCs w:val="20"/>
          <w:color w:val="auto"/>
        </w:rPr>
      </w:pPr>
    </w:p>
    <w:p>
      <w:pPr>
        <w:jc w:val="both"/>
        <w:ind w:firstLine="656"/>
        <w:spacing w:after="0" w:line="246" w:lineRule="auto"/>
        <w:tabs>
          <w:tab w:leader="none" w:pos="127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The Administrator’s decisions, determinations and interpretations will be final and binding on Participant and any other holders of the Restricted Stock Units or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96" w:lineRule="exact"/>
        <w:rPr>
          <w:rFonts w:ascii="Arial" w:cs="Arial" w:eastAsia="Arial" w:hAnsi="Arial"/>
          <w:sz w:val="22"/>
          <w:szCs w:val="22"/>
          <w:color w:val="auto"/>
        </w:rPr>
      </w:pPr>
    </w:p>
    <w:p>
      <w:pPr>
        <w:ind w:firstLine="656"/>
        <w:spacing w:after="0" w:line="263" w:lineRule="auto"/>
        <w:tabs>
          <w:tab w:leader="none" w:pos="128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herein are for convenience only and are not to serve as a basis for interpretation or construction of this Award Agreement.</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88"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87" w:lineRule="exact"/>
        <w:rPr>
          <w:rFonts w:ascii="Arial" w:cs="Arial" w:eastAsia="Arial" w:hAnsi="Arial"/>
          <w:sz w:val="22"/>
          <w:szCs w:val="22"/>
          <w:color w:val="auto"/>
        </w:rPr>
      </w:pPr>
    </w:p>
    <w:p>
      <w:pPr>
        <w:jc w:val="both"/>
        <w:ind w:firstLine="656"/>
        <w:spacing w:after="0" w:line="290" w:lineRule="auto"/>
        <w:tabs>
          <w:tab w:leader="none" w:pos="128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Participant may be subject to insider trading restrictions and/or market abuse laws in applicable jurisdictions including, but not limited to the United States and Participant’s country, the broker's country or the country in which the Shares are listed (if different), which may affect his or her ability to accept, acquire, sell or otherwise dispose of Shares or rights to Shares or rights 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consult his or her personal legal advisor on this matter.</w:t>
      </w:r>
    </w:p>
    <w:p>
      <w:pPr>
        <w:spacing w:after="0" w:line="155" w:lineRule="exact"/>
        <w:rPr>
          <w:rFonts w:ascii="Arial" w:cs="Arial" w:eastAsia="Arial" w:hAnsi="Arial"/>
          <w:sz w:val="19"/>
          <w:szCs w:val="19"/>
          <w:color w:val="auto"/>
        </w:rPr>
      </w:pPr>
    </w:p>
    <w:p>
      <w:pPr>
        <w:jc w:val="both"/>
        <w:ind w:firstLine="656"/>
        <w:spacing w:after="0" w:line="261" w:lineRule="auto"/>
        <w:tabs>
          <w:tab w:leader="none" w:pos="1276"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Foreign Asset/Account, Exchange Control and Tax Requirements</w:t>
      </w:r>
      <w:r>
        <w:rPr>
          <w:rFonts w:ascii="Arial" w:cs="Arial" w:eastAsia="Arial" w:hAnsi="Arial"/>
          <w:sz w:val="21"/>
          <w:szCs w:val="21"/>
          <w:color w:val="auto"/>
        </w:rPr>
        <w:t>. Participant acknowledges that, depending on his or her country, there may be certain foreign asset and/or account reporting requirements or exchange control restrictions which may affect Participant’s ability to acquire or hold Shares or cash received from participating in the Plan (including proceeds from the sale of Shares and dividends paid on Shares) in, to and/or from a brokerage or bank account or legal entity outside Participant’s country. Participant may be required to report such accounts, assets or related transactions to the tax or other authorities in his or her country. Participant also may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 required to repatriate sale proceeds or other funds received as a result of participating in the Plan to Participant’s country through a designated bank or broker and/or within a certain time after receipt. Participant acknowledges that he or she is responsible for ensuring compliance with any applicable foreign asset/account, exchange control and tax reporting requirements and should consult his or her personal legal and tax advisors on this matter.</w:t>
      </w:r>
    </w:p>
    <w:p>
      <w:pPr>
        <w:spacing w:after="0" w:line="175" w:lineRule="exact"/>
        <w:rPr>
          <w:sz w:val="20"/>
          <w:szCs w:val="20"/>
          <w:color w:val="auto"/>
        </w:rPr>
      </w:pPr>
    </w:p>
    <w:p>
      <w:pPr>
        <w:jc w:val="both"/>
        <w:ind w:firstLine="656"/>
        <w:spacing w:after="0" w:line="250" w:lineRule="auto"/>
        <w:tabs>
          <w:tab w:leader="none" w:pos="129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87" w:lineRule="exact"/>
        <w:rPr>
          <w:rFonts w:ascii="Arial" w:cs="Arial" w:eastAsia="Arial" w:hAnsi="Arial"/>
          <w:sz w:val="22"/>
          <w:szCs w:val="22"/>
          <w:color w:val="auto"/>
        </w:rPr>
      </w:pPr>
    </w:p>
    <w:p>
      <w:pPr>
        <w:jc w:val="both"/>
        <w:ind w:firstLine="656"/>
        <w:spacing w:after="0" w:line="292" w:lineRule="auto"/>
        <w:tabs>
          <w:tab w:leader="none" w:pos="128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Participant expressly warrants that he or she is not accepting this Award Agreement in reliance on any promises, representations, or inducements other than those contained herein. Subject to Sections 15 and 21 of the Plan,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of the Code or to otherwise avoid imposition of any additional tax or income recognition under Section 409A of the Code in connection with this Award of Restricted Stock Units.</w:t>
      </w:r>
    </w:p>
    <w:p>
      <w:pPr>
        <w:spacing w:after="0" w:line="150" w:lineRule="exact"/>
        <w:rPr>
          <w:rFonts w:ascii="Arial" w:cs="Arial" w:eastAsia="Arial" w:hAnsi="Arial"/>
          <w:sz w:val="19"/>
          <w:szCs w:val="19"/>
          <w:color w:val="auto"/>
        </w:rPr>
      </w:pPr>
    </w:p>
    <w:p>
      <w:pPr>
        <w:jc w:val="both"/>
        <w:ind w:firstLine="656"/>
        <w:spacing w:after="0" w:line="302" w:lineRule="auto"/>
        <w:tabs>
          <w:tab w:leader="none" w:pos="128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w:t>
      </w:r>
    </w:p>
    <w:p>
      <w:pPr>
        <w:spacing w:after="0" w:line="142" w:lineRule="exact"/>
        <w:rPr>
          <w:sz w:val="20"/>
          <w:szCs w:val="20"/>
          <w:color w:val="auto"/>
        </w:rPr>
      </w:pPr>
    </w:p>
    <w:p>
      <w:pPr>
        <w:jc w:val="both"/>
        <w:ind w:firstLine="656"/>
        <w:spacing w:after="0" w:line="263" w:lineRule="auto"/>
        <w:tabs>
          <w:tab w:leader="none" w:pos="1285"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Governing Law and Venue</w:t>
      </w:r>
      <w:r>
        <w:rPr>
          <w:rFonts w:ascii="Arial" w:cs="Arial" w:eastAsia="Arial" w:hAnsi="Arial"/>
          <w:sz w:val="21"/>
          <w:szCs w:val="21"/>
          <w:color w:val="auto"/>
        </w:rPr>
        <w:t>. This Award Agreement and the Restricted Stock Units will be governed by the laws of the State of Delaware, without giving effect to the conflict of law principles thereof. For purposes of litigating any dispute that arises under these Restricted Stock Units or this Award Agreement, the parties hereby submit to and consent to the jurisdiction of the State of Delaware, and agree that such litigation will be conducted in any United States federal court located in the State of Delaware or any other state court in the State of Delaware, and no other courts.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660"/>
              <w:spacing w:after="0"/>
              <w:rPr>
                <w:sz w:val="20"/>
                <w:szCs w:val="20"/>
                <w:color w:val="auto"/>
              </w:rPr>
            </w:pPr>
            <w:r>
              <w:rPr>
                <w:rFonts w:ascii="Arial" w:cs="Arial" w:eastAsia="Arial" w:hAnsi="Arial"/>
                <w:sz w:val="22"/>
                <w:szCs w:val="22"/>
                <w:color w:val="auto"/>
              </w:rPr>
              <w:t>ab.</w:t>
            </w:r>
          </w:p>
        </w:tc>
        <w:tc>
          <w:tcPr>
            <w:tcW w:w="9940" w:type="dxa"/>
            <w:vAlign w:val="bottom"/>
            <w:gridSpan w:val="3"/>
          </w:tcPr>
          <w:p>
            <w:pPr>
              <w:spacing w:after="0"/>
              <w:rPr>
                <w:sz w:val="20"/>
                <w:szCs w:val="20"/>
                <w:color w:val="auto"/>
              </w:rPr>
            </w:pPr>
            <w:r>
              <w:rPr>
                <w:rFonts w:ascii="Arial" w:cs="Arial" w:eastAsia="Arial" w:hAnsi="Arial"/>
                <w:sz w:val="22"/>
                <w:szCs w:val="22"/>
                <w:color w:val="auto"/>
                <w:w w:val="92"/>
              </w:rPr>
              <w:t>Waiver of Jury Trial. Each of the parties hereto hereby irrevocably waives any and all right to trial by jury in any</w:t>
            </w:r>
          </w:p>
        </w:tc>
      </w:tr>
      <w:tr>
        <w:trPr>
          <w:trHeight w:val="20"/>
        </w:trPr>
        <w:tc>
          <w:tcPr>
            <w:tcW w:w="1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87"/>
        </w:trPr>
        <w:tc>
          <w:tcPr>
            <w:tcW w:w="11240" w:type="dxa"/>
            <w:vAlign w:val="bottom"/>
            <w:gridSpan w:val="4"/>
          </w:tcPr>
          <w:p>
            <w:pPr>
              <w:spacing w:after="0"/>
              <w:rPr>
                <w:sz w:val="20"/>
                <w:szCs w:val="20"/>
                <w:color w:val="auto"/>
              </w:rPr>
            </w:pPr>
            <w:r>
              <w:rPr>
                <w:rFonts w:ascii="Arial" w:cs="Arial" w:eastAsia="Arial" w:hAnsi="Arial"/>
                <w:sz w:val="22"/>
                <w:szCs w:val="22"/>
                <w:color w:val="auto"/>
              </w:rPr>
              <w:t>legal proceeding arising out of or related to this Award Agreement or the transactions contemplated hereby.</w:t>
            </w:r>
          </w:p>
        </w:tc>
      </w:tr>
      <w:tr>
        <w:trPr>
          <w:trHeight w:val="422"/>
        </w:trPr>
        <w:tc>
          <w:tcPr>
            <w:tcW w:w="1300" w:type="dxa"/>
            <w:vAlign w:val="bottom"/>
          </w:tcPr>
          <w:p>
            <w:pPr>
              <w:ind w:left="660"/>
              <w:spacing w:after="0"/>
              <w:rPr>
                <w:sz w:val="20"/>
                <w:szCs w:val="20"/>
                <w:color w:val="auto"/>
              </w:rPr>
            </w:pPr>
            <w:r>
              <w:rPr>
                <w:rFonts w:ascii="Arial" w:cs="Arial" w:eastAsia="Arial" w:hAnsi="Arial"/>
                <w:sz w:val="22"/>
                <w:szCs w:val="22"/>
                <w:color w:val="auto"/>
              </w:rPr>
              <w:t>ac.</w:t>
            </w:r>
          </w:p>
        </w:tc>
        <w:tc>
          <w:tcPr>
            <w:tcW w:w="9940" w:type="dxa"/>
            <w:vAlign w:val="bottom"/>
            <w:gridSpan w:val="3"/>
          </w:tcPr>
          <w:p>
            <w:pPr>
              <w:spacing w:after="0"/>
              <w:rPr>
                <w:sz w:val="20"/>
                <w:szCs w:val="20"/>
                <w:color w:val="auto"/>
              </w:rPr>
            </w:pPr>
            <w:r>
              <w:rPr>
                <w:rFonts w:ascii="Arial" w:cs="Arial" w:eastAsia="Arial" w:hAnsi="Arial"/>
                <w:sz w:val="22"/>
                <w:szCs w:val="22"/>
                <w:color w:val="auto"/>
                <w:w w:val="91"/>
              </w:rPr>
              <w:t>Entire Agreement. The Plan is incorporated herein by reference. The Plan and this Award Agreement (including</w:t>
            </w:r>
          </w:p>
        </w:tc>
      </w:tr>
      <w:tr>
        <w:trPr>
          <w:trHeight w:val="20"/>
        </w:trPr>
        <w:tc>
          <w:tcPr>
            <w:tcW w:w="1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appendices and exhibits referenced herein) constitute the entire agreement of the parties with respect to the subject matter hereof and supersede in their entirety all prior undertakings and agreements of the Company and Participant with respect to the subject matter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hereof, and may not be modified adversely to Participant’s interest except by means of a writing signed by the Company and Participant.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B-8</w:t>
      </w: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#93896296v1</w:t>
      </w:r>
    </w:p>
    <w:p>
      <w:pPr>
        <w:sectPr>
          <w:pgSz w:w="11900" w:h="16838" w:orient="portrait"/>
          <w:cols w:equalWidth="0" w:num="1">
            <w:col w:w="11240"/>
          </w:cols>
          <w:pgMar w:left="320" w:top="34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8340" w:type="dxa"/>
            <w:vAlign w:val="bottom"/>
            <w:gridSpan w:val="3"/>
          </w:tcPr>
          <w:p>
            <w:pPr>
              <w:jc w:val="center"/>
              <w:ind w:right="2790"/>
              <w:spacing w:after="0"/>
              <w:rPr>
                <w:sz w:val="20"/>
                <w:szCs w:val="20"/>
                <w:color w:val="auto"/>
              </w:rPr>
            </w:pPr>
            <w:r>
              <w:rPr>
                <w:rFonts w:ascii="Arial" w:cs="Arial" w:eastAsia="Arial" w:hAnsi="Arial"/>
                <w:sz w:val="18"/>
                <w:szCs w:val="18"/>
                <w:b w:val="1"/>
                <w:bCs w:val="1"/>
                <w:color w:val="auto"/>
                <w:w w:val="99"/>
              </w:rPr>
              <w:t>LIST OF SUBSIDIARIES</w:t>
            </w:r>
          </w:p>
        </w:tc>
      </w:tr>
      <w:tr>
        <w:trPr>
          <w:trHeight w:val="216"/>
        </w:trPr>
        <w:tc>
          <w:tcPr>
            <w:tcW w:w="2900" w:type="dxa"/>
            <w:vAlign w:val="bottom"/>
          </w:tcPr>
          <w:p>
            <w:pPr>
              <w:spacing w:after="0"/>
              <w:rPr>
                <w:sz w:val="18"/>
                <w:szCs w:val="18"/>
                <w:color w:val="auto"/>
              </w:rPr>
            </w:pPr>
          </w:p>
        </w:tc>
        <w:tc>
          <w:tcPr>
            <w:tcW w:w="8340" w:type="dxa"/>
            <w:vAlign w:val="bottom"/>
            <w:gridSpan w:val="3"/>
          </w:tcPr>
          <w:p>
            <w:pPr>
              <w:jc w:val="center"/>
              <w:ind w:right="2810"/>
              <w:spacing w:after="0"/>
              <w:rPr>
                <w:sz w:val="20"/>
                <w:szCs w:val="20"/>
                <w:color w:val="auto"/>
              </w:rPr>
            </w:pPr>
            <w:r>
              <w:rPr>
                <w:rFonts w:ascii="Arial" w:cs="Arial" w:eastAsia="Arial" w:hAnsi="Arial"/>
                <w:sz w:val="18"/>
                <w:szCs w:val="18"/>
                <w:b w:val="1"/>
                <w:bCs w:val="1"/>
                <w:color w:val="auto"/>
                <w:w w:val="95"/>
              </w:rPr>
              <w:t>OF</w:t>
            </w:r>
          </w:p>
        </w:tc>
      </w:tr>
      <w:tr>
        <w:trPr>
          <w:trHeight w:val="234"/>
        </w:trPr>
        <w:tc>
          <w:tcPr>
            <w:tcW w:w="2900" w:type="dxa"/>
            <w:vAlign w:val="bottom"/>
          </w:tcPr>
          <w:p>
            <w:pPr>
              <w:spacing w:after="0"/>
              <w:rPr>
                <w:sz w:val="20"/>
                <w:szCs w:val="20"/>
                <w:color w:val="auto"/>
              </w:rPr>
            </w:pPr>
          </w:p>
        </w:tc>
        <w:tc>
          <w:tcPr>
            <w:tcW w:w="8340" w:type="dxa"/>
            <w:vAlign w:val="bottom"/>
            <w:gridSpan w:val="3"/>
          </w:tcPr>
          <w:p>
            <w:pPr>
              <w:jc w:val="center"/>
              <w:ind w:right="2810"/>
              <w:spacing w:after="0"/>
              <w:rPr>
                <w:sz w:val="20"/>
                <w:szCs w:val="20"/>
                <w:color w:val="auto"/>
              </w:rPr>
            </w:pPr>
            <w:r>
              <w:rPr>
                <w:rFonts w:ascii="Arial" w:cs="Arial" w:eastAsia="Arial" w:hAnsi="Arial"/>
                <w:sz w:val="18"/>
                <w:szCs w:val="18"/>
                <w:b w:val="1"/>
                <w:bCs w:val="1"/>
                <w:color w:val="auto"/>
              </w:rPr>
              <w:t>CROWDSTRIKE HOLDINGS, INC.</w:t>
            </w:r>
          </w:p>
        </w:tc>
      </w:tr>
      <w:tr>
        <w:trPr>
          <w:trHeight w:val="47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Crowdstrike, Inc.</w:t>
            </w:r>
          </w:p>
        </w:tc>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CrowdStrike UK LTD</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141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333-252007) and on Form S-8 (Nos. 333-237343 and 333-232084) of CrowdStrike Holdings, Inc. of our report dated March 18,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4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Date: March 18, 2021</w:t>
            </w:r>
          </w:p>
        </w:tc>
        <w:tc>
          <w:tcPr>
            <w:tcW w:w="7240" w:type="dxa"/>
            <w:vAlign w:val="bottom"/>
            <w:gridSpan w:val="2"/>
          </w:tcPr>
          <w:p>
            <w:pPr>
              <w:ind w:left="2400"/>
              <w:spacing w:after="0"/>
              <w:rPr>
                <w:sz w:val="20"/>
                <w:szCs w:val="20"/>
                <w:color w:val="auto"/>
              </w:rPr>
            </w:pPr>
            <w:r>
              <w:rPr>
                <w:rFonts w:ascii="Arial" w:cs="Arial" w:eastAsia="Arial" w:hAnsi="Arial"/>
                <w:sz w:val="18"/>
                <w:szCs w:val="18"/>
                <w:color w:val="auto"/>
              </w:rPr>
              <w:t>CROWDSTRIKE HOLDINGS, INC.</w:t>
            </w:r>
          </w:p>
        </w:tc>
      </w:tr>
      <w:tr>
        <w:trPr>
          <w:trHeight w:val="230"/>
        </w:trPr>
        <w:tc>
          <w:tcPr>
            <w:tcW w:w="3980" w:type="dxa"/>
            <w:vAlign w:val="bottom"/>
          </w:tcPr>
          <w:p>
            <w:pPr>
              <w:spacing w:after="0"/>
              <w:rPr>
                <w:sz w:val="20"/>
                <w:szCs w:val="20"/>
                <w:color w:val="auto"/>
              </w:rPr>
            </w:pPr>
          </w:p>
        </w:tc>
        <w:tc>
          <w:tcPr>
            <w:tcW w:w="3160" w:type="dxa"/>
            <w:vAlign w:val="bottom"/>
          </w:tcPr>
          <w:p>
            <w:pPr>
              <w:ind w:left="240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3980" w:type="dxa"/>
            <w:vAlign w:val="bottom"/>
          </w:tcPr>
          <w:p>
            <w:pPr>
              <w:spacing w:after="0"/>
              <w:rPr>
                <w:sz w:val="19"/>
                <w:szCs w:val="19"/>
                <w:color w:val="auto"/>
              </w:rPr>
            </w:pPr>
          </w:p>
        </w:tc>
        <w:tc>
          <w:tcPr>
            <w:tcW w:w="3160" w:type="dxa"/>
            <w:vAlign w:val="bottom"/>
          </w:tcPr>
          <w:p>
            <w:pPr>
              <w:ind w:left="2400"/>
              <w:spacing w:after="0"/>
              <w:rPr>
                <w:sz w:val="20"/>
                <w:szCs w:val="20"/>
                <w:color w:val="auto"/>
              </w:rPr>
            </w:pPr>
            <w:r>
              <w:rPr>
                <w:rFonts w:ascii="Arial" w:cs="Arial" w:eastAsia="Arial" w:hAnsi="Arial"/>
                <w:sz w:val="18"/>
                <w:szCs w:val="18"/>
                <w:color w:val="auto"/>
              </w:rPr>
              <w:t>Name:</w:t>
            </w:r>
          </w:p>
        </w:tc>
        <w:tc>
          <w:tcPr>
            <w:tcW w:w="408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3980" w:type="dxa"/>
            <w:vAlign w:val="bottom"/>
          </w:tcPr>
          <w:p>
            <w:pPr>
              <w:spacing w:after="0"/>
              <w:rPr>
                <w:sz w:val="15"/>
                <w:szCs w:val="15"/>
                <w:color w:val="auto"/>
              </w:rPr>
            </w:pPr>
          </w:p>
        </w:tc>
        <w:tc>
          <w:tcPr>
            <w:tcW w:w="3160" w:type="dxa"/>
            <w:vAlign w:val="bottom"/>
          </w:tcPr>
          <w:p>
            <w:pPr>
              <w:ind w:left="2400"/>
              <w:spacing w:after="0" w:line="176" w:lineRule="exact"/>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line="176" w:lineRule="exact"/>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CrowdStrike Holdings, Inc.;</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March 18, 2021</w:t>
            </w:r>
          </w:p>
        </w:tc>
        <w:tc>
          <w:tcPr>
            <w:tcW w:w="6920" w:type="dxa"/>
            <w:vAlign w:val="bottom"/>
            <w:gridSpan w:val="2"/>
          </w:tcPr>
          <w:p>
            <w:pPr>
              <w:ind w:left="2500"/>
              <w:spacing w:after="0"/>
              <w:rPr>
                <w:sz w:val="20"/>
                <w:szCs w:val="20"/>
                <w:color w:val="auto"/>
              </w:rPr>
            </w:pPr>
            <w:r>
              <w:rPr>
                <w:rFonts w:ascii="Arial" w:cs="Arial" w:eastAsia="Arial" w:hAnsi="Arial"/>
                <w:sz w:val="18"/>
                <w:szCs w:val="18"/>
                <w:color w:val="auto"/>
              </w:rPr>
              <w:t>CROWDSTRIKE HOLDINGS, INC.</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3260" w:type="dxa"/>
            <w:vAlign w:val="bottom"/>
          </w:tcPr>
          <w:p>
            <w:pPr>
              <w:ind w:left="250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c>
          <w:tcPr>
            <w:tcW w:w="0" w:type="dxa"/>
            <w:vAlign w:val="bottom"/>
          </w:tcPr>
          <w:p>
            <w:pPr>
              <w:spacing w:after="0"/>
              <w:rPr>
                <w:sz w:val="1"/>
                <w:szCs w:val="1"/>
                <w:color w:val="auto"/>
              </w:rPr>
            </w:pPr>
          </w:p>
        </w:tc>
      </w:tr>
      <w:tr>
        <w:trPr>
          <w:trHeight w:val="222"/>
        </w:trPr>
        <w:tc>
          <w:tcPr>
            <w:tcW w:w="4080" w:type="dxa"/>
            <w:vAlign w:val="bottom"/>
          </w:tcPr>
          <w:p>
            <w:pPr>
              <w:spacing w:after="0"/>
              <w:rPr>
                <w:sz w:val="19"/>
                <w:szCs w:val="19"/>
                <w:color w:val="auto"/>
              </w:rPr>
            </w:pPr>
          </w:p>
        </w:tc>
        <w:tc>
          <w:tcPr>
            <w:tcW w:w="3260" w:type="dxa"/>
            <w:vAlign w:val="bottom"/>
          </w:tcPr>
          <w:p>
            <w:pPr>
              <w:ind w:left="2500"/>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Burt W. Podbere</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3260" w:type="dxa"/>
            <w:vAlign w:val="bottom"/>
            <w:vMerge w:val="restart"/>
          </w:tcPr>
          <w:p>
            <w:pPr>
              <w:ind w:left="2500"/>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3260" w:type="dxa"/>
            <w:vAlign w:val="bottom"/>
            <w:vMerge w:val="continue"/>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George Kurtz, the President and Chief Executive Officer of CrowdStrike Holdings, Inc., certify, pursuant to 18 U.S.C. Section 1350, as adopted pursuant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Section 906 of the Sarbanes-Oxley Act of 2002, that the Annual Report on Form 10-K of CrowdStrike Holdings, Inc. for the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31, 2021 fully complies with the requirements of Section 13(a) or 15(d) of the Securities Exchange Act of 1934 and that information contained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Annual Report on Form 10-K fairly presents, in all material respects, the financial condition and results of operations of CrowdStrike Holdings,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18, 2021</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8"/>
              </w:rPr>
              <w:t>President, Chief Executive Officer, and Director</w:t>
            </w:r>
          </w:p>
        </w:tc>
      </w:tr>
      <w:tr>
        <w:trPr>
          <w:trHeight w:val="230"/>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 Burt W. Podbere, the Chief Financial Officer of CrowdStrike Holdings, Inc., certify, pursuant to 18 U.S.C. Section 1350, as adopted pursuant to Section 906 of the Sarbanes-Oxley Act of 2002, that the Annual Report on Form 10-K of CrowdStrike Holdings, Inc. for the fiscal year ended January 31, 2021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18, 2021</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Burt W. Podbere</w:t>
            </w:r>
          </w:p>
        </w:tc>
        <w:tc>
          <w:tcPr>
            <w:tcW w:w="0" w:type="dxa"/>
            <w:vAlign w:val="bottom"/>
          </w:tcPr>
          <w:p>
            <w:pPr>
              <w:spacing w:after="0"/>
              <w:rPr>
                <w:sz w:val="1"/>
                <w:szCs w:val="1"/>
                <w:color w:val="auto"/>
              </w:rPr>
            </w:pPr>
          </w:p>
        </w:tc>
      </w:tr>
      <w:tr>
        <w:trPr>
          <w:trHeight w:val="176"/>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2"/>
    </w:lvl>
  </w:abstractNum>
  <w:abstractNum w:abstractNumId="42">
    <w:nsid w:val="354FE9F9"/>
    <w:multiLevelType w:val="hybridMultilevel"/>
    <w:lvl w:ilvl="0">
      <w:lvlJc w:val="left"/>
      <w:lvlText w:val="(%1)"/>
      <w:numFmt w:val="decimal"/>
      <w:start w:val="3"/>
    </w:lvl>
  </w:abstractNum>
  <w:abstractNum w:abstractNumId="43">
    <w:nsid w:val="15B5AF5C"/>
    <w:multiLevelType w:val="hybridMultilevel"/>
    <w:lvl w:ilvl="0">
      <w:lvlJc w:val="left"/>
      <w:lvlText w:val="(%1)"/>
      <w:numFmt w:val="decimal"/>
      <w:start w:val="4"/>
    </w:lvl>
  </w:abstractNum>
  <w:abstractNum w:abstractNumId="44">
    <w:nsid w:val="741226BB"/>
    <w:multiLevelType w:val="hybridMultilevel"/>
    <w:lvl w:ilvl="0">
      <w:lvlJc w:val="left"/>
      <w:lvlText w:val="(%1)"/>
      <w:numFmt w:val="decimal"/>
      <w:start w:val="5"/>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2"/>
    </w:lvl>
  </w:abstractNum>
  <w:abstractNum w:abstractNumId="47">
    <w:nsid w:val="3F6AB60F"/>
    <w:multiLevelType w:val="hybridMultilevel"/>
    <w:lvl w:ilvl="0">
      <w:lvlJc w:val="left"/>
      <w:lvlText w:val="(%1)"/>
      <w:numFmt w:val="lowerRoman"/>
      <w:start w:val="2"/>
    </w:lvl>
  </w:abstractNum>
  <w:abstractNum w:abstractNumId="48">
    <w:nsid w:val="61574095"/>
    <w:multiLevelType w:val="hybridMultilevel"/>
    <w:lvl w:ilvl="0">
      <w:lvlJc w:val="left"/>
      <w:lvlText w:val="%1."/>
      <w:numFmt w:val="decimal"/>
      <w:start w:val="840"/>
    </w:lvl>
  </w:abstractNum>
  <w:abstractNum w:abstractNumId="49">
    <w:nsid w:val="7E0C57B1"/>
    <w:multiLevelType w:val="hybridMultilevel"/>
    <w:lvl w:ilvl="0">
      <w:lvlJc w:val="left"/>
      <w:lvlText w:val="%1."/>
      <w:numFmt w:val="decimal"/>
      <w:start w:val="2"/>
    </w:lvl>
  </w:abstractNum>
  <w:abstractNum w:abstractNumId="50">
    <w:nsid w:val="77AE35EB"/>
    <w:multiLevelType w:val="hybridMultilevel"/>
    <w:lvl w:ilvl="0">
      <w:lvlJc w:val="left"/>
      <w:lvlText w:val="%1."/>
      <w:numFmt w:val="decimal"/>
      <w:start w:val="606"/>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decimal"/>
      <w:start w:val="2"/>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decimal"/>
      <w:start w:val="8"/>
    </w:lvl>
  </w:abstractNum>
  <w:abstractNum w:abstractNumId="57">
    <w:nsid w:val="4AD084E9"/>
    <w:multiLevelType w:val="hybridMultilevel"/>
    <w:lvl w:ilvl="0">
      <w:lvlJc w:val="left"/>
      <w:lvlText w:val="%1."/>
      <w:numFmt w:val="decimal"/>
      <w:start w:val="10"/>
    </w:lvl>
  </w:abstractNum>
  <w:abstractNum w:abstractNumId="58">
    <w:nsid w:val="1F48EAA1"/>
    <w:multiLevelType w:val="hybridMultilevel"/>
    <w:lvl w:ilvl="0">
      <w:lvlJc w:val="left"/>
      <w:lvlText w:val="%1"/>
      <w:numFmt w:val="decimal"/>
      <w:start w:val="104"/>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Letter"/>
      <w:start w:val="5"/>
    </w:lvl>
  </w:abstractNum>
  <w:abstractNum w:abstractNumId="64">
    <w:nsid w:val="5F5E7FD0"/>
    <w:multiLevelType w:val="hybridMultilevel"/>
    <w:lvl w:ilvl="0">
      <w:lvlJc w:val="left"/>
      <w:lvlText w:val="%1."/>
      <w:numFmt w:val="lowerLetter"/>
      <w:start w:val="6"/>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lvl w:ilvl="1">
      <w:lvlJc w:val="left"/>
      <w:lvlText w:val="%2."/>
      <w:numFmt w:val="decimal"/>
      <w:start w:val="3"/>
    </w:lvl>
  </w:abstractNum>
  <w:abstractNum w:abstractNumId="67">
    <w:nsid w:val="6B94764"/>
    <w:multiLevelType w:val="hybridMultilevel"/>
    <w:lvl w:ilvl="0">
      <w:lvlJc w:val="left"/>
      <w:lvlText w:val="%1."/>
      <w:numFmt w:val="lowerLetter"/>
      <w:start w:val="12"/>
    </w:lvl>
    <w:lvl w:ilvl="1">
      <w:lvlJc w:val="left"/>
      <w:lvlText w:val="%2"/>
      <w:numFmt w:val="decimal"/>
      <w:start w:val="1"/>
    </w:lvl>
  </w:abstractNum>
  <w:abstractNum w:abstractNumId="68">
    <w:nsid w:val="42C296BD"/>
    <w:multiLevelType w:val="hybridMultilevel"/>
    <w:lvl w:ilvl="0">
      <w:lvlJc w:val="left"/>
      <w:lvlText w:val="%1."/>
      <w:numFmt w:val="lowerLetter"/>
      <w:start w:val="13"/>
    </w:lvl>
  </w:abstractNum>
  <w:abstractNum w:abstractNumId="69">
    <w:nsid w:val="168E121F"/>
    <w:multiLevelType w:val="hybridMultilevel"/>
    <w:lvl w:ilvl="0">
      <w:lvlJc w:val="left"/>
      <w:lvlText w:val="%1."/>
      <w:numFmt w:val="lowerLetter"/>
      <w:start w:val="14"/>
    </w:lvl>
  </w:abstractNum>
  <w:abstractNum w:abstractNumId="70">
    <w:nsid w:val="1EBA5D23"/>
    <w:multiLevelType w:val="hybridMultilevel"/>
    <w:lvl w:ilvl="0">
      <w:lvlJc w:val="left"/>
      <w:lvlText w:val="%1."/>
      <w:numFmt w:val="lowerLetter"/>
      <w:start w:val="18"/>
    </w:lvl>
  </w:abstractNum>
  <w:abstractNum w:abstractNumId="71">
    <w:nsid w:val="661E3F1E"/>
    <w:multiLevelType w:val="hybridMultilevel"/>
    <w:lvl w:ilvl="0">
      <w:lvlJc w:val="left"/>
      <w:lvlText w:val="%1."/>
      <w:numFmt w:val="lowerLetter"/>
      <w:start w:val="24"/>
    </w:lvl>
  </w:abstractNum>
  <w:abstractNum w:abstractNumId="72">
    <w:nsid w:val="5DC79EA8"/>
    <w:multiLevelType w:val="hybridMultilevel"/>
    <w:lvl w:ilvl="0">
      <w:lvlJc w:val="left"/>
      <w:lvlText w:val="%1."/>
      <w:numFmt w:val="lowerLetter"/>
      <w:start w:val="27"/>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80"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58" Type="http://schemas.openxmlformats.org/officeDocument/2006/relationships/hyperlink" Target="http://www.sec.gov/Archives/edgar/data/1535527/000110465919035685/a19-11597_1ex3d1.htm" TargetMode="External"/><Relationship Id="rId159" Type="http://schemas.openxmlformats.org/officeDocument/2006/relationships/hyperlink" Target="http://www.sec.gov/Archives/edgar/data/1535527/000110465919035685/a19-11597_1ex3d2.htm" TargetMode="External"/><Relationship Id="rId160" Type="http://schemas.openxmlformats.org/officeDocument/2006/relationships/hyperlink" Target="http://www.sec.gov/Archives/edgar/data/1535527/000104746919003095/a2238800zex-4_1.htm" TargetMode="External"/><Relationship Id="rId161" Type="http://schemas.openxmlformats.org/officeDocument/2006/relationships/hyperlink" Target="http://www.sec.gov/Archives/edgar/data/1535527/000104746919003095/a2238800zex-4_2.htm" TargetMode="External"/><Relationship Id="rId162" Type="http://schemas.openxmlformats.org/officeDocument/2006/relationships/hyperlink" Target="http://www.sec.gov/Archives/edgar/data/1535527/000104746919003341/a2238881zex-4_3.htm" TargetMode="External"/><Relationship Id="rId163" Type="http://schemas.openxmlformats.org/officeDocument/2006/relationships/hyperlink" Target="http://www.sec.gov/Archives/edgar/data/1535527/000153552720000006/crwdex44-descriptionof.htm" TargetMode="External"/><Relationship Id="rId164" Type="http://schemas.openxmlformats.org/officeDocument/2006/relationships/hyperlink" Target="http://www.sec.gov/Archives/edgar/data/1535527/000110465921005883/tm213272d1_ex4-1.htm" TargetMode="External"/><Relationship Id="rId165" Type="http://schemas.openxmlformats.org/officeDocument/2006/relationships/hyperlink" Target="http://www.sec.gov/Archives/edgar/data/1535527/000110465921005883/tm213272d1_ex4-2.htm" TargetMode="External"/><Relationship Id="rId166" Type="http://schemas.openxmlformats.org/officeDocument/2006/relationships/hyperlink" Target="http://www.sec.gov/Archives/edgar/data/1535527/000104746919003095/a2238800zex-10_1.htm" TargetMode="External"/><Relationship Id="rId167" Type="http://schemas.openxmlformats.org/officeDocument/2006/relationships/hyperlink" Target="http://www.sec.gov/Archives/edgar/data/1535527/000104746919003341/a2238881zex-10_2.htm" TargetMode="External"/><Relationship Id="rId168" Type="http://schemas.openxmlformats.org/officeDocument/2006/relationships/hyperlink" Target="http://www.sec.gov/Archives/edgar/data/1535527/000153552720000019/ex-101formofdirectoran.htm" TargetMode="External"/><Relationship Id="rId169" Type="http://schemas.openxmlformats.org/officeDocument/2006/relationships/hyperlink" Target="http://www.sec.gov/Archives/edgar/data/1535527/000153552720000012/crwd-20200430xex101.htm" TargetMode="External"/><Relationship Id="rId170" Type="http://schemas.openxmlformats.org/officeDocument/2006/relationships/hyperlink" Target="http://www.sec.gov/Archives/edgar/data/1535527/000104746919003095/a2238800zex-10_4.htm" TargetMode="External"/><Relationship Id="rId171" Type="http://schemas.openxmlformats.org/officeDocument/2006/relationships/hyperlink" Target="http://www.sec.gov/Archives/edgar/data/1535527/000104746919003341/a2238881zex-10_3.htm" TargetMode="External"/><Relationship Id="rId172" Type="http://schemas.openxmlformats.org/officeDocument/2006/relationships/hyperlink" Target="http://www.sec.gov/Archives/edgar/data/0001535527/000110465921035670/tm219494d1_ex99-1.htm" TargetMode="External"/><Relationship Id="rId173" Type="http://schemas.openxmlformats.org/officeDocument/2006/relationships/hyperlink" Target="http://www.sec.gov/Archives/edgar/data/1535527/000104746919003341/a2238881zex-10_5.htm" TargetMode="External"/><Relationship Id="rId174" Type="http://schemas.openxmlformats.org/officeDocument/2006/relationships/hyperlink" Target="http://www.sec.gov/Archives/edgar/data/1535527/000104746919003095/a2238800zex-10_6.htm" TargetMode="External"/><Relationship Id="rId175" Type="http://schemas.openxmlformats.org/officeDocument/2006/relationships/hyperlink" Target="http://www.sec.gov/Archives/edgar/data/1535527/000104746919003095/a2238800zex-10_7.htm" TargetMode="External"/><Relationship Id="rId176" Type="http://schemas.openxmlformats.org/officeDocument/2006/relationships/hyperlink" Target="http://www.sec.gov/Archives/edgar/data/1535527/000104746919003095/a2238800zex-10_8.htm" TargetMode="External"/><Relationship Id="rId177" Type="http://schemas.openxmlformats.org/officeDocument/2006/relationships/hyperlink" Target="http://www.sec.gov/Archives/edgar/data/1535527/000104746919003095/a2238800zex-10_9.htm" TargetMode="External"/><Relationship Id="rId178" Type="http://schemas.openxmlformats.org/officeDocument/2006/relationships/hyperlink" Target="http://www.sec.gov/Archives/edgar/data/1535527/000104746919003095/a2238800zex-10_10.htm" TargetMode="External"/><Relationship Id="rId179" Type="http://schemas.openxmlformats.org/officeDocument/2006/relationships/hyperlink" Target="http://www.sec.gov/Archives/edgar/data/1535527/000104746919003095/a2238800zex-10_12.htm" TargetMode="External"/><Relationship Id="rId181" Type="http://schemas.openxmlformats.org/officeDocument/2006/relationships/hyperlink" Target="http://www.sec.gov/Archives/edgar/data/1535527/000153552719000011/crowdstrikefourthamendme.htm" TargetMode="External"/><Relationship Id="rId182" Type="http://schemas.openxmlformats.org/officeDocument/2006/relationships/hyperlink" Target="http://www.sec.gov/Archives/edgar/data/1535527/000153552720000006/crwd_sunnyvale5thamend10.htm" TargetMode="External"/><Relationship Id="rId183" Type="http://schemas.openxmlformats.org/officeDocument/2006/relationships/hyperlink" Target="http://www.sec.gov/Archives/edgar/data/1535527/000104746919003095/a2238800zex-10_13.htm" TargetMode="External"/><Relationship Id="rId184" Type="http://schemas.openxmlformats.org/officeDocument/2006/relationships/hyperlink" Target="http://www.sec.gov/Archives/edgar/data/1535527/000110465921000959/tm2039203d4_ex10-1.htm" TargetMode="External"/><Relationship Id="rId185"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2021-03-18T16:07:00Z</dcterms:created>
  <dcterms:modified xsi:type="dcterms:W3CDTF">2021-03-18T16:07:00Z</dcterms:modified>
</cp:coreProperties>
</file>