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519430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544830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5" w:lineRule="exact"/>
        <w:rPr>
          <w:sz w:val="24"/>
          <w:szCs w:val="24"/>
          <w:color w:val="auto"/>
        </w:rPr>
      </w:pPr>
    </w:p>
    <w:p>
      <w:pPr>
        <w:ind w:left="360" w:hanging="255"/>
        <w:spacing w:after="0"/>
        <w:tabs>
          <w:tab w:leader="none" w:pos="360"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January 31, 2025</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9" w:lineRule="exact"/>
        <w:rPr>
          <w:sz w:val="24"/>
          <w:szCs w:val="24"/>
          <w:color w:val="auto"/>
        </w:rPr>
      </w:pPr>
    </w:p>
    <w:p>
      <w:pPr>
        <w:ind w:left="360" w:hanging="255"/>
        <w:spacing w:after="0"/>
        <w:tabs>
          <w:tab w:leader="none" w:pos="36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1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For the transition period from to</w:t>
            </w: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4"/>
        </w:trPr>
        <w:tc>
          <w:tcPr>
            <w:tcW w:w="1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Commission File Number: 001-38933</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40"/>
        </w:trPr>
        <w:tc>
          <w:tcPr>
            <w:tcW w:w="10620" w:type="dxa"/>
            <w:vAlign w:val="bottom"/>
            <w:gridSpan w:val="9"/>
          </w:tcPr>
          <w:p>
            <w:pPr>
              <w:jc w:val="center"/>
              <w:ind w:left="558"/>
              <w:spacing w:after="0"/>
              <w:rPr>
                <w:sz w:val="20"/>
                <w:szCs w:val="20"/>
                <w:color w:val="auto"/>
              </w:rPr>
            </w:pPr>
            <w:r>
              <w:rPr>
                <w:rFonts w:ascii="Times New Roman" w:cs="Times New Roman" w:eastAsia="Times New Roman" w:hAnsi="Times New Roman"/>
                <w:sz w:val="11"/>
                <w:szCs w:val="11"/>
                <w:b w:val="1"/>
                <w:bCs w:val="1"/>
                <w:color w:val="auto"/>
                <w:w w:val="96"/>
              </w:rPr>
              <w:t>___________________________________________________________________________________________________</w:t>
            </w:r>
          </w:p>
        </w:tc>
        <w:tc>
          <w:tcPr>
            <w:tcW w:w="640" w:type="dxa"/>
            <w:vAlign w:val="bottom"/>
          </w:tcPr>
          <w:p>
            <w:pPr>
              <w:spacing w:after="0"/>
              <w:rPr>
                <w:sz w:val="12"/>
                <w:szCs w:val="12"/>
                <w:color w:val="auto"/>
              </w:rPr>
            </w:pPr>
          </w:p>
        </w:tc>
      </w:tr>
      <w:tr>
        <w:trPr>
          <w:trHeight w:val="184"/>
        </w:trPr>
        <w:tc>
          <w:tcPr>
            <w:tcW w:w="1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CROWDSTRIKE HOLDINGS, INC.</w:t>
            </w: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40"/>
        </w:trPr>
        <w:tc>
          <w:tcPr>
            <w:tcW w:w="10620" w:type="dxa"/>
            <w:vAlign w:val="bottom"/>
            <w:gridSpan w:val="9"/>
          </w:tcPr>
          <w:p>
            <w:pPr>
              <w:jc w:val="center"/>
              <w:ind w:left="558"/>
              <w:spacing w:after="0"/>
              <w:rPr>
                <w:sz w:val="20"/>
                <w:szCs w:val="20"/>
                <w:color w:val="auto"/>
              </w:rPr>
            </w:pPr>
            <w:r>
              <w:rPr>
                <w:rFonts w:ascii="Times New Roman" w:cs="Times New Roman" w:eastAsia="Times New Roman" w:hAnsi="Times New Roman"/>
                <w:sz w:val="11"/>
                <w:szCs w:val="11"/>
                <w:b w:val="1"/>
                <w:bCs w:val="1"/>
                <w:color w:val="auto"/>
                <w:w w:val="96"/>
              </w:rPr>
              <w:t>___________________________________________________________________________________________________</w:t>
            </w:r>
          </w:p>
        </w:tc>
        <w:tc>
          <w:tcPr>
            <w:tcW w:w="640" w:type="dxa"/>
            <w:vAlign w:val="bottom"/>
          </w:tcPr>
          <w:p>
            <w:pPr>
              <w:spacing w:after="0"/>
              <w:rPr>
                <w:sz w:val="12"/>
                <w:szCs w:val="12"/>
                <w:color w:val="auto"/>
              </w:rPr>
            </w:pPr>
          </w:p>
        </w:tc>
      </w:tr>
      <w:tr>
        <w:trPr>
          <w:trHeight w:val="209"/>
        </w:trPr>
        <w:tc>
          <w:tcPr>
            <w:tcW w:w="1020" w:type="dxa"/>
            <w:vAlign w:val="bottom"/>
          </w:tcPr>
          <w:p>
            <w:pPr>
              <w:spacing w:after="0"/>
              <w:rPr>
                <w:sz w:val="18"/>
                <w:szCs w:val="18"/>
                <w:color w:val="auto"/>
              </w:rPr>
            </w:pPr>
          </w:p>
        </w:tc>
        <w:tc>
          <w:tcPr>
            <w:tcW w:w="2740" w:type="dxa"/>
            <w:vAlign w:val="bottom"/>
            <w:gridSpan w:val="2"/>
          </w:tcPr>
          <w:p>
            <w:pPr>
              <w:jc w:val="center"/>
              <w:ind w:right="146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0" w:type="dxa"/>
            <w:vAlign w:val="bottom"/>
            <w:gridSpan w:val="2"/>
          </w:tcPr>
          <w:p>
            <w:pPr>
              <w:jc w:val="center"/>
              <w:ind w:left="809"/>
              <w:spacing w:after="0"/>
              <w:rPr>
                <w:sz w:val="20"/>
                <w:szCs w:val="20"/>
                <w:color w:val="auto"/>
              </w:rPr>
            </w:pPr>
            <w:r>
              <w:rPr>
                <w:rFonts w:ascii="Times New Roman" w:cs="Times New Roman" w:eastAsia="Times New Roman" w:hAnsi="Times New Roman"/>
                <w:sz w:val="14"/>
                <w:szCs w:val="14"/>
                <w:b w:val="1"/>
                <w:bCs w:val="1"/>
                <w:color w:val="auto"/>
              </w:rPr>
              <w:t>45-3788918</w:t>
            </w:r>
          </w:p>
        </w:tc>
        <w:tc>
          <w:tcPr>
            <w:tcW w:w="640" w:type="dxa"/>
            <w:vAlign w:val="bottom"/>
          </w:tcPr>
          <w:p>
            <w:pPr>
              <w:spacing w:after="0"/>
              <w:rPr>
                <w:sz w:val="18"/>
                <w:szCs w:val="18"/>
                <w:color w:val="auto"/>
              </w:rPr>
            </w:pPr>
          </w:p>
        </w:tc>
      </w:tr>
      <w:tr>
        <w:trPr>
          <w:trHeight w:val="157"/>
        </w:trPr>
        <w:tc>
          <w:tcPr>
            <w:tcW w:w="3760" w:type="dxa"/>
            <w:vAlign w:val="bottom"/>
            <w:gridSpan w:val="3"/>
          </w:tcPr>
          <w:p>
            <w:pPr>
              <w:jc w:val="center"/>
              <w:ind w:right="481"/>
              <w:spacing w:after="0" w:line="157"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2"/>
          </w:tcPr>
          <w:p>
            <w:pPr>
              <w:jc w:val="center"/>
              <w:ind w:left="29"/>
              <w:spacing w:after="0" w:line="157" w:lineRule="exact"/>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3760" w:type="dxa"/>
            <w:vAlign w:val="bottom"/>
            <w:gridSpan w:val="3"/>
          </w:tcPr>
          <w:p>
            <w:pPr>
              <w:jc w:val="center"/>
              <w:ind w:right="46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95"/>
        </w:trPr>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206 E. 9th Street, Suite 1400, Austin, Texas 78701</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60" w:type="dxa"/>
            <w:vAlign w:val="bottom"/>
            <w:gridSpan w:val="5"/>
          </w:tcPr>
          <w:p>
            <w:pPr>
              <w:jc w:val="center"/>
              <w:ind w:left="381"/>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 (888) 512-8906</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6"/>
        </w:trPr>
        <w:tc>
          <w:tcPr>
            <w:tcW w:w="10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8"/>
        </w:trPr>
        <w:tc>
          <w:tcPr>
            <w:tcW w:w="10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39"/>
        </w:trPr>
        <w:tc>
          <w:tcPr>
            <w:tcW w:w="1020" w:type="dxa"/>
            <w:vAlign w:val="bottom"/>
            <w:tcBorders>
              <w:left w:val="single" w:sz="8" w:color="auto"/>
            </w:tcBorders>
          </w:tcPr>
          <w:p>
            <w:pPr>
              <w:spacing w:after="0"/>
              <w:rPr>
                <w:sz w:val="12"/>
                <w:szCs w:val="12"/>
                <w:color w:val="auto"/>
              </w:rPr>
            </w:pPr>
          </w:p>
        </w:tc>
        <w:tc>
          <w:tcPr>
            <w:tcW w:w="2740" w:type="dxa"/>
            <w:vAlign w:val="bottom"/>
            <w:tcBorders>
              <w:right w:val="single" w:sz="8" w:color="auto"/>
            </w:tcBorders>
            <w:gridSpan w:val="2"/>
          </w:tcPr>
          <w:p>
            <w:pPr>
              <w:jc w:val="center"/>
              <w:ind w:right="921"/>
              <w:spacing w:after="0" w:line="139" w:lineRule="exact"/>
              <w:rPr>
                <w:sz w:val="20"/>
                <w:szCs w:val="20"/>
                <w:color w:val="auto"/>
              </w:rPr>
            </w:pPr>
            <w:r>
              <w:rPr>
                <w:rFonts w:ascii="Times New Roman" w:cs="Times New Roman" w:eastAsia="Times New Roman" w:hAnsi="Times New Roman"/>
                <w:sz w:val="14"/>
                <w:szCs w:val="14"/>
                <w:color w:val="auto"/>
              </w:rPr>
              <w:t>Title of each class of securities</w:t>
            </w:r>
          </w:p>
        </w:tc>
        <w:tc>
          <w:tcPr>
            <w:tcW w:w="1340" w:type="dxa"/>
            <w:vAlign w:val="bottom"/>
          </w:tcPr>
          <w:p>
            <w:pPr>
              <w:spacing w:after="0"/>
              <w:rPr>
                <w:sz w:val="12"/>
                <w:szCs w:val="12"/>
                <w:color w:val="auto"/>
              </w:rPr>
            </w:pPr>
          </w:p>
        </w:tc>
        <w:tc>
          <w:tcPr>
            <w:tcW w:w="2420" w:type="dxa"/>
            <w:vAlign w:val="bottom"/>
            <w:tcBorders>
              <w:right w:val="single" w:sz="8" w:color="auto"/>
            </w:tcBorders>
            <w:gridSpan w:val="2"/>
          </w:tcPr>
          <w:p>
            <w:pPr>
              <w:jc w:val="center"/>
              <w:ind w:right="1380"/>
              <w:spacing w:after="0" w:line="139" w:lineRule="exact"/>
              <w:rPr>
                <w:sz w:val="20"/>
                <w:szCs w:val="20"/>
                <w:color w:val="auto"/>
              </w:rPr>
            </w:pPr>
            <w:r>
              <w:rPr>
                <w:rFonts w:ascii="Times New Roman" w:cs="Times New Roman" w:eastAsia="Times New Roman" w:hAnsi="Times New Roman"/>
                <w:sz w:val="14"/>
                <w:szCs w:val="14"/>
                <w:color w:val="auto"/>
              </w:rPr>
              <w:t>Trading symbol(s)</w:t>
            </w:r>
          </w:p>
        </w:tc>
        <w:tc>
          <w:tcPr>
            <w:tcW w:w="500" w:type="dxa"/>
            <w:vAlign w:val="bottom"/>
          </w:tcPr>
          <w:p>
            <w:pPr>
              <w:spacing w:after="0"/>
              <w:rPr>
                <w:sz w:val="12"/>
                <w:szCs w:val="12"/>
                <w:color w:val="auto"/>
              </w:rPr>
            </w:pPr>
          </w:p>
        </w:tc>
        <w:tc>
          <w:tcPr>
            <w:tcW w:w="3240" w:type="dxa"/>
            <w:vAlign w:val="bottom"/>
            <w:tcBorders>
              <w:right w:val="single" w:sz="8" w:color="auto"/>
            </w:tcBorders>
            <w:gridSpan w:val="3"/>
          </w:tcPr>
          <w:p>
            <w:pPr>
              <w:jc w:val="center"/>
              <w:ind w:right="540"/>
              <w:spacing w:after="0" w:line="139"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3"/>
        </w:trPr>
        <w:tc>
          <w:tcPr>
            <w:tcW w:w="1020" w:type="dxa"/>
            <w:vAlign w:val="bottom"/>
            <w:tcBorders>
              <w:left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top w:val="single" w:sz="8" w:color="auto"/>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r>
      <w:tr>
        <w:trPr>
          <w:trHeight w:val="177"/>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$0.0005 per share</w:t>
            </w:r>
          </w:p>
        </w:tc>
        <w:tc>
          <w:tcPr>
            <w:tcW w:w="1340" w:type="dxa"/>
            <w:vAlign w:val="bottom"/>
          </w:tcPr>
          <w:p>
            <w:pPr>
              <w:spacing w:after="0"/>
              <w:rPr>
                <w:sz w:val="15"/>
                <w:szCs w:val="15"/>
                <w:color w:val="auto"/>
              </w:rPr>
            </w:pPr>
          </w:p>
        </w:tc>
        <w:tc>
          <w:tcPr>
            <w:tcW w:w="2420" w:type="dxa"/>
            <w:vAlign w:val="bottom"/>
            <w:tcBorders>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14"/>
                <w:szCs w:val="14"/>
                <w:color w:val="auto"/>
                <w:w w:val="99"/>
              </w:rPr>
              <w:t>CRWD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9"/>
        </w:trPr>
        <w:tc>
          <w:tcPr>
            <w:tcW w:w="1020" w:type="dxa"/>
            <w:vAlign w:val="bottom"/>
            <w:tcBorders>
              <w:left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right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24"/>
        </w:trPr>
        <w:tc>
          <w:tcPr>
            <w:tcW w:w="102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r>
      <w:tr>
        <w:trPr>
          <w:trHeight w:val="222"/>
        </w:trPr>
        <w:tc>
          <w:tcPr>
            <w:tcW w:w="10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79"/>
        </w:trPr>
        <w:tc>
          <w:tcPr>
            <w:tcW w:w="1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92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40"/>
        </w:trPr>
        <w:tc>
          <w:tcPr>
            <w:tcW w:w="10620" w:type="dxa"/>
            <w:vAlign w:val="bottom"/>
            <w:gridSpan w:val="9"/>
          </w:tcPr>
          <w:p>
            <w:pPr>
              <w:jc w:val="center"/>
              <w:ind w:left="558"/>
              <w:spacing w:after="0"/>
              <w:rPr>
                <w:sz w:val="20"/>
                <w:szCs w:val="20"/>
                <w:color w:val="auto"/>
              </w:rPr>
            </w:pPr>
            <w:r>
              <w:rPr>
                <w:rFonts w:ascii="Times New Roman" w:cs="Times New Roman" w:eastAsia="Times New Roman" w:hAnsi="Times New Roman"/>
                <w:sz w:val="11"/>
                <w:szCs w:val="11"/>
                <w:b w:val="1"/>
                <w:bCs w:val="1"/>
                <w:color w:val="auto"/>
                <w:w w:val="96"/>
              </w:rPr>
              <w:t>___________________________________________________________________________________________________</w:t>
            </w:r>
          </w:p>
        </w:tc>
        <w:tc>
          <w:tcPr>
            <w:tcW w:w="640" w:type="dxa"/>
            <w:vAlign w:val="bottom"/>
          </w:tcPr>
          <w:p>
            <w:pPr>
              <w:spacing w:after="0"/>
              <w:rPr>
                <w:sz w:val="12"/>
                <w:szCs w:val="12"/>
                <w:color w:val="auto"/>
              </w:rPr>
            </w:pPr>
          </w:p>
        </w:tc>
      </w:tr>
    </w:tbl>
    <w:p>
      <w:pPr>
        <w:ind w:right="2600"/>
        <w:spacing w:after="0" w:line="215"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of 1933, as amended.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3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6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2320" w:type="dxa"/>
            <w:vAlign w:val="bottom"/>
          </w:tcPr>
          <w:p>
            <w:pPr>
              <w:jc w:val="center"/>
              <w:ind w:right="909"/>
              <w:spacing w:after="0"/>
              <w:rPr>
                <w:sz w:val="20"/>
                <w:szCs w:val="20"/>
                <w:color w:val="auto"/>
              </w:rPr>
            </w:pPr>
            <w:r>
              <w:rPr>
                <w:rFonts w:ascii="Times New Roman" w:cs="Times New Roman" w:eastAsia="Times New Roman" w:hAnsi="Times New Roman"/>
                <w:sz w:val="14"/>
                <w:szCs w:val="14"/>
                <w:color w:val="auto"/>
              </w:rPr>
              <w:t>Large Accelerated Filer</w:t>
            </w:r>
          </w:p>
        </w:tc>
        <w:tc>
          <w:tcPr>
            <w:tcW w:w="2120" w:type="dxa"/>
            <w:vAlign w:val="bottom"/>
          </w:tcPr>
          <w:p>
            <w:pPr>
              <w:ind w:left="10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Accelerated Filer</w:t>
            </w:r>
          </w:p>
        </w:tc>
        <w:tc>
          <w:tcPr>
            <w:tcW w:w="1020" w:type="dxa"/>
            <w:vAlign w:val="bottom"/>
          </w:tcPr>
          <w:p>
            <w:pPr>
              <w:ind w:left="90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12"/>
        </w:trPr>
        <w:tc>
          <w:tcPr>
            <w:tcW w:w="2320" w:type="dxa"/>
            <w:vAlign w:val="bottom"/>
          </w:tcPr>
          <w:p>
            <w:pPr>
              <w:jc w:val="center"/>
              <w:ind w:right="929"/>
              <w:spacing w:after="0"/>
              <w:rPr>
                <w:sz w:val="20"/>
                <w:szCs w:val="20"/>
                <w:color w:val="auto"/>
              </w:rPr>
            </w:pPr>
            <w:r>
              <w:rPr>
                <w:rFonts w:ascii="Times New Roman" w:cs="Times New Roman" w:eastAsia="Times New Roman" w:hAnsi="Times New Roman"/>
                <w:sz w:val="14"/>
                <w:szCs w:val="14"/>
                <w:color w:val="auto"/>
              </w:rPr>
              <w:t>Non-accelerated Filer</w:t>
            </w:r>
          </w:p>
        </w:tc>
        <w:tc>
          <w:tcPr>
            <w:tcW w:w="2120" w:type="dxa"/>
            <w:vAlign w:val="bottom"/>
          </w:tcPr>
          <w:p>
            <w:pPr>
              <w:ind w:left="10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20" w:type="dxa"/>
            <w:vAlign w:val="bottom"/>
          </w:tcPr>
          <w:p>
            <w:pPr>
              <w:ind w:left="90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37"/>
        </w:trPr>
        <w:tc>
          <w:tcPr>
            <w:tcW w:w="2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Emerging growth company</w:t>
            </w:r>
          </w:p>
        </w:tc>
        <w:tc>
          <w:tcPr>
            <w:tcW w:w="1020" w:type="dxa"/>
            <w:vAlign w:val="bottom"/>
          </w:tcPr>
          <w:p>
            <w:pPr>
              <w:ind w:left="90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99" w:lineRule="exact"/>
        <w:rPr>
          <w:sz w:val="24"/>
          <w:szCs w:val="24"/>
          <w:color w:val="auto"/>
        </w:rPr>
      </w:pPr>
    </w:p>
    <w:p>
      <w:pPr>
        <w:ind w:right="22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28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7" w:lineRule="exact"/>
        <w:rPr>
          <w:sz w:val="24"/>
          <w:szCs w:val="24"/>
          <w:color w:val="auto"/>
        </w:rPr>
      </w:pPr>
    </w:p>
    <w:p>
      <w:pPr>
        <w:ind w:right="360"/>
        <w:spacing w:after="0" w:line="18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ind w:right="20"/>
        <w:spacing w:after="0" w:line="199"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right="60"/>
        <w:spacing w:after="0" w:line="290"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a share of the registrant’s common stock on July 31, 2024 (the last business day of the registrant’s most recently completed second fiscal quarter) as reported by the Nasdaq Global Select Market on such date was approximately $53.5 billion.</w:t>
      </w:r>
    </w:p>
    <w:p>
      <w:pPr>
        <w:spacing w:after="0" w:line="8" w:lineRule="exact"/>
        <w:rPr>
          <w:sz w:val="24"/>
          <w:szCs w:val="24"/>
          <w:color w:val="auto"/>
        </w:rPr>
      </w:pPr>
    </w:p>
    <w:p>
      <w:pPr>
        <w:ind w:right="40"/>
        <w:spacing w:after="0" w:line="290" w:lineRule="auto"/>
        <w:rPr>
          <w:sz w:val="20"/>
          <w:szCs w:val="20"/>
          <w:color w:val="auto"/>
        </w:rPr>
      </w:pPr>
      <w:r>
        <w:rPr>
          <w:rFonts w:ascii="Times New Roman" w:cs="Times New Roman" w:eastAsia="Times New Roman" w:hAnsi="Times New Roman"/>
          <w:sz w:val="14"/>
          <w:szCs w:val="14"/>
          <w:color w:val="auto"/>
        </w:rPr>
        <w:t>As of February 28, 2025, the number of shares of the registrant’s Class A common stock outstanding was 247,873,415, and the number of shares of the registrant’s Class B common stock outstanding was 0.</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24"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2025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422275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22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40" w:type="dxa"/>
            <w:vAlign w:val="bottom"/>
            <w:gridSpan w:val="16"/>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CROWDSTRIKE HOLDINGS, INC.</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gridSpan w:val="16"/>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rPr>
              <w:t>Part I</w:t>
            </w:r>
          </w:p>
        </w:tc>
        <w:tc>
          <w:tcPr>
            <w:tcW w:w="3840" w:type="dxa"/>
            <w:vAlign w:val="bottom"/>
            <w:gridSpan w:val="9"/>
            <w:vMerge w:val="restart"/>
          </w:tcPr>
          <w:p>
            <w:pPr>
              <w:spacing w:after="0"/>
              <w:rPr>
                <w:sz w:val="21"/>
                <w:szCs w:val="21"/>
                <w:color w:val="auto"/>
              </w:rPr>
            </w:pPr>
          </w:p>
        </w:tc>
        <w:tc>
          <w:tcPr>
            <w:tcW w:w="15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0000FF"/>
            </w:tcBorders>
            <w:gridSpan w:val="2"/>
            <w:vMerge w:val="continue"/>
          </w:tcPr>
          <w:p>
            <w:pPr>
              <w:spacing w:after="0"/>
              <w:rPr>
                <w:sz w:val="16"/>
                <w:szCs w:val="16"/>
                <w:color w:val="auto"/>
              </w:rPr>
            </w:pPr>
          </w:p>
        </w:tc>
        <w:tc>
          <w:tcPr>
            <w:tcW w:w="3840" w:type="dxa"/>
            <w:vAlign w:val="bottom"/>
            <w:gridSpan w:val="9"/>
            <w:vMerge w:val="continue"/>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1.</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Business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1A.</w:t>
            </w:r>
          </w:p>
        </w:tc>
        <w:tc>
          <w:tcPr>
            <w:tcW w:w="260" w:type="dxa"/>
            <w:vAlign w:val="bottom"/>
          </w:tcPr>
          <w:p>
            <w:pPr>
              <w:spacing w:after="0"/>
              <w:rPr>
                <w:sz w:val="17"/>
                <w:szCs w:val="17"/>
                <w:color w:val="auto"/>
              </w:rPr>
            </w:pPr>
          </w:p>
        </w:tc>
        <w:tc>
          <w:tcPr>
            <w:tcW w:w="90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Risk Factors</w:t>
            </w:r>
          </w:p>
        </w:tc>
        <w:tc>
          <w:tcPr>
            <w:tcW w:w="7820" w:type="dxa"/>
            <w:vAlign w:val="bottom"/>
            <w:gridSpan w:val="25"/>
          </w:tcPr>
          <w:p>
            <w:pPr>
              <w:spacing w:after="0"/>
              <w:rPr>
                <w:sz w:val="17"/>
                <w:szCs w:val="17"/>
                <w:color w:val="auto"/>
              </w:rPr>
            </w:pPr>
          </w:p>
        </w:tc>
        <w:tc>
          <w:tcPr>
            <w:tcW w:w="14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1B.</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1C.</w:t>
            </w:r>
          </w:p>
        </w:tc>
        <w:tc>
          <w:tcPr>
            <w:tcW w:w="10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6"/>
              </w:rPr>
              <w:t>Cybersecurity</w:t>
            </w:r>
          </w:p>
        </w:tc>
        <w:tc>
          <w:tcPr>
            <w:tcW w:w="7720" w:type="dxa"/>
            <w:vAlign w:val="bottom"/>
            <w:gridSpan w:val="24"/>
          </w:tcPr>
          <w:p>
            <w:pPr>
              <w:spacing w:after="0"/>
              <w:rPr>
                <w:sz w:val="17"/>
                <w:szCs w:val="17"/>
                <w:color w:val="auto"/>
              </w:rPr>
            </w:pP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5"/>
        </w:trPr>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60" w:type="dxa"/>
            <w:vAlign w:val="bottom"/>
            <w:gridSpan w:val="12"/>
          </w:tcPr>
          <w:p>
            <w:pPr>
              <w:jc w:val="center"/>
              <w:ind w:right="3820"/>
              <w:spacing w:after="0" w:line="205" w:lineRule="exact"/>
              <w:rPr>
                <w:sz w:val="20"/>
                <w:szCs w:val="20"/>
                <w:color w:val="auto"/>
              </w:rPr>
            </w:pPr>
            <w:r>
              <w:rPr>
                <w:rFonts w:ascii="Times New Roman" w:cs="Times New Roman" w:eastAsia="Times New Roman" w:hAnsi="Times New Roman"/>
                <w:sz w:val="18"/>
                <w:szCs w:val="18"/>
                <w:color w:val="0000FF"/>
                <w:w w:val="96"/>
              </w:rPr>
              <w:t>Part II</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320" w:type="dxa"/>
            <w:vAlign w:val="bottom"/>
            <w:gridSpan w:val="2"/>
          </w:tcPr>
          <w:p>
            <w:pPr>
              <w:spacing w:after="0"/>
              <w:rPr>
                <w:sz w:val="17"/>
                <w:szCs w:val="17"/>
                <w:color w:val="auto"/>
              </w:rPr>
            </w:pP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5"/>
        </w:trPr>
        <w:tc>
          <w:tcPr>
            <w:tcW w:w="5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6.</w:t>
            </w:r>
          </w:p>
        </w:tc>
        <w:tc>
          <w:tcPr>
            <w:tcW w:w="320" w:type="dxa"/>
            <w:vAlign w:val="bottom"/>
            <w:gridSpan w:val="2"/>
          </w:tcPr>
          <w:p>
            <w:pPr>
              <w:spacing w:after="0"/>
              <w:rPr>
                <w:sz w:val="17"/>
                <w:szCs w:val="17"/>
                <w:color w:val="auto"/>
              </w:rPr>
            </w:pPr>
          </w:p>
        </w:tc>
        <w:tc>
          <w:tcPr>
            <w:tcW w:w="7920" w:type="dxa"/>
            <w:vAlign w:val="bottom"/>
            <w:tcBorders>
              <w:top w:val="single" w:sz="8" w:color="0000FF"/>
            </w:tcBorders>
            <w:gridSpan w:val="29"/>
          </w:tcPr>
          <w:p>
            <w:pPr>
              <w:spacing w:after="0" w:line="205"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spacing w:after="0"/>
              <w:rPr>
                <w:sz w:val="17"/>
                <w:szCs w:val="17"/>
                <w:color w:val="auto"/>
              </w:rPr>
            </w:pP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7.</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7A.</w:t>
            </w:r>
          </w:p>
        </w:tc>
        <w:tc>
          <w:tcPr>
            <w:tcW w:w="260" w:type="dxa"/>
            <w:vAlign w:val="bottom"/>
          </w:tcPr>
          <w:p>
            <w:pPr>
              <w:spacing w:after="0"/>
              <w:rPr>
                <w:sz w:val="17"/>
                <w:szCs w:val="17"/>
                <w:color w:val="auto"/>
              </w:rPr>
            </w:pPr>
          </w:p>
        </w:tc>
        <w:tc>
          <w:tcPr>
            <w:tcW w:w="424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480" w:type="dxa"/>
            <w:vAlign w:val="bottom"/>
            <w:gridSpan w:val="14"/>
          </w:tcPr>
          <w:p>
            <w:pPr>
              <w:spacing w:after="0"/>
              <w:rPr>
                <w:sz w:val="17"/>
                <w:szCs w:val="17"/>
                <w:color w:val="auto"/>
              </w:rPr>
            </w:pPr>
          </w:p>
        </w:tc>
        <w:tc>
          <w:tcPr>
            <w:tcW w:w="14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8.</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77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9.</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117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9A.</w:t>
            </w:r>
          </w:p>
        </w:tc>
        <w:tc>
          <w:tcPr>
            <w:tcW w:w="260" w:type="dxa"/>
            <w:vAlign w:val="bottom"/>
          </w:tcPr>
          <w:p>
            <w:pPr>
              <w:spacing w:after="0"/>
              <w:rPr>
                <w:sz w:val="17"/>
                <w:szCs w:val="17"/>
                <w:color w:val="auto"/>
              </w:rPr>
            </w:pP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117</w:t>
            </w:r>
          </w:p>
        </w:tc>
        <w:tc>
          <w:tcPr>
            <w:tcW w:w="0" w:type="dxa"/>
            <w:vAlign w:val="bottom"/>
          </w:tcPr>
          <w:p>
            <w:pPr>
              <w:spacing w:after="0"/>
              <w:rPr>
                <w:sz w:val="1"/>
                <w:szCs w:val="1"/>
                <w:color w:val="auto"/>
              </w:rPr>
            </w:pPr>
          </w:p>
        </w:tc>
      </w:tr>
      <w:tr>
        <w:trPr>
          <w:trHeight w:val="205"/>
        </w:trPr>
        <w:tc>
          <w:tcPr>
            <w:tcW w:w="64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8"/>
              </w:rPr>
              <w:t>Item 9B.</w:t>
            </w:r>
          </w:p>
        </w:tc>
        <w:tc>
          <w:tcPr>
            <w:tcW w:w="260" w:type="dxa"/>
            <w:vAlign w:val="bottom"/>
          </w:tcPr>
          <w:p>
            <w:pPr>
              <w:spacing w:after="0"/>
              <w:rPr>
                <w:sz w:val="17"/>
                <w:szCs w:val="17"/>
                <w:color w:val="auto"/>
              </w:rPr>
            </w:pPr>
          </w:p>
        </w:tc>
        <w:tc>
          <w:tcPr>
            <w:tcW w:w="174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6980" w:type="dxa"/>
            <w:vAlign w:val="bottom"/>
            <w:gridSpan w:val="21"/>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Borders>
              <w:top w:val="single" w:sz="8" w:color="0000FF"/>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118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9C.</w:t>
            </w: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118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gridSpan w:val="13"/>
          </w:tcPr>
          <w:p>
            <w:pPr>
              <w:jc w:val="center"/>
              <w:ind w:right="3780"/>
              <w:spacing w:after="0" w:line="205" w:lineRule="exact"/>
              <w:rPr>
                <w:sz w:val="20"/>
                <w:szCs w:val="20"/>
                <w:color w:val="auto"/>
              </w:rPr>
            </w:pPr>
            <w:r>
              <w:rPr>
                <w:rFonts w:ascii="Times New Roman" w:cs="Times New Roman" w:eastAsia="Times New Roman" w:hAnsi="Times New Roman"/>
                <w:sz w:val="18"/>
                <w:szCs w:val="18"/>
                <w:color w:val="0000FF"/>
              </w:rPr>
              <w:t>Part III</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10.</w:t>
            </w:r>
          </w:p>
        </w:tc>
        <w:tc>
          <w:tcPr>
            <w:tcW w:w="320" w:type="dxa"/>
            <w:vAlign w:val="bottom"/>
            <w:gridSpan w:val="2"/>
          </w:tcPr>
          <w:p>
            <w:pPr>
              <w:spacing w:after="0"/>
              <w:rPr>
                <w:sz w:val="17"/>
                <w:szCs w:val="17"/>
                <w:color w:val="auto"/>
              </w:rPr>
            </w:pPr>
          </w:p>
        </w:tc>
        <w:tc>
          <w:tcPr>
            <w:tcW w:w="442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00" w:type="dxa"/>
            <w:vAlign w:val="bottom"/>
            <w:tcBorders>
              <w:top w:val="single" w:sz="8" w:color="0000FF"/>
            </w:tcBorders>
            <w:gridSpan w:val="6"/>
          </w:tcPr>
          <w:p>
            <w:pPr>
              <w:spacing w:after="0"/>
              <w:rPr>
                <w:sz w:val="17"/>
                <w:szCs w:val="17"/>
                <w:color w:val="auto"/>
              </w:rPr>
            </w:pPr>
          </w:p>
        </w:tc>
        <w:tc>
          <w:tcPr>
            <w:tcW w:w="3800" w:type="dxa"/>
            <w:vAlign w:val="bottom"/>
            <w:gridSpan w:val="7"/>
          </w:tcPr>
          <w:p>
            <w:pPr>
              <w:spacing w:after="0"/>
              <w:rPr>
                <w:sz w:val="17"/>
                <w:szCs w:val="17"/>
                <w:color w:val="auto"/>
              </w:rPr>
            </w:pP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118</w:t>
            </w:r>
          </w:p>
        </w:tc>
        <w:tc>
          <w:tcPr>
            <w:tcW w:w="0" w:type="dxa"/>
            <w:vAlign w:val="bottom"/>
          </w:tcPr>
          <w:p>
            <w:pPr>
              <w:spacing w:after="0"/>
              <w:rPr>
                <w:sz w:val="1"/>
                <w:szCs w:val="1"/>
                <w:color w:val="auto"/>
              </w:rPr>
            </w:pPr>
          </w:p>
        </w:tc>
      </w:tr>
      <w:tr>
        <w:trPr>
          <w:trHeight w:val="205"/>
        </w:trPr>
        <w:tc>
          <w:tcPr>
            <w:tcW w:w="5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11.</w:t>
            </w:r>
          </w:p>
        </w:tc>
        <w:tc>
          <w:tcPr>
            <w:tcW w:w="320" w:type="dxa"/>
            <w:vAlign w:val="bottom"/>
            <w:gridSpan w:val="2"/>
          </w:tcPr>
          <w:p>
            <w:pPr>
              <w:spacing w:after="0"/>
              <w:rPr>
                <w:sz w:val="17"/>
                <w:szCs w:val="17"/>
                <w:color w:val="auto"/>
              </w:rPr>
            </w:pPr>
          </w:p>
        </w:tc>
        <w:tc>
          <w:tcPr>
            <w:tcW w:w="4020" w:type="dxa"/>
            <w:vAlign w:val="bottom"/>
            <w:tcBorders>
              <w:top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4700" w:type="dxa"/>
            <w:vAlign w:val="bottom"/>
            <w:gridSpan w:val="15"/>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Borders>
              <w:top w:val="single" w:sz="8" w:color="0000FF"/>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119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12.</w:t>
            </w:r>
          </w:p>
        </w:tc>
        <w:tc>
          <w:tcPr>
            <w:tcW w:w="320" w:type="dxa"/>
            <w:vAlign w:val="bottom"/>
            <w:gridSpan w:val="2"/>
          </w:tcPr>
          <w:p>
            <w:pPr>
              <w:spacing w:after="0"/>
              <w:rPr>
                <w:sz w:val="17"/>
                <w:szCs w:val="17"/>
                <w:color w:val="auto"/>
              </w:rPr>
            </w:pPr>
          </w:p>
        </w:tc>
        <w:tc>
          <w:tcPr>
            <w:tcW w:w="7160" w:type="dxa"/>
            <w:vAlign w:val="bottom"/>
            <w:tcBorders>
              <w:bottom w:val="single" w:sz="8" w:color="0000FF"/>
            </w:tcBorders>
            <w:gridSpan w:val="28"/>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56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Borders>
              <w:bottom w:val="single" w:sz="8" w:color="0000FF"/>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119</w:t>
            </w:r>
          </w:p>
        </w:tc>
        <w:tc>
          <w:tcPr>
            <w:tcW w:w="0" w:type="dxa"/>
            <w:vAlign w:val="bottom"/>
          </w:tcPr>
          <w:p>
            <w:pPr>
              <w:spacing w:after="0"/>
              <w:rPr>
                <w:sz w:val="1"/>
                <w:szCs w:val="1"/>
                <w:color w:val="auto"/>
              </w:rPr>
            </w:pPr>
          </w:p>
        </w:tc>
      </w:tr>
      <w:tr>
        <w:trPr>
          <w:trHeight w:val="205"/>
        </w:trPr>
        <w:tc>
          <w:tcPr>
            <w:tcW w:w="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13.</w:t>
            </w:r>
          </w:p>
        </w:tc>
        <w:tc>
          <w:tcPr>
            <w:tcW w:w="320" w:type="dxa"/>
            <w:vAlign w:val="bottom"/>
            <w:gridSpan w:val="2"/>
          </w:tcPr>
          <w:p>
            <w:pPr>
              <w:spacing w:after="0"/>
              <w:rPr>
                <w:sz w:val="17"/>
                <w:szCs w:val="17"/>
                <w:color w:val="auto"/>
              </w:rPr>
            </w:pP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119</w:t>
            </w:r>
          </w:p>
        </w:tc>
        <w:tc>
          <w:tcPr>
            <w:tcW w:w="0" w:type="dxa"/>
            <w:vAlign w:val="bottom"/>
          </w:tcPr>
          <w:p>
            <w:pPr>
              <w:spacing w:after="0"/>
              <w:rPr>
                <w:sz w:val="1"/>
                <w:szCs w:val="1"/>
                <w:color w:val="auto"/>
              </w:rPr>
            </w:pPr>
          </w:p>
        </w:tc>
      </w:tr>
      <w:tr>
        <w:trPr>
          <w:trHeight w:val="205"/>
        </w:trPr>
        <w:tc>
          <w:tcPr>
            <w:tcW w:w="5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14.</w:t>
            </w:r>
          </w:p>
        </w:tc>
        <w:tc>
          <w:tcPr>
            <w:tcW w:w="320" w:type="dxa"/>
            <w:vAlign w:val="bottom"/>
            <w:gridSpan w:val="2"/>
          </w:tcPr>
          <w:p>
            <w:pPr>
              <w:spacing w:after="0"/>
              <w:rPr>
                <w:sz w:val="17"/>
                <w:szCs w:val="17"/>
                <w:color w:val="auto"/>
              </w:rPr>
            </w:pPr>
          </w:p>
        </w:tc>
        <w:tc>
          <w:tcPr>
            <w:tcW w:w="5300" w:type="dxa"/>
            <w:vAlign w:val="bottom"/>
            <w:tcBorders>
              <w:top w:val="single" w:sz="8" w:color="0000FF"/>
            </w:tcBorders>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42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Borders>
              <w:top w:val="single" w:sz="8" w:color="0000FF"/>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119</w:t>
            </w:r>
          </w:p>
        </w:tc>
        <w:tc>
          <w:tcPr>
            <w:tcW w:w="0" w:type="dxa"/>
            <w:vAlign w:val="bottom"/>
          </w:tcPr>
          <w:p>
            <w:pPr>
              <w:spacing w:after="0"/>
              <w:rPr>
                <w:sz w:val="1"/>
                <w:szCs w:val="1"/>
                <w:color w:val="auto"/>
              </w:rPr>
            </w:pPr>
          </w:p>
        </w:tc>
      </w:tr>
      <w:tr>
        <w:trPr>
          <w:trHeight w:val="205"/>
        </w:trPr>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bottom w:val="single" w:sz="8" w:color="0000FF"/>
            </w:tcBorders>
            <w:gridSpan w:val="7"/>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8"/>
              </w:rPr>
              <w:t>Part IV</w:t>
            </w:r>
          </w:p>
        </w:tc>
        <w:tc>
          <w:tcPr>
            <w:tcW w:w="378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15.</w:t>
            </w:r>
          </w:p>
        </w:tc>
        <w:tc>
          <w:tcPr>
            <w:tcW w:w="320" w:type="dxa"/>
            <w:vAlign w:val="bottom"/>
            <w:gridSpan w:val="2"/>
          </w:tcPr>
          <w:p>
            <w:pPr>
              <w:spacing w:after="0"/>
              <w:rPr>
                <w:sz w:val="17"/>
                <w:szCs w:val="17"/>
                <w:color w:val="auto"/>
              </w:rPr>
            </w:pPr>
          </w:p>
        </w:tc>
        <w:tc>
          <w:tcPr>
            <w:tcW w:w="872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119</w:t>
            </w:r>
          </w:p>
        </w:tc>
        <w:tc>
          <w:tcPr>
            <w:tcW w:w="0" w:type="dxa"/>
            <w:vAlign w:val="bottom"/>
          </w:tcPr>
          <w:p>
            <w:pPr>
              <w:spacing w:after="0"/>
              <w:rPr>
                <w:sz w:val="1"/>
                <w:szCs w:val="1"/>
                <w:color w:val="auto"/>
              </w:rPr>
            </w:pPr>
          </w:p>
        </w:tc>
      </w:tr>
      <w:tr>
        <w:trPr>
          <w:trHeight w:val="205"/>
        </w:trPr>
        <w:tc>
          <w:tcPr>
            <w:tcW w:w="5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16.</w:t>
            </w:r>
          </w:p>
        </w:tc>
        <w:tc>
          <w:tcPr>
            <w:tcW w:w="320" w:type="dxa"/>
            <w:vAlign w:val="bottom"/>
            <w:gridSpan w:val="2"/>
          </w:tcPr>
          <w:p>
            <w:pPr>
              <w:spacing w:after="0"/>
              <w:rPr>
                <w:sz w:val="17"/>
                <w:szCs w:val="17"/>
                <w:color w:val="auto"/>
              </w:rPr>
            </w:pPr>
          </w:p>
        </w:tc>
        <w:tc>
          <w:tcPr>
            <w:tcW w:w="310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Form 10-K Summary</w:t>
            </w:r>
          </w:p>
        </w:tc>
        <w:tc>
          <w:tcPr>
            <w:tcW w:w="5620" w:type="dxa"/>
            <w:vAlign w:val="bottom"/>
            <w:gridSpan w:val="17"/>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Borders>
              <w:top w:val="single" w:sz="8" w:color="0000FF"/>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119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Pr>
          <w:p>
            <w:pPr>
              <w:spacing w:after="0"/>
              <w:rPr>
                <w:sz w:val="17"/>
                <w:szCs w:val="17"/>
                <w:color w:val="auto"/>
              </w:rPr>
            </w:pPr>
          </w:p>
        </w:tc>
        <w:tc>
          <w:tcPr>
            <w:tcW w:w="7200" w:type="dxa"/>
            <w:vAlign w:val="bottom"/>
            <w:gridSpan w:val="22"/>
          </w:tcPr>
          <w:p>
            <w:pPr>
              <w:spacing w:after="0"/>
              <w:rPr>
                <w:sz w:val="17"/>
                <w:szCs w:val="17"/>
                <w:color w:val="auto"/>
              </w:rPr>
            </w:pP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7420" w:type="dxa"/>
            <w:vAlign w:val="bottom"/>
            <w:gridSpan w:val="2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4"/>
              </w:rPr>
              <w:t>Power of Attorney</w:t>
            </w:r>
          </w:p>
        </w:tc>
        <w:tc>
          <w:tcPr>
            <w:tcW w:w="7420" w:type="dxa"/>
            <w:vAlign w:val="bottom"/>
            <w:gridSpan w:val="23"/>
          </w:tcPr>
          <w:p>
            <w:pPr>
              <w:spacing w:after="0"/>
              <w:rPr>
                <w:sz w:val="17"/>
                <w:szCs w:val="17"/>
                <w:color w:val="auto"/>
              </w:rPr>
            </w:pPr>
          </w:p>
        </w:tc>
        <w:tc>
          <w:tcPr>
            <w:tcW w:w="15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Securities Act of 1933, as amended (the “Securities Act”), the Securities Exchange Act of 1934, as amended (the “Exchange Act”), and the Private Securities Litigation Reform Act of 1995. All statements contained in this Annual Report on Form 10-K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217" w:lineRule="exact"/>
        <w:rPr>
          <w:sz w:val="20"/>
          <w:szCs w:val="20"/>
          <w:color w:val="auto"/>
        </w:rPr>
      </w:pPr>
    </w:p>
    <w:p>
      <w:pPr>
        <w:jc w:val="both"/>
        <w:ind w:left="960" w:right="100" w:hanging="318"/>
        <w:spacing w:after="0" w:line="25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cloud platform;</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cloud platform;</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including by attracting new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solutions, or enhancements to our existing solutions, and bring them to market in a timely manner;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associated investments;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including channel partners and technology alliance partners;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 respond to government investigations and inquiries;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and cash equivalents to meet cash needs for at least the next 12 months;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relating to our valuation allowances for our deferred tax assets;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217" w:lineRule="exact"/>
        <w:rPr>
          <w:rFonts w:ascii="Times New Roman" w:cs="Times New Roman" w:eastAsia="Times New Roman" w:hAnsi="Times New Roman"/>
          <w:sz w:val="18"/>
          <w:szCs w:val="18"/>
          <w:color w:val="auto"/>
        </w:rPr>
      </w:pPr>
    </w:p>
    <w:p>
      <w:pPr>
        <w:ind w:left="960" w:right="460" w:hanging="318"/>
        <w:spacing w:after="0" w:line="274"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improve our internal control over financial reporting;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inflation and instability in the global credit and financial markets;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close and integrate acquisitions to contribute to our growth objectives;</w:t>
      </w:r>
    </w:p>
    <w:p>
      <w:pPr>
        <w:sectPr>
          <w:pgSz w:w="11900" w:h="16838" w:orient="portrait"/>
          <w:cols w:equalWidth="0" w:num="1">
            <w:col w:w="10940"/>
          </w:cols>
          <w:pgMar w:left="320" w:top="121" w:right="6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 and</w:t>
      </w:r>
    </w:p>
    <w:p>
      <w:pPr>
        <w:spacing w:after="0" w:line="217" w:lineRule="exact"/>
        <w:rPr>
          <w:rFonts w:ascii="Times New Roman" w:cs="Times New Roman" w:eastAsia="Times New Roman" w:hAnsi="Times New Roman"/>
          <w:sz w:val="18"/>
          <w:szCs w:val="18"/>
          <w:color w:val="auto"/>
        </w:rPr>
      </w:pPr>
    </w:p>
    <w:p>
      <w:pPr>
        <w:ind w:left="960" w:hanging="318"/>
        <w:spacing w:after="0" w:line="25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19 Incident (as defined below), including potential or anticipated developments, our remediation and other efforts in connection with the incident, the outcome of lawsuits, claims and inquiries related to the incident, our customer commitment packages, and the effect on our customer and partner relationships and our business, results of operations and financial condition.</w:t>
      </w:r>
    </w:p>
    <w:p>
      <w:pPr>
        <w:spacing w:after="0" w:line="178"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These statements are based on our current plans, estimates and projections in light of information currently available to us. These forward-looking statements may be affected by risks, uncertainties and other factors discussed elsewhere in this Annual Report on Form 10-K,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Annual Report on Form 10-K speak only as of the date on which such statements are made, and we undertake no obligation to update them in light of new information or future events, except as required by law.</w:t>
      </w:r>
    </w:p>
    <w:p>
      <w:pPr>
        <w:spacing w:after="0" w:line="18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Founded in 2011, CrowdStrike reinvented cybersecurity for the cloud and artificial intelligence (“AI”) era and transformed the way cybersecurity is delivered and experienced by customers. When we started CrowdStrike, cyberattackers had an asymmetric advantage over legacy cybersecurity products that could not keep pace with rapid changes in adversary tactics. We took a fundamentally different approach to solve this problem with the AI-native CrowdStrike Falcon cybersecurity platform – the first, true, cloud-native platform built with AI at the core, capable of harnessing vast amounts of security and enterprise data to deliver highly modular solutions through a single lightweight agent.</w:t>
      </w:r>
    </w:p>
    <w:p>
      <w:pPr>
        <w:spacing w:after="0" w:line="185"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CrowdStrike Falcon platform is designed to be the definitive platform for cybersecurity consolidation, purpose-built to stop breaches. The platform’s single, lightweight agent collects and integrates data from across the enterprise, including endpoints, cloud workloads, identities, and third-party sources. We use this to train our AI to detect and prevent threats and drive workflow automation to give security teams machine speed advantage to stop adversaries. By consolidating and replacing legacy point products and fragmented platforms across key areas of security and IT, the Falcon platform delivers a unified, modern approach that increases capabilities, reduces complexity, and lowers costs – all while stopping breaches.</w:t>
      </w:r>
    </w:p>
    <w:p>
      <w:pPr>
        <w:spacing w:after="0" w:line="18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CrowdStrike: The Architectural Purpose Behind the Platform</w:t>
      </w:r>
    </w:p>
    <w:p>
      <w:pPr>
        <w:spacing w:after="0" w:line="219" w:lineRule="exact"/>
        <w:rPr>
          <w:sz w:val="20"/>
          <w:szCs w:val="20"/>
          <w:color w:val="auto"/>
        </w:rPr>
      </w:pPr>
    </w:p>
    <w:p>
      <w:pPr>
        <w:ind w:right="400" w:firstLine="318"/>
        <w:spacing w:after="0" w:line="271" w:lineRule="auto"/>
        <w:rPr>
          <w:sz w:val="20"/>
          <w:szCs w:val="20"/>
          <w:color w:val="auto"/>
        </w:rPr>
      </w:pPr>
      <w:r>
        <w:rPr>
          <w:rFonts w:ascii="Times New Roman" w:cs="Times New Roman" w:eastAsia="Times New Roman" w:hAnsi="Times New Roman"/>
          <w:sz w:val="17"/>
          <w:szCs w:val="17"/>
          <w:color w:val="auto"/>
        </w:rPr>
        <w:t>Our Falcon platform was purpose-built in the cloud to harness the power of data and AI to deliver the next generation of automated protection and provide threat hunters with the intelligence required to stop sophisticated attacks, including malware-free and fileless attacks. This approach has made CrowdStrike an industry leader in protection across endpoints, cloud workloads, identity and data (capable of protecting workloads across on-premise, virtualized, and cloud-based environments running on a variety of endpoints such as desktops, laptops, servers, virtual machines, cloud workloads, cloud containers, mobile, and IoT devices) and enables us to rapidly scale this best in class protection across new and emerging areas of enterprise risk.</w:t>
      </w:r>
    </w:p>
    <w:p>
      <w:pPr>
        <w:spacing w:after="0" w:line="168" w:lineRule="exact"/>
        <w:rPr>
          <w:sz w:val="20"/>
          <w:szCs w:val="20"/>
          <w:color w:val="auto"/>
        </w:rPr>
      </w:pPr>
    </w:p>
    <w:p>
      <w:pPr>
        <w:ind w:right="340" w:firstLine="318"/>
        <w:spacing w:after="0" w:line="252" w:lineRule="auto"/>
        <w:rPr>
          <w:sz w:val="20"/>
          <w:szCs w:val="20"/>
          <w:color w:val="auto"/>
        </w:rPr>
      </w:pPr>
      <w:r>
        <w:rPr>
          <w:rFonts w:ascii="Times New Roman" w:cs="Times New Roman" w:eastAsia="Times New Roman" w:hAnsi="Times New Roman"/>
          <w:sz w:val="18"/>
          <w:szCs w:val="18"/>
          <w:color w:val="auto"/>
        </w:rPr>
        <w:t>Today, we offer 29 cloud modules on our Falcon platform via a SaaS subscription-based model that spans multiple large markets, including corporate endpoint and cloud workload security, managed security services, security and vulnerability management, IT operations management, identity protection, next-generation security information and event management (“SIEM”) and log management, threat intelligence services, data protection, SaaS security posture management, Security Orchestration, Automation and Response (“SOAR”) and AI powered workflow automation, and securing generative AI workloads.</w:t>
      </w:r>
    </w:p>
    <w:p>
      <w:pPr>
        <w:spacing w:after="0" w:line="185" w:lineRule="exact"/>
        <w:rPr>
          <w:sz w:val="20"/>
          <w:szCs w:val="20"/>
          <w:color w:val="auto"/>
        </w:rPr>
      </w:pPr>
    </w:p>
    <w:p>
      <w:pPr>
        <w:jc w:val="both"/>
        <w:ind w:right="400" w:firstLine="318"/>
        <w:spacing w:after="0" w:line="259" w:lineRule="auto"/>
        <w:rPr>
          <w:sz w:val="20"/>
          <w:szCs w:val="20"/>
          <w:color w:val="auto"/>
        </w:rPr>
      </w:pPr>
      <w:r>
        <w:rPr>
          <w:rFonts w:ascii="Times New Roman" w:cs="Times New Roman" w:eastAsia="Times New Roman" w:hAnsi="Times New Roman"/>
          <w:sz w:val="18"/>
          <w:szCs w:val="18"/>
          <w:color w:val="auto"/>
        </w:rPr>
        <w:t>Our Falcon platform is composed of tightly integrated, proprietary technologies that enable us to deliver superior protection and performance, while reducing complexity for our customers. Our Falcon platform consists of our easily deployed, intelligent lightweight agent, and our groundbreaking graph technology.</w:t>
      </w:r>
    </w:p>
    <w:p>
      <w:pPr>
        <w:spacing w:after="0" w:line="17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Our single, lightweight-agent approach has changed how organizations experience cybersecurity, delivering protection without impacting the user, resources or productivity. With the lightweight agent installed on each endpoint and cloud workload, our Falcon platform automates detection and prevention capabilities in real time across our entire global customer base. This also enables our Falcon platform to intelligently ingest data once and stream high fidelity data back into the Security Cloud to be re-used for multiple use cases, continuously improve our Falcon platform’s AI algorithms and make its real-time decision-making faster and smarter to keep customers ahead of changing adversary tactics.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Our graph technology correlates and contextualizes the vast data of our Security Cloud so we can collect data once and reuse it repeatedly to deliver solutions that solve our customers’ biggest problems. The highly advanced graph technologies underpinning the Falcon platform include:</w:t>
      </w:r>
    </w:p>
    <w:p>
      <w:pPr>
        <w:spacing w:after="0" w:line="163" w:lineRule="exact"/>
        <w:rPr>
          <w:sz w:val="20"/>
          <w:szCs w:val="20"/>
          <w:color w:val="auto"/>
        </w:rPr>
      </w:pPr>
    </w:p>
    <w:p>
      <w:pPr>
        <w:ind w:left="960" w:right="20" w:hanging="318"/>
        <w:spacing w:after="0" w:line="255"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Threat Graph, which uses a combination of AI and behavioral pattern-matching techniques to correlate and analyze trillions of cybersecurity events, enriched with threat intelligence, and third-party data to identify and link threat activity together to automatically prevent threats in real time across CrowdStrike’s global customer base. This also provides customers with increased visibility of attacks for proactive threat hunting and timely detection and remediation of novel threats.</w:t>
      </w:r>
    </w:p>
    <w:p>
      <w:pPr>
        <w:spacing w:after="0" w:line="180" w:lineRule="exact"/>
        <w:rPr>
          <w:rFonts w:ascii="Times New Roman" w:cs="Times New Roman" w:eastAsia="Times New Roman" w:hAnsi="Times New Roman"/>
          <w:sz w:val="18"/>
          <w:szCs w:val="18"/>
          <w:color w:val="auto"/>
        </w:rPr>
      </w:pPr>
    </w:p>
    <w:p>
      <w:pPr>
        <w:ind w:left="960" w:right="80" w:hanging="318"/>
        <w:spacing w:after="0" w:line="282" w:lineRule="auto"/>
        <w:tabs>
          <w:tab w:leader="none" w:pos="9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 Graph, which analyzes and correlates data and threat intelligence to visualize the connections between adversaries and attacks to help customers prioritize investigations and gain a deep understanding of the threat landscape. The latest intel on adversaries, tactics, techniques, and procedures is delivered seamlessly within the CrowdStrike Falcon platform and is mapped to the MITRE ATT&amp;CK® framework.</w:t>
      </w:r>
    </w:p>
    <w:p>
      <w:pPr>
        <w:spacing w:after="0" w:line="158" w:lineRule="exact"/>
        <w:rPr>
          <w:rFonts w:ascii="Times New Roman" w:cs="Times New Roman" w:eastAsia="Times New Roman" w:hAnsi="Times New Roman"/>
          <w:sz w:val="17"/>
          <w:szCs w:val="17"/>
          <w:color w:val="auto"/>
        </w:rPr>
      </w:pPr>
    </w:p>
    <w:p>
      <w:pPr>
        <w:ind w:left="960" w:right="100" w:hanging="318"/>
        <w:spacing w:after="0" w:line="255"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 Graph, which dynamically monitors and tracks the complex interactions among assets, providing a single holistic view of the risks those assets pose. Asset Graph provides graph visualizations of the relationships among all assets such as devices, users, accounts, applications, cloud workloads and operations technology (“OT”), along with the rich context necessary for proper security hygiene and proactive security posture management to reduce risk in their organizations — without impacting IT.</w:t>
      </w:r>
    </w:p>
    <w:p>
      <w:pPr>
        <w:spacing w:after="0" w:line="180"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Falcon platform was purpose-built with the foresight that the future of cybersecurity would need to be cloud-native and AI-driven. While AI is revolutionizing many technology fields, including cybersecurity solutions, to be truly effective, algorithms that enable AI depend on the quality and volume of data that trains them and the selection of the right differentiating features from that data.</w:t>
      </w:r>
    </w:p>
    <w:p>
      <w:pPr>
        <w:spacing w:after="0" w:line="17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This is why we believe our Security Cloud and our cloud-native architecture creates a fundamental differentiator from our competitors. The expansive amount of high fidelity data crowdsourced and captured in our Security Cloud enables the continuous training of our algorithms. We call this cloud-scale AI. Our technology is uniquely effective because we not only have a massive amount of high fidelity data to continuously train our AI models but also because we couple that data with deep human cybersecurity expertise, which supports our industry-leading efficacy and low false positives.</w:t>
      </w:r>
    </w:p>
    <w:p>
      <w:pPr>
        <w:spacing w:after="0" w:line="180"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7"/>
          <w:szCs w:val="17"/>
          <w:color w:val="auto"/>
        </w:rPr>
        <w:t>By analyzing and correlating information across our massive, crowdsourced dataset, we are able to deploy our AI algorithms at cloud-scale and build a more intelligent, effective solution to detect threats and stop breaches that on-premise, cloud-hosted and hybrid products cannot match due to the inherent architectural limitations those products have with respect to data storage and analysis. The more data that is fed into our Falcon platform, the more intelligent the Security Cloud becomes, and the more our customers benefit, creating a powerful network effect that increases the overall value we provide.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The Trends Driving a Need for a New Approach to Security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there are a number of important trends that drive the need for a new approach to security. These include:</w:t>
      </w:r>
    </w:p>
    <w:p>
      <w:pPr>
        <w:spacing w:after="0" w:line="215" w:lineRule="exact"/>
        <w:rPr>
          <w:sz w:val="20"/>
          <w:szCs w:val="20"/>
          <w:color w:val="auto"/>
        </w:rPr>
      </w:pPr>
    </w:p>
    <w:p>
      <w:pPr>
        <w:ind w:left="960" w:hanging="318"/>
        <w:spacing w:after="0" w:line="249"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Increasing Sophistication and Disruption of Cybersecurity Threats</w:t>
      </w:r>
      <w:r>
        <w:rPr>
          <w:rFonts w:ascii="Times New Roman" w:cs="Times New Roman" w:eastAsia="Times New Roman" w:hAnsi="Times New Roman"/>
          <w:sz w:val="18"/>
          <w:szCs w:val="18"/>
          <w:color w:val="auto"/>
        </w:rPr>
        <w:t>: Adversary sophistication continues to increase as militaries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services of well-funded nation-states, technically advanced criminal organizations and hackers advance their tactics. In addition, the commoditization of technologies like generative AI make it easier for low-skilled adversaries to move faster and launch more sophisticated attacks. This includes non-malware based attacks like social engineering that exploit user identities and credentials. These attacks are pervasive, targeting a broad range of industries including technology, transportation, healthcare, financial services, governments and political organizations, utility, retail, and public infrastructure. The number and scale of attacks continue to increase. The typical attack cycle starts with attackers attempting to penetrate endpoints to establish a beachhead. Once inside, adversaries steal and exploit legitimate credentials to escalate privileges, move laterally and progress and attack, often downloading malware or ransomware. At this stage in the threat lifecycle, the adversary is able to encrypt, destroy, or silently exfiltrate sensitive data.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60" w:right="20" w:hanging="318"/>
        <w:spacing w:after="0" w:line="253"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 Expanded Attack Surface Driven By Hybrid and Remote Workforces</w:t>
      </w:r>
      <w:r>
        <w:rPr>
          <w:rFonts w:ascii="Times New Roman" w:cs="Times New Roman" w:eastAsia="Times New Roman" w:hAnsi="Times New Roman"/>
          <w:sz w:val="18"/>
          <w:szCs w:val="18"/>
          <w:color w:val="auto"/>
        </w:rPr>
        <w:t>: Organizations everywhere are embracing digital transformation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becoming more distributed as they adopt the cloud, increase workforce mobility, and grow their number of connected devices. They are adding more workloads to a myriad of different endpoints beyond the traditional cybersecurity perimeter, exposing an increasingly broad attack surface to adversaries. This trend accelerated significantly with the need to support an increasingly remote workforce in 2020 due to the COVID-19 pandemic and we believe this trend continues today.</w:t>
      </w:r>
    </w:p>
    <w:p>
      <w:pPr>
        <w:spacing w:after="0" w:line="181" w:lineRule="exact"/>
        <w:rPr>
          <w:rFonts w:ascii="Times New Roman" w:cs="Times New Roman" w:eastAsia="Times New Roman" w:hAnsi="Times New Roman"/>
          <w:sz w:val="18"/>
          <w:szCs w:val="18"/>
          <w:color w:val="auto"/>
        </w:rPr>
      </w:pPr>
    </w:p>
    <w:p>
      <w:pPr>
        <w:ind w:left="960" w:right="320" w:hanging="318"/>
        <w:spacing w:after="0" w:line="261"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Growing Cyber Skills Gap</w:t>
      </w:r>
      <w:r>
        <w:rPr>
          <w:rFonts w:ascii="Times New Roman" w:cs="Times New Roman" w:eastAsia="Times New Roman" w:hAnsi="Times New Roman"/>
          <w:sz w:val="18"/>
          <w:szCs w:val="18"/>
          <w:color w:val="auto"/>
        </w:rPr>
        <w:t>: Trained cybersecurity professionals are in high demand, and organizations continue to face a dire shortage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talent to fill much needed cybersecurity positions. As a result, existing cybersecurity teams are often overwhelmed by the velocity of cyberattacks. Adversaries exploit this vacuum by continuing to accelerate their sophisticated attacks.</w:t>
      </w:r>
    </w:p>
    <w:p>
      <w:pPr>
        <w:spacing w:after="0" w:line="172" w:lineRule="exact"/>
        <w:rPr>
          <w:rFonts w:ascii="Times New Roman" w:cs="Times New Roman" w:eastAsia="Times New Roman" w:hAnsi="Times New Roman"/>
          <w:sz w:val="18"/>
          <w:szCs w:val="18"/>
          <w:color w:val="auto"/>
        </w:rPr>
      </w:pPr>
    </w:p>
    <w:p>
      <w:pPr>
        <w:jc w:val="both"/>
        <w:ind w:left="960" w:right="80" w:hanging="318"/>
        <w:spacing w:after="0" w:line="283" w:lineRule="auto"/>
        <w:tabs>
          <w:tab w:leader="none" w:pos="9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Need to Reduce Complexity and Simplify Security Operations</w:t>
      </w:r>
      <w:r>
        <w:rPr>
          <w:rFonts w:ascii="Times New Roman" w:cs="Times New Roman" w:eastAsia="Times New Roman" w:hAnsi="Times New Roman"/>
          <w:sz w:val="17"/>
          <w:szCs w:val="17"/>
          <w:color w:val="auto"/>
        </w:rPr>
        <w:t>: Organizations are increasingly looking to reduce the complexity of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security and IT stack. Modern security requires fewer point products, fewer agents and technologies that consume fewer resources. Increasingly, organizations are looking to standardize on trusted platforms that deliver an immediate return on investment and lower total cost of ownership.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 Existing Security Solutions Are Limited and Exacerbate Ongoing Trends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We believe the aforementioned trends are exacerbated by the architectural limitations of legacy cybersecurity products and fragmented platforms, which are characterized by:</w:t>
      </w:r>
    </w:p>
    <w:p>
      <w:pPr>
        <w:spacing w:after="0" w:line="161" w:lineRule="exact"/>
        <w:rPr>
          <w:sz w:val="20"/>
          <w:szCs w:val="20"/>
          <w:color w:val="auto"/>
        </w:rPr>
      </w:pPr>
    </w:p>
    <w:p>
      <w:pPr>
        <w:ind w:left="960" w:right="200" w:hanging="318"/>
        <w:spacing w:after="0" w:line="25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On-Premise Security and Bolt-On Cloud Products That Lead to Constrained and Impacted Users</w:t>
      </w:r>
      <w:r>
        <w:rPr>
          <w:rFonts w:ascii="Times New Roman" w:cs="Times New Roman" w:eastAsia="Times New Roman" w:hAnsi="Times New Roman"/>
          <w:sz w:val="18"/>
          <w:szCs w:val="18"/>
          <w:color w:val="auto"/>
        </w:rPr>
        <w:t>: On-premise products are siloed, lack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integration, and have limited ability to collect, process, and analyze vast amounts of data—attributes that are required to be effective in today’s increasingly dynamic threat landscape. Meanwhile, these solutions often require more agents on the endpoint as new capabilities are patchworked together, which can have a dramatic negative impact on user performance.</w:t>
      </w:r>
    </w:p>
    <w:p>
      <w:pPr>
        <w:spacing w:after="0" w:line="178" w:lineRule="exact"/>
        <w:rPr>
          <w:rFonts w:ascii="Times New Roman" w:cs="Times New Roman" w:eastAsia="Times New Roman" w:hAnsi="Times New Roman"/>
          <w:sz w:val="18"/>
          <w:szCs w:val="18"/>
          <w:color w:val="auto"/>
        </w:rPr>
      </w:pPr>
    </w:p>
    <w:p>
      <w:pPr>
        <w:ind w:left="96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on-premise vendors have tried to solve this problem by simply extending on-premise products to the cloud. Since their products were not purpose built to run in the cloud, traditional on-premise issues such as complex deployments, data silos, lack of integrations, limited scalability, and high maintenance costs continue to manifest. We believe that any product that was originally designed for on-premise deployments and migrated to the cloud cannot by definition be a cloud native solution.</w:t>
      </w:r>
    </w:p>
    <w:p>
      <w:pPr>
        <w:spacing w:after="0" w:line="180" w:lineRule="exact"/>
        <w:rPr>
          <w:rFonts w:ascii="Times New Roman" w:cs="Times New Roman" w:eastAsia="Times New Roman" w:hAnsi="Times New Roman"/>
          <w:sz w:val="18"/>
          <w:szCs w:val="18"/>
          <w:color w:val="auto"/>
        </w:rPr>
      </w:pPr>
    </w:p>
    <w:p>
      <w:pPr>
        <w:ind w:left="960" w:right="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other vendors attempt to solve this problem by acquiring disparate products and stitching them together into fragmented platforms. This can force customers to focus on implementing integrations, not security outcomes and stopping the breach. The resulting complexity can impede workflows and slow down response time.</w:t>
      </w:r>
    </w:p>
    <w:p>
      <w:pPr>
        <w:spacing w:after="0" w:line="175" w:lineRule="exact"/>
        <w:rPr>
          <w:rFonts w:ascii="Times New Roman" w:cs="Times New Roman" w:eastAsia="Times New Roman" w:hAnsi="Times New Roman"/>
          <w:sz w:val="18"/>
          <w:szCs w:val="18"/>
          <w:color w:val="auto"/>
        </w:rPr>
      </w:pPr>
    </w:p>
    <w:p>
      <w:pPr>
        <w:ind w:left="960" w:hanging="318"/>
        <w:spacing w:after="0" w:line="253"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Legacy Signature-Based Products That Are Not Effective Against Unknown Threats</w:t>
      </w:r>
      <w:r>
        <w:rPr>
          <w:rFonts w:ascii="Times New Roman" w:cs="Times New Roman" w:eastAsia="Times New Roman" w:hAnsi="Times New Roman"/>
          <w:sz w:val="18"/>
          <w:szCs w:val="18"/>
          <w:color w:val="auto"/>
        </w:rPr>
        <w:t>: Signature-based products are designed to detect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attacks that are already cataloged as previously identified threats. As a result, such products are fundamentally unable to prevent unknown threats resulting from shifts in attacker tradecraft. An attacker may be able to bypass a signature-based defense with just a slight modification to an existing attack. Many significant breaches seen in the last two decades have involved the failure of a legacy signature-based antivirus product to detect a previously unknown or modified version of a previously known attack.</w:t>
      </w:r>
    </w:p>
    <w:p>
      <w:pPr>
        <w:spacing w:after="0" w:line="181" w:lineRule="exact"/>
        <w:rPr>
          <w:rFonts w:ascii="Times New Roman" w:cs="Times New Roman" w:eastAsia="Times New Roman" w:hAnsi="Times New Roman"/>
          <w:sz w:val="18"/>
          <w:szCs w:val="18"/>
          <w:color w:val="auto"/>
        </w:rPr>
      </w:pPr>
    </w:p>
    <w:p>
      <w:pPr>
        <w:ind w:left="960" w:right="380" w:hanging="318"/>
        <w:spacing w:after="0" w:line="251"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Malware-Focused Products That Miss Sophisticated Attacks</w:t>
      </w:r>
      <w:r>
        <w:rPr>
          <w:rFonts w:ascii="Times New Roman" w:cs="Times New Roman" w:eastAsia="Times New Roman" w:hAnsi="Times New Roman"/>
          <w:sz w:val="18"/>
          <w:szCs w:val="18"/>
          <w:color w:val="auto"/>
        </w:rPr>
        <w:t>: Traditionally, organizations have focused on protecting their networks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endpoints against malware-based attacks. These attacks involve malware built for the specific purpose of performing malicious activities, stealing data, or destroying systems. Our 2024 Global Threat Report observed that over 70% of attacks comprise non-malware, hands-on-keyboard activity. Additionally, we found that eight out of 10 attacks involve compromised or stolen credentials, with these identity-based attacks easily able to bypass legacy approaches to protection. Therefore, a malware-centric defensive approach will leave the organization vulnerable to attacks that do not leverage malware.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60" w:right="60" w:hanging="318"/>
        <w:spacing w:after="0" w:line="25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 Whitelisting Products That Are Ineffective</w:t>
      </w:r>
      <w:r>
        <w:rPr>
          <w:rFonts w:ascii="Times New Roman" w:cs="Times New Roman" w:eastAsia="Times New Roman" w:hAnsi="Times New Roman"/>
          <w:sz w:val="18"/>
          <w:szCs w:val="18"/>
          <w:color w:val="auto"/>
        </w:rPr>
        <w:t>: Application whitelisting products resort to an “always allow” or “always block”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on an endpoint to allow or prevent processes from executing. Whitelisting relies in part on manually creating and maintaining a complex list of rules, burdening end users and IT organizations. This does not prevent fileless attacks from exploiting legitimate whitelisted applications, compromising the integrity of the whitelisting product.</w:t>
      </w:r>
    </w:p>
    <w:p>
      <w:pPr>
        <w:spacing w:after="0" w:line="176" w:lineRule="exact"/>
        <w:rPr>
          <w:rFonts w:ascii="Times New Roman" w:cs="Times New Roman" w:eastAsia="Times New Roman" w:hAnsi="Times New Roman"/>
          <w:sz w:val="18"/>
          <w:szCs w:val="18"/>
          <w:color w:val="auto"/>
        </w:rPr>
      </w:pPr>
    </w:p>
    <w:p>
      <w:pPr>
        <w:ind w:left="960" w:right="60" w:hanging="318"/>
        <w:spacing w:after="0" w:line="251"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Limitations of Legacy SIEMs</w:t>
      </w:r>
      <w:r>
        <w:rPr>
          <w:rFonts w:ascii="Times New Roman" w:cs="Times New Roman" w:eastAsia="Times New Roman" w:hAnsi="Times New Roman"/>
          <w:sz w:val="18"/>
          <w:szCs w:val="18"/>
          <w:color w:val="auto"/>
        </w:rPr>
        <w:t>: Originally designed years or even decades ago for a vastly different cybersecurity landscape, legacy SIEM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struggle to meet the demands of modern security operations. These systems lack the scalability to handle today’s data volumes and adversary speed, while escalating costs make centralized data collection and retention increasingly difficult. Poor scalability contributes to siloed, disjointed SOC architectures, forcing analysts to manually correlate data across multiple consoles, diverting time and resources from threat detection and response. Complex onboarding processes further delay time-to-value, requiring significant effort to integrate new data sources. As a result, legacy SIEMs hinder operational efficiency, limit visibility, and increase the risk of data breaches.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CrowdStrike: Built for This Moment and the Future</w:t>
      </w:r>
    </w:p>
    <w:p>
      <w:pPr>
        <w:spacing w:after="0" w:line="219"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We believe that the cloud-native architecture of the Falcon platform and Security Cloud provides a sustainable advantage in addressing the needs of our customers as their businesses and the threat landscape continues to evolve.</w:t>
      </w:r>
    </w:p>
    <w:p>
      <w:pPr>
        <w:spacing w:after="0" w:line="163"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offer our customers compelling business value that includes ease of adoption, rapid time-to-value, superior efficacy rates in detecting threats and preventing breaches, and reduced total cost of ownership by consolidating legacy, siloed, and multi-agent security products in a single solution. We also allow thinly-stretched security organizations to automate previously manual tasks, freeing them to focus on their most important objectives. With the Falcon platform, organizations can transform how they combat threats, transforming from slow, manual, and reactionary to fast, automated, and predictive, while gaining visibility across the threat lifecycle.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Key benefits of our approach and the CrowdStrike Falcon platform include:</w:t>
      </w:r>
    </w:p>
    <w:p>
      <w:pPr>
        <w:spacing w:after="0" w:line="215" w:lineRule="exact"/>
        <w:rPr>
          <w:sz w:val="20"/>
          <w:szCs w:val="20"/>
          <w:color w:val="auto"/>
        </w:rPr>
      </w:pPr>
    </w:p>
    <w:p>
      <w:pPr>
        <w:ind w:left="960" w:right="40" w:hanging="318"/>
        <w:spacing w:after="0" w:line="256"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Power of the Crowd</w:t>
      </w:r>
      <w:r>
        <w:rPr>
          <w:rFonts w:ascii="Times New Roman" w:cs="Times New Roman" w:eastAsia="Times New Roman" w:hAnsi="Times New Roman"/>
          <w:sz w:val="18"/>
          <w:szCs w:val="18"/>
          <w:color w:val="auto"/>
        </w:rPr>
        <w:t>: Our crowdsourced data enables every customer to benefit from contributing to the Security Cloud. As more high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fidelity data is fed into our Security Cloud, our AI models continue to train and improve, increasing the overall efficacy of the Falcon platform. This unique data layer is powered and turned into action by three complementary graph databases (Threat Graph, Intel Graph, and Asset Graph) to put threats, adversaries, and assets into the context needed to make the rapid, informed decisions that stop breaches.</w:t>
      </w:r>
    </w:p>
    <w:p>
      <w:pPr>
        <w:spacing w:after="0" w:line="176" w:lineRule="exact"/>
        <w:rPr>
          <w:rFonts w:ascii="Times New Roman" w:cs="Times New Roman" w:eastAsia="Times New Roman" w:hAnsi="Times New Roman"/>
          <w:sz w:val="18"/>
          <w:szCs w:val="18"/>
          <w:color w:val="auto"/>
        </w:rPr>
      </w:pPr>
    </w:p>
    <w:p>
      <w:pPr>
        <w:ind w:left="960" w:right="20" w:hanging="318"/>
        <w:spacing w:after="0" w:line="24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Driving AI Innovation and Security</w:t>
      </w:r>
      <w:r>
        <w:rPr>
          <w:rFonts w:ascii="Times New Roman" w:cs="Times New Roman" w:eastAsia="Times New Roman" w:hAnsi="Times New Roman"/>
          <w:sz w:val="18"/>
          <w:szCs w:val="18"/>
          <w:color w:val="auto"/>
        </w:rPr>
        <w:t>: We are a pioneer in leveraging AI to transform cybersecurity, combining AI for cybersecurity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for AI. The Falcon platform’s AI-native architecture uses advanced models and the power of the Security Cloud to detect and stop breaches, while innovations like Charlotte AI represent a significant advancement in agentic AI—delivering autonomous security decisions within customer-defined guardrails to triage detections, reduce noise, and accelerate response. Charlotte AI, powered by high-fidelity data and continual training, reduces routine investigation workloads, bridging critical skills gaps for stretched teams. As AI continues to evolve, CrowdStrike is driving the next generation of AI-powered agentic cybersecurity—enabling AI to act independently while ensuring human oversight and control. Beyond delivering AI-driven protection, we also secure the AI systems organizations depend on, helping customers safeguard generative AI applications, protect sensitive data, and mitigate the risks posed by AI misconfigurations and vulnerabilities. By advancing AI innovation and security, we empower organizations to stay ahead of adversaries, increase operational efficiency, and securely embrace the AI-driven future.</w:t>
      </w:r>
    </w:p>
    <w:p>
      <w:pPr>
        <w:spacing w:after="0" w:line="184" w:lineRule="exact"/>
        <w:rPr>
          <w:rFonts w:ascii="Times New Roman" w:cs="Times New Roman" w:eastAsia="Times New Roman" w:hAnsi="Times New Roman"/>
          <w:sz w:val="18"/>
          <w:szCs w:val="18"/>
          <w:color w:val="auto"/>
        </w:rPr>
      </w:pPr>
    </w:p>
    <w:p>
      <w:pPr>
        <w:ind w:left="960" w:right="240" w:hanging="318"/>
        <w:spacing w:after="0" w:line="276"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Efficacy, Low False Positives</w:t>
      </w:r>
      <w:r>
        <w:rPr>
          <w:rFonts w:ascii="Times New Roman" w:cs="Times New Roman" w:eastAsia="Times New Roman" w:hAnsi="Times New Roman"/>
          <w:sz w:val="18"/>
          <w:szCs w:val="18"/>
          <w:color w:val="auto"/>
        </w:rPr>
        <w:t>: The vast telemetry of the Security Cloud and the best practices employed in continually training our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models results in exceptionally high efficacy rates and low false positives, delivering proven performance in real-world scenarios.</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60" w:hanging="318"/>
        <w:spacing w:after="0" w:line="251"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Consolidation of Siloed Products</w:t>
      </w:r>
      <w:r>
        <w:rPr>
          <w:rFonts w:ascii="Times New Roman" w:cs="Times New Roman" w:eastAsia="Times New Roman" w:hAnsi="Times New Roman"/>
          <w:sz w:val="18"/>
          <w:szCs w:val="18"/>
          <w:color w:val="auto"/>
        </w:rPr>
        <w:t>: Integrating and maintaining numerous security products creates blind spots that attackers can exploit,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costs, and negatively impacts both end-user system performance and the experience of the security analyst. Our cloud-native platform gives customers a unified approach to address their most critical areas of risk seamlessly. We empower customers to rapidly deploy and scale industry leading technologies across Endpoint Security, Identity Protection, Cloud Security, Next-Gen SIEM and Modern Log Management, Data Protection, Exposure Management, IT Automation, ITSecOps and Risk, Threat Intelligence, and SaaS Security Posture Management from a single platform.</w:t>
      </w:r>
    </w:p>
    <w:p>
      <w:pPr>
        <w:spacing w:after="0" w:line="185" w:lineRule="exact"/>
        <w:rPr>
          <w:rFonts w:ascii="Times New Roman" w:cs="Times New Roman" w:eastAsia="Times New Roman" w:hAnsi="Times New Roman"/>
          <w:sz w:val="18"/>
          <w:szCs w:val="18"/>
          <w:color w:val="auto"/>
        </w:rPr>
      </w:pPr>
    </w:p>
    <w:p>
      <w:pPr>
        <w:ind w:left="960" w:right="80" w:hanging="318"/>
        <w:spacing w:after="0" w:line="251"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Reducing Agent Bloat</w:t>
      </w:r>
      <w:r>
        <w:rPr>
          <w:rFonts w:ascii="Times New Roman" w:cs="Times New Roman" w:eastAsia="Times New Roman" w:hAnsi="Times New Roman"/>
          <w:sz w:val="18"/>
          <w:szCs w:val="18"/>
          <w:color w:val="auto"/>
        </w:rPr>
        <w:t>: Our single intelligent lightweight agent enables frictionless deployment of our platform at scale, enabling customers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rapidly adopt our technology across any type of workload running on a variety of endpoints. The agent is non-intrusive to the end user, requires no reboots and continues to protect the endpoint and track activity even when offline. Through our single lightweight agent approach, customers can adopt multiple platform modules to address their critical areas of risk without burdening the endpoint with multiple agents. Legacy approaches often require multiple agents as they layer on new capabilities. This can severely impact user performance and create barriers to security.</w:t>
      </w:r>
    </w:p>
    <w:p>
      <w:pPr>
        <w:spacing w:after="0" w:line="185" w:lineRule="exact"/>
        <w:rPr>
          <w:rFonts w:ascii="Times New Roman" w:cs="Times New Roman" w:eastAsia="Times New Roman" w:hAnsi="Times New Roman"/>
          <w:sz w:val="18"/>
          <w:szCs w:val="18"/>
          <w:color w:val="auto"/>
        </w:rPr>
      </w:pPr>
    </w:p>
    <w:p>
      <w:pPr>
        <w:ind w:left="960" w:right="200" w:hanging="318"/>
        <w:spacing w:after="0" w:line="261"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Rapid Time to Value</w:t>
      </w:r>
      <w:r>
        <w:rPr>
          <w:rFonts w:ascii="Times New Roman" w:cs="Times New Roman" w:eastAsia="Times New Roman" w:hAnsi="Times New Roman"/>
          <w:sz w:val="18"/>
          <w:szCs w:val="18"/>
          <w:color w:val="auto"/>
        </w:rPr>
        <w:t>: Our cloud-native platform was built to rapidly scale industry leading protection across the entire enterprise, eliminating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lengthy implementation periods and professional services engagements that next-gen and legacy competitors may require. Our single agent, collect once and re-use many times approach enables us to activate new modules in real time.</w:t>
      </w:r>
    </w:p>
    <w:p>
      <w:pPr>
        <w:spacing w:after="0" w:line="172" w:lineRule="exact"/>
        <w:rPr>
          <w:rFonts w:ascii="Times New Roman" w:cs="Times New Roman" w:eastAsia="Times New Roman" w:hAnsi="Times New Roman"/>
          <w:sz w:val="18"/>
          <w:szCs w:val="18"/>
          <w:color w:val="auto"/>
        </w:rPr>
      </w:pPr>
    </w:p>
    <w:p>
      <w:pPr>
        <w:ind w:left="960" w:right="220" w:hanging="318"/>
        <w:spacing w:after="0" w:line="253"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Elite Security Teams as a Force Multiplier</w:t>
      </w:r>
      <w:r>
        <w:rPr>
          <w:rFonts w:ascii="Times New Roman" w:cs="Times New Roman" w:eastAsia="Times New Roman" w:hAnsi="Times New Roman"/>
          <w:sz w:val="18"/>
          <w:szCs w:val="18"/>
          <w:color w:val="auto"/>
        </w:rPr>
        <w:t>: Adversaries are relentlessly innovating new forms of sophisticated attacks, bypassing traditional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malware to exploit user credentials and identities. In this evolving landscape, automation and autonomous security are no longer sufficient on their own. Stopping today’s sophisticated attacks requires a combination of powerful automation and elite threat hunting. Falcon Complete provides a comprehensive monitoring, management, response, and remediation solution to our customers and is designed to bring enterprise level security to companies that may lack the resources or expertise to do so on their own.</w:t>
      </w:r>
    </w:p>
    <w:p>
      <w:pPr>
        <w:spacing w:after="0" w:line="183" w:lineRule="exact"/>
        <w:rPr>
          <w:rFonts w:ascii="Times New Roman" w:cs="Times New Roman" w:eastAsia="Times New Roman" w:hAnsi="Times New Roman"/>
          <w:sz w:val="18"/>
          <w:szCs w:val="18"/>
          <w:color w:val="auto"/>
        </w:rPr>
      </w:pPr>
    </w:p>
    <w:p>
      <w:pPr>
        <w:ind w:left="960" w:right="2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CrowdStrike Falcon OverWatch, part of CrowdStrike Counter Adversary Operations, combines world-class human intelligence from our elite security experts with the power of the Falcon platform. OverWatch is a force multiplier that extends the capabilities and improves the productivity of our customers’ security teams. Because our world-class team can see attacks across our entire customer base, their expertise is enhanced by their constant visibility into the threat landscape. Additionally, the insights of our OverWatch team can then be leveraged by the Falcon platform to further enhance its autonomous capabilities, creating a positive feedback loop for our customers.</w:t>
      </w:r>
    </w:p>
    <w:p>
      <w:pPr>
        <w:spacing w:after="0" w:line="183" w:lineRule="exact"/>
        <w:rPr>
          <w:rFonts w:ascii="Times New Roman" w:cs="Times New Roman" w:eastAsia="Times New Roman" w:hAnsi="Times New Roman"/>
          <w:sz w:val="18"/>
          <w:szCs w:val="18"/>
          <w:color w:val="auto"/>
        </w:rPr>
      </w:pPr>
    </w:p>
    <w:p>
      <w:pPr>
        <w:ind w:left="960" w:right="140" w:hanging="318"/>
        <w:spacing w:after="0" w:line="256"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Alleviating the Skills Shortage through Automation</w:t>
      </w:r>
      <w:r>
        <w:rPr>
          <w:rFonts w:ascii="Times New Roman" w:cs="Times New Roman" w:eastAsia="Times New Roman" w:hAnsi="Times New Roman"/>
          <w:sz w:val="18"/>
          <w:szCs w:val="18"/>
          <w:color w:val="auto"/>
        </w:rPr>
        <w:t>: CrowdStrike automates manual tasks to free security teams to focus on their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job – stopping the breach. Our Falcon Fusion capability automates workflows to reduce the need to switch between different security tools and tasks, while our Falcon Insight XDR module provides a unified solution that enables security teams to rapidly and efficiently identify, hunt, and eliminate threats across multiple security domains using first and third party datasets.</w:t>
      </w:r>
    </w:p>
    <w:p>
      <w:pPr>
        <w:spacing w:after="0" w:line="176" w:lineRule="exact"/>
        <w:rPr>
          <w:rFonts w:ascii="Times New Roman" w:cs="Times New Roman" w:eastAsia="Times New Roman" w:hAnsi="Times New Roman"/>
          <w:sz w:val="18"/>
          <w:szCs w:val="18"/>
          <w:color w:val="auto"/>
        </w:rPr>
      </w:pPr>
    </w:p>
    <w:p>
      <w:pPr>
        <w:ind w:left="960" w:right="60" w:hanging="318"/>
        <w:spacing w:after="0" w:line="283" w:lineRule="auto"/>
        <w:tabs>
          <w:tab w:leader="none" w:pos="9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Lower Total Cost of Ownership</w:t>
      </w:r>
      <w:r>
        <w:rPr>
          <w:rFonts w:ascii="Times New Roman" w:cs="Times New Roman" w:eastAsia="Times New Roman" w:hAnsi="Times New Roman"/>
          <w:sz w:val="17"/>
          <w:szCs w:val="17"/>
          <w:color w:val="auto"/>
        </w:rPr>
        <w:t>: Our cloud-native platform eliminates our customers’ need for initial or ongoing purchases of hardware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does not require their personnel to configure, implement or integrate disparate point products. Additionally, our comprehensive platform reduces overall personnel costs associated with ongoing maintenance, as well as the need for software patches and upgrades for separate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Securing Identities and Data Across the Pillars of Modern Enterprise Security</w:t>
      </w:r>
    </w:p>
    <w:p>
      <w:pPr>
        <w:spacing w:after="0" w:line="219"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As modern attacks and adversaries grow more sophisticated, CrowdStrike believes that stopping breaches in the modern era requires security that delivers unified visibility and protection across three critical areas: Endpoint and Cloud workloads, Identity Threat Protection and Data Protection.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80" w:firstLine="318"/>
        <w:spacing w:after="0" w:line="259" w:lineRule="auto"/>
        <w:rPr>
          <w:sz w:val="20"/>
          <w:szCs w:val="20"/>
          <w:color w:val="auto"/>
        </w:rPr>
      </w:pPr>
      <w:r>
        <w:rPr>
          <w:rFonts w:ascii="Times New Roman" w:cs="Times New Roman" w:eastAsia="Times New Roman" w:hAnsi="Times New Roman"/>
          <w:sz w:val="18"/>
          <w:szCs w:val="18"/>
          <w:color w:val="auto"/>
        </w:rPr>
        <w:t>Approximately eighty percent of breaches today use stolen credentials and identities. Stopping these advanced attacks requires a holistic approach that delivers true end-to-end protection across workloads, identities, and data. CrowdStrike is able to natively enforce protection at the device layer, the identity layer, and the data layer, extending our bold vision for security by driving modern Defense in Depth to the enterprise.</w:t>
      </w:r>
    </w:p>
    <w:p>
      <w:pPr>
        <w:spacing w:after="0" w:line="178"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By delivering these powerful capabilities through a unified platform with a single agent, CrowdStrike is able to connect the endpoint and workload to user identity, and the data that is being used and accessed. Customers can see the full health and state of endpoints and workloads, in context with the identity that is using and accessing them, aligned with where data is being created, who is using it, where it flows and how it is protected. CrowdStrike delivers this through a unified platform experience. This is how CrowdStrike believes security should and must be delivered today to combat advanced adversaries and stop breaches in the modern era. This means security solutions that are easy to deploy, easy to manage, and highly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CrowdStrike Falcon Platform: Built to Innovate and Scale</w:t>
      </w:r>
    </w:p>
    <w:p>
      <w:pPr>
        <w:spacing w:after="0" w:line="219"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Our platform approach allows us to rapidly innovate, build, and deploy highly integrated modules that address critical customer problems and access additional market opportunities. Our Falcon platform is composed of two tightly integrated proprietary technologies: our lightweight agent and our Security Cloud. Our cloud-delivered modules integrate seamlessly within the Falcon platform to provide customers with a unified set of cloud-delivered technologies across Endpoint Security, Identity Protection, Cloud Security, Next-Gen SIEM and Modern Log Management, Data Protection, Exposure Management, IT Automation, ITSecOps and Risk, Threat Intelligence, and SaaS Security Posture Management.</w:t>
      </w:r>
    </w:p>
    <w:p>
      <w:pPr>
        <w:spacing w:after="0" w:line="185"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Falcon platform also encompasses recently acquired technologies where integration may be ongoing. We can rapidly and cost effectively develop and deliver additional cloud modules on our Falcon platform without the need for additional agents, and are expanding options for our new customers to test modules on a trial basis as well as offering in-application trials for existing customers. Our expanding set of open APIs and the Foundry app development platform allow customers and partners to build their own capabilities on top of the Falcon platform.</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Unifying data from our modules and customers into a single cloud infrastructure gives us significant advantages in developing and delivering innovative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capabilities to detect and prevent threats, as well as improving user productivity and efficiency through cutting-edge generative AI systems such as 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AI module.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CrowdStrike Falcon Platform: Unified Security Across Major Categories</w:t>
      </w:r>
    </w:p>
    <w:p>
      <w:pPr>
        <w:spacing w:after="0" w:line="219"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cloud-native Falcon platform integrates seamlessly with our single lightweight agent to deliver robust functionality across key areas of cybersecurity and IT operations. The Falcon platform delivers 29 cloud modules, enabling customers to address their most critical areas of risk with speed, confidence, and visibility through one unified platform. Key areas of focus include:</w:t>
      </w:r>
    </w:p>
    <w:p>
      <w:pPr>
        <w:spacing w:after="0" w:line="176"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Endpoint Security</w:t>
      </w:r>
      <w:r>
        <w:rPr>
          <w:rFonts w:ascii="Times New Roman" w:cs="Times New Roman" w:eastAsia="Times New Roman" w:hAnsi="Times New Roman"/>
          <w:sz w:val="18"/>
          <w:szCs w:val="18"/>
          <w:color w:val="auto"/>
        </w:rPr>
        <w:t>: The Falcon platform offers next-generation antivirus, endpoint detection and response (“EDR”) and extended detection and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(“XDR”) to defend against malware, fileless attacks, and advanced threats. With cross-domain telemetry and unified incident management, we enable organizations to detect, investigate, and respond to threats across the security stack efficiently and effectively.</w:t>
      </w:r>
    </w:p>
    <w:p>
      <w:pPr>
        <w:spacing w:after="0" w:line="173"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Cloud Security</w:t>
      </w:r>
      <w:r>
        <w:rPr>
          <w:rFonts w:ascii="Times New Roman" w:cs="Times New Roman" w:eastAsia="Times New Roman" w:hAnsi="Times New Roman"/>
          <w:sz w:val="18"/>
          <w:szCs w:val="18"/>
          <w:color w:val="auto"/>
        </w:rPr>
        <w:t>: CrowdStrike provides robust cloud security solutions to protect workloads, containers, and applications in real time. Our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runtime protection, cloud security posture management, application security posture management and more to secure multi-cloud environments and enhance the resilience of cloud-native applications. By integrating seamlessly into developer workflows, we empower teams to shift security left and mitigate vulnerabilities before deployment.</w:t>
      </w:r>
    </w:p>
    <w:p>
      <w:pPr>
        <w:spacing w:after="0" w:line="177" w:lineRule="exact"/>
        <w:rPr>
          <w:sz w:val="20"/>
          <w:szCs w:val="20"/>
          <w:color w:val="auto"/>
        </w:rPr>
      </w:pPr>
    </w:p>
    <w:p>
      <w:pPr>
        <w:ind w:right="460" w:firstLine="318"/>
        <w:spacing w:after="0" w:line="283" w:lineRule="auto"/>
        <w:rPr>
          <w:sz w:val="20"/>
          <w:szCs w:val="20"/>
          <w:color w:val="auto"/>
        </w:rPr>
      </w:pPr>
      <w:r>
        <w:rPr>
          <w:rFonts w:ascii="Times New Roman" w:cs="Times New Roman" w:eastAsia="Times New Roman" w:hAnsi="Times New Roman"/>
          <w:sz w:val="17"/>
          <w:szCs w:val="17"/>
          <w:b w:val="1"/>
          <w:bCs w:val="1"/>
          <w:color w:val="auto"/>
        </w:rPr>
        <w:t>Exposure Management</w:t>
      </w:r>
      <w:r>
        <w:rPr>
          <w:rFonts w:ascii="Times New Roman" w:cs="Times New Roman" w:eastAsia="Times New Roman" w:hAnsi="Times New Roman"/>
          <w:sz w:val="17"/>
          <w:szCs w:val="17"/>
          <w:color w:val="auto"/>
        </w:rPr>
        <w:t>: CrowdStrike’s exposure management solutions unify data from multiple sources, including IT hygiene, vulnerability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and external attack surface management. These capabilities allow organizations to predict attack paths, prioritize remediation efforts, and proactively reduce their risk exposure. Real-time insights and guided actions empower customers to address vulnerabilities before they can be exploited.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b w:val="1"/>
          <w:bCs w:val="1"/>
          <w:color w:val="auto"/>
        </w:rPr>
        <w:t>Managed Services Subscription</w:t>
      </w:r>
      <w:r>
        <w:rPr>
          <w:rFonts w:ascii="Times New Roman" w:cs="Times New Roman" w:eastAsia="Times New Roman" w:hAnsi="Times New Roman"/>
          <w:sz w:val="18"/>
          <w:szCs w:val="18"/>
          <w:color w:val="auto"/>
        </w:rPr>
        <w:t>: Falcon Complete Next-Gen Managed Detection and Response (“MDR”) delivers a comprehensive managed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subscription that combines 24/7 expert monitoring, investigation, response, and remediation to stop breaches across the entire attack lifecycle. Delivered by CrowdStrike’s team of security experts and powered by the AI-native Falcon platform, it combines industry-leading endpoint protection and extends managed protection across cloud security, identity protection, asset visibility, and Next-Gen SIEM, with 24/7 managed threat hunting from Falcon Adversary OverWatch for a full-stack MDR service. Falcon Complete Next-Gen MDR is also backed by an underwritten limited warranty policy, underscoring our commitment to breach protection and customer confidence.</w:t>
      </w:r>
    </w:p>
    <w:p>
      <w:pPr>
        <w:spacing w:after="0" w:line="185" w:lineRule="exact"/>
        <w:rPr>
          <w:sz w:val="20"/>
          <w:szCs w:val="20"/>
          <w:color w:val="auto"/>
        </w:rPr>
      </w:pPr>
    </w:p>
    <w:p>
      <w:pPr>
        <w:jc w:val="both"/>
        <w:ind w:right="34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Counter Adversary Operations</w:t>
      </w:r>
      <w:r>
        <w:rPr>
          <w:rFonts w:ascii="Times New Roman" w:cs="Times New Roman" w:eastAsia="Times New Roman" w:hAnsi="Times New Roman"/>
          <w:sz w:val="18"/>
          <w:szCs w:val="18"/>
          <w:color w:val="auto"/>
        </w:rPr>
        <w:t>: CrowdStrike’s Counter Adversary Operations include proactive threat hunting and intelligence capabilities.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leverage the insights of elite security experts and the power of Threat Graph to identify and mitigate advanced threats, providing customers with actionable intelligence to strengthen their defenses.</w:t>
      </w:r>
    </w:p>
    <w:p>
      <w:pPr>
        <w:spacing w:after="0" w:line="173" w:lineRule="exact"/>
        <w:rPr>
          <w:sz w:val="20"/>
          <w:szCs w:val="20"/>
          <w:color w:val="auto"/>
        </w:rPr>
      </w:pPr>
    </w:p>
    <w:p>
      <w:pPr>
        <w:ind w:right="42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Identity Protection</w:t>
      </w:r>
      <w:r>
        <w:rPr>
          <w:rFonts w:ascii="Times New Roman" w:cs="Times New Roman" w:eastAsia="Times New Roman" w:hAnsi="Times New Roman"/>
          <w:sz w:val="18"/>
          <w:szCs w:val="18"/>
          <w:color w:val="auto"/>
        </w:rPr>
        <w:t>: Identity protection solutions from CrowdStrike safeguard against identity-based attacks with real-time detection, behavioral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analytics, and policy enforcement. These capabilities provide visibility into anomalies and lateral movement, enabling organizations to defend their most critical assets.</w:t>
      </w:r>
    </w:p>
    <w:p>
      <w:pPr>
        <w:spacing w:after="0" w:line="173" w:lineRule="exact"/>
        <w:rPr>
          <w:sz w:val="20"/>
          <w:szCs w:val="20"/>
          <w:color w:val="auto"/>
        </w:rPr>
      </w:pPr>
    </w:p>
    <w:p>
      <w:pPr>
        <w:ind w:right="26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Next-Generation SIEM and Log Management</w:t>
      </w:r>
      <w:r>
        <w:rPr>
          <w:rFonts w:ascii="Times New Roman" w:cs="Times New Roman" w:eastAsia="Times New Roman" w:hAnsi="Times New Roman"/>
          <w:sz w:val="18"/>
          <w:szCs w:val="18"/>
          <w:color w:val="auto"/>
        </w:rPr>
        <w:t>: CrowdStrike’s Next-Gen SIEM and log management solutions deliver AI-driven detection,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and response capabilities, alongside high-performance log management for any data source. This comprehensive approach enhances security operations and enables organizations to respond to threats with speed and precision.</w:t>
      </w:r>
    </w:p>
    <w:p>
      <w:pPr>
        <w:spacing w:after="0" w:line="17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Generative AI</w:t>
      </w:r>
      <w:r>
        <w:rPr>
          <w:rFonts w:ascii="Times New Roman" w:cs="Times New Roman" w:eastAsia="Times New Roman" w:hAnsi="Times New Roman"/>
          <w:sz w:val="18"/>
          <w:szCs w:val="18"/>
          <w:color w:val="auto"/>
        </w:rPr>
        <w:t>: Innovations like Charlotte AI leverage generative AI and natural language processing to automate time-intensive tasks, enabling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analysts to work more efficiently. Charlotte AI transforms hours of routine investigation into minutes, addressing critical skills gaps and enhancing operational efficiency. Powered by the Falcon platform’s unique data advantage, Charlotte continues to evolve, delivering time savings and workflow automation to meet the demands of modern security operations.</w:t>
      </w:r>
    </w:p>
    <w:p>
      <w:pPr>
        <w:spacing w:after="0" w:line="177"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IT Automation</w:t>
      </w:r>
      <w:r>
        <w:rPr>
          <w:rFonts w:ascii="Times New Roman" w:cs="Times New Roman" w:eastAsia="Times New Roman" w:hAnsi="Times New Roman"/>
          <w:sz w:val="18"/>
          <w:szCs w:val="18"/>
          <w:color w:val="auto"/>
        </w:rPr>
        <w:t>: Falcon for IT converges security and IT operations, providing visibility into enterprise assets and enabling rapid resolution of issues.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generative AI workflows and automation capabilities, Falcon for IT empowers organizations to streamline IT processes, resolve operational challenges quickly, and maintain a secure and efficient infrastructure.</w:t>
      </w:r>
    </w:p>
    <w:p>
      <w:pPr>
        <w:spacing w:after="0" w:line="173" w:lineRule="exact"/>
        <w:rPr>
          <w:sz w:val="20"/>
          <w:szCs w:val="20"/>
          <w:color w:val="auto"/>
        </w:rPr>
      </w:pPr>
    </w:p>
    <w:p>
      <w:pPr>
        <w:ind w:right="60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SaaS Security</w:t>
      </w:r>
      <w:r>
        <w:rPr>
          <w:rFonts w:ascii="Times New Roman" w:cs="Times New Roman" w:eastAsia="Times New Roman" w:hAnsi="Times New Roman"/>
          <w:sz w:val="18"/>
          <w:szCs w:val="18"/>
          <w:color w:val="auto"/>
        </w:rPr>
        <w:t>: Adaptive Shield, a CrowdStrike company, delivers continuous monitoring and proactive risk mitigation for business-critical SaaS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With context and visibility, organizations can address risks from users, devices, and non-human identities.</w:t>
      </w:r>
    </w:p>
    <w:p>
      <w:pPr>
        <w:spacing w:after="0" w:line="160" w:lineRule="exact"/>
        <w:rPr>
          <w:sz w:val="20"/>
          <w:szCs w:val="20"/>
          <w:color w:val="auto"/>
        </w:rPr>
      </w:pPr>
    </w:p>
    <w:p>
      <w:pPr>
        <w:ind w:right="30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Data Protection</w:t>
      </w:r>
      <w:r>
        <w:rPr>
          <w:rFonts w:ascii="Times New Roman" w:cs="Times New Roman" w:eastAsia="Times New Roman" w:hAnsi="Times New Roman"/>
          <w:sz w:val="18"/>
          <w:szCs w:val="18"/>
          <w:color w:val="auto"/>
        </w:rPr>
        <w:t>: Falcon Data Protection prevents data theft by combining content with context, providing real-time visibility into sensitive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movement across endpoints, web applications, cloud drives, and USB storage devices. This modern approach empowers organizations to secure enterprise data without disrupting productivity, addressing the unique risks of the GenAI era.</w:t>
      </w:r>
    </w:p>
    <w:p>
      <w:pPr>
        <w:spacing w:after="0" w:line="173" w:lineRule="exact"/>
        <w:rPr>
          <w:sz w:val="20"/>
          <w:szCs w:val="20"/>
          <w:color w:val="auto"/>
        </w:rPr>
      </w:pPr>
    </w:p>
    <w:p>
      <w:pPr>
        <w:ind w:right="22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Application Development</w:t>
      </w:r>
      <w:r>
        <w:rPr>
          <w:rFonts w:ascii="Times New Roman" w:cs="Times New Roman" w:eastAsia="Times New Roman" w:hAnsi="Times New Roman"/>
          <w:sz w:val="18"/>
          <w:szCs w:val="18"/>
          <w:color w:val="auto"/>
        </w:rPr>
        <w:t>: The Falcon Foundry no-code application development platform allows customers to quickly create their own apps to solve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 security and IT use-cases with full access to CrowdStrike’s data, threat intelligence, automation, and cloud-scale infrastructure.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Bringing CrowdStrike to the Market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primarily sell the Falcon platform through our direct sales team that leverages our network of channel partners to maximize effectiveness and scale.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low friction land-and-expand sales strategy. Key elements of our growth strategy include:</w:t>
      </w:r>
    </w:p>
    <w:p>
      <w:pPr>
        <w:spacing w:after="0" w:line="196" w:lineRule="exact"/>
        <w:rPr>
          <w:sz w:val="20"/>
          <w:szCs w:val="20"/>
          <w:color w:val="auto"/>
        </w:rPr>
      </w:pPr>
    </w:p>
    <w:p>
      <w:pPr>
        <w:ind w:left="960" w:right="140" w:hanging="318"/>
        <w:spacing w:after="0" w:line="256"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Growing Our Customer Base by Replacing Legacy and Other Endpoint Security Products. </w:t>
      </w:r>
      <w:r>
        <w:rPr>
          <w:rFonts w:ascii="Times New Roman" w:cs="Times New Roman" w:eastAsia="Times New Roman" w:hAnsi="Times New Roman"/>
          <w:sz w:val="18"/>
          <w:szCs w:val="18"/>
          <w:color w:val="auto"/>
        </w:rPr>
        <w:t>Given the limitations of existing legacy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endpoint security products, many organizations are replacing their existing legacy and other endpoint security products with our Falcon platform. We will continue to invest in customer acquisition programs, including our channel partnerships and new programs, like our free trial program of Falcon Prevent that is easily downloaded from our website and AWS Marketplace.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60" w:right="140" w:hanging="318"/>
        <w:spacing w:after="0" w:line="250"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Further Penetrating Existing Customers. </w:t>
      </w:r>
      <w:r>
        <w:rPr>
          <w:rFonts w:ascii="Times New Roman" w:cs="Times New Roman" w:eastAsia="Times New Roman" w:hAnsi="Times New Roman"/>
          <w:sz w:val="18"/>
          <w:szCs w:val="18"/>
          <w:color w:val="auto"/>
        </w:rPr>
        <w:t>Our growth will depend in part on our ability to continue to expand our relationships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by deploying on additional endpoints in their environment and cross-selling more cloud modules. When customers deploy our lightweight agent,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enterprise-wide for all customers. The power of our land-and-expand strategy is evidenced by our 112% dollar-based net retention rate as of January 31, 2025.</w:t>
      </w:r>
    </w:p>
    <w:p>
      <w:pPr>
        <w:spacing w:after="0" w:line="186" w:lineRule="exact"/>
        <w:rPr>
          <w:rFonts w:ascii="Times New Roman" w:cs="Times New Roman" w:eastAsia="Times New Roman" w:hAnsi="Times New Roman"/>
          <w:sz w:val="18"/>
          <w:szCs w:val="18"/>
          <w:color w:val="auto"/>
        </w:rPr>
      </w:pPr>
    </w:p>
    <w:p>
      <w:pPr>
        <w:ind w:left="960" w:right="160" w:hanging="318"/>
        <w:spacing w:after="0" w:line="253"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Falcon Platform to Enter New Markets. </w:t>
      </w:r>
      <w:r>
        <w:rPr>
          <w:rFonts w:ascii="Times New Roman" w:cs="Times New Roman" w:eastAsia="Times New Roman" w:hAnsi="Times New Roman"/>
          <w:sz w:val="18"/>
          <w:szCs w:val="18"/>
          <w:color w:val="auto"/>
        </w:rPr>
        <w:t>Because we leverage a single data model and open cloud architecture,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uniquely positioned to continue innovating and rapidly deploying new cloud modules on our platform. For example, Falcon Discover includes use cases outside of security, such as application license management, AWS spend analysis, and asset inventory. Because our lightweight agent collects diverse endpoint data once for repeated use, we can expand our addressable market by rapidly adding new cloud modules that leverage this data. We intend to continue to develop new cloud modules for broader endpoint use cases.</w:t>
      </w:r>
    </w:p>
    <w:p>
      <w:pPr>
        <w:spacing w:after="0" w:line="181" w:lineRule="exact"/>
        <w:rPr>
          <w:rFonts w:ascii="Times New Roman" w:cs="Times New Roman" w:eastAsia="Times New Roman" w:hAnsi="Times New Roman"/>
          <w:sz w:val="18"/>
          <w:szCs w:val="18"/>
          <w:color w:val="auto"/>
        </w:rPr>
      </w:pPr>
    </w:p>
    <w:p>
      <w:pPr>
        <w:ind w:left="960" w:right="20" w:hanging="318"/>
        <w:spacing w:after="0" w:line="251"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Broadening Our Reach into New Customer Segments. </w:t>
      </w:r>
      <w:r>
        <w:rPr>
          <w:rFonts w:ascii="Times New Roman" w:cs="Times New Roman" w:eastAsia="Times New Roman" w:hAnsi="Times New Roman"/>
          <w:sz w:val="18"/>
          <w:szCs w:val="18"/>
          <w:color w:val="auto"/>
        </w:rPr>
        <w:t>While we initially targeted large sophisticated enterprises, we have expanded our go-to-market efforts to include customers of all sizes with 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sell our Falcon platform to the largest enterprises or smallest businesses with any level of security sophistication and budget. We continue to look for new ways to broaden our reach into new customer segments.</w:t>
      </w:r>
    </w:p>
    <w:p>
      <w:pPr>
        <w:spacing w:after="0" w:line="185" w:lineRule="exact"/>
        <w:rPr>
          <w:rFonts w:ascii="Times New Roman" w:cs="Times New Roman" w:eastAsia="Times New Roman" w:hAnsi="Times New Roman"/>
          <w:sz w:val="18"/>
          <w:szCs w:val="18"/>
          <w:color w:val="auto"/>
        </w:rPr>
      </w:pPr>
    </w:p>
    <w:p>
      <w:pPr>
        <w:ind w:left="960" w:right="60" w:hanging="318"/>
        <w:spacing w:after="0" w:line="249"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Broadening Our Reach into U.S. Public Sector Verticals. </w:t>
      </w:r>
      <w:r>
        <w:rPr>
          <w:rFonts w:ascii="Times New Roman" w:cs="Times New Roman" w:eastAsia="Times New Roman" w:hAnsi="Times New Roman"/>
          <w:sz w:val="18"/>
          <w:szCs w:val="18"/>
          <w:color w:val="auto"/>
        </w:rPr>
        <w:t>We continue to invest heavily in the acquisition of customers in the U.S.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as well as the state, local, and higher education verticals. Our platform is authorized by several federal agencies via the Federal Risk and Authorization Management Program (“FedRAMP”). Additionally, Department of Defense organizations can rely upon CrowdStrike’s Impact Level 5 provisional authorization to satisfy their cloud-based security requirements. To further meet the compliance demands of the government, customers can elect to deploy the Falcon platform in the AWS GovCloud. We have also successfully been embedded into several strategic government-wide cybersecurity programs and contracts, such as the Department of Homeland Security’s Continuous Diagnostics and Mitigation Approved Products List, which serves to provide federal agencies with innovative security tools. As a result, the Cybersecurity and Infrastructure Security Agency has leveraged a significant investment in our platform to support modernization efforts within the Federal Civilian Executive Branch. Further evidence of our progress into these critical markets is demonstrated by virtue of the fact that 25 of the 50 U.S. states have standardized on CrowdStrike’s platform at the enterprise level.</w:t>
      </w:r>
    </w:p>
    <w:p>
      <w:pPr>
        <w:spacing w:after="0" w:line="184" w:lineRule="exact"/>
        <w:rPr>
          <w:rFonts w:ascii="Times New Roman" w:cs="Times New Roman" w:eastAsia="Times New Roman" w:hAnsi="Times New Roman"/>
          <w:sz w:val="18"/>
          <w:szCs w:val="18"/>
          <w:color w:val="auto"/>
        </w:rPr>
      </w:pPr>
    </w:p>
    <w:p>
      <w:pPr>
        <w:ind w:left="960" w:hanging="318"/>
        <w:spacing w:after="0" w:line="256"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International Footprint. </w:t>
      </w:r>
      <w:r>
        <w:rPr>
          <w:rFonts w:ascii="Times New Roman" w:cs="Times New Roman" w:eastAsia="Times New Roman" w:hAnsi="Times New Roman"/>
          <w:sz w:val="18"/>
          <w:szCs w:val="18"/>
          <w:color w:val="auto"/>
        </w:rPr>
        <w:t>We are expanding our international operations and intend to invest globally to broaden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footprint. We grew our international revenue from $967.5 million for fiscal 2024 to $1,270.7 million for fiscal 2025, representing an increase of 31%. We intend to grow our international customer base by increasing our investments in our overseas operations, including adding headcount in Europe, the Middle East, Asia-Pacific, including Japan, and expanding data centers overseas.</w:t>
      </w:r>
    </w:p>
    <w:p>
      <w:pPr>
        <w:spacing w:after="0" w:line="176" w:lineRule="exact"/>
        <w:rPr>
          <w:rFonts w:ascii="Times New Roman" w:cs="Times New Roman" w:eastAsia="Times New Roman" w:hAnsi="Times New Roman"/>
          <w:sz w:val="18"/>
          <w:szCs w:val="18"/>
          <w:color w:val="auto"/>
        </w:rPr>
      </w:pPr>
    </w:p>
    <w:p>
      <w:pPr>
        <w:ind w:left="960" w:right="160" w:hanging="318"/>
        <w:spacing w:after="0" w:line="253"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Extending Our Falcon Platform and Ecosystem. </w:t>
      </w:r>
      <w:r>
        <w:rPr>
          <w:rFonts w:ascii="Times New Roman" w:cs="Times New Roman" w:eastAsia="Times New Roman" w:hAnsi="Times New Roman"/>
          <w:sz w:val="18"/>
          <w:szCs w:val="18"/>
          <w:color w:val="auto"/>
        </w:rPr>
        <w:t>We designed our architecture to be open, interoperable, and highly extensible. We launched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CrowdStrike Marketplace, the first open cloud-based application PaaS for cybersecurity, which allows customers to purchase CrowdStrike products and provides an ecosystem of trusted partners and applications for our customers to choose from. We plan to continue investing in the CrowdStrike Store to empower our partners by making it easier to build applications and to enable our customers to more easily discover, try, and purchase additional cloud modules from both trusted partners and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19"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We have designed an innovative architecture from the ground up to overcome the limitations of existing security products and deliver cloud-based solutions. The key design principles of our Falcon platform include: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Cloud Native Architecture. </w:t>
      </w:r>
      <w:r>
        <w:rPr>
          <w:rFonts w:ascii="Times New Roman" w:cs="Times New Roman" w:eastAsia="Times New Roman" w:hAnsi="Times New Roman"/>
          <w:sz w:val="18"/>
          <w:szCs w:val="18"/>
          <w:color w:val="auto"/>
        </w:rPr>
        <w:t>We built the Falcon platform entirely in and for the cloud, enabling collection and analysis of a massive, crowdsourced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dataset from all of our customers to stop breaches. Our platform is designed to be redundant, resilient, and high-performing.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spacing w:after="0" w:line="177"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Falcon Agent. </w:t>
      </w:r>
      <w:r>
        <w:rPr>
          <w:rFonts w:ascii="Times New Roman" w:cs="Times New Roman" w:eastAsia="Times New Roman" w:hAnsi="Times New Roman"/>
          <w:sz w:val="17"/>
          <w:szCs w:val="17"/>
          <w:color w:val="auto"/>
        </w:rPr>
        <w:t>We designed an intelligent lightweight agent that is installed on each endpoint or cloud workload. This agent incorporates identification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prevention of known and unknown malware and fileless attacks using machine learning, AI, exploit blocking, and advanced behavioral techniques, to protect workloads across all endpoints while capturing and recording high fidelity endpoint data. Our agent is capable of acting autonomously and continues to collect data and protect workloads running on endpoints even when offline. The agent recommences transmitting data to our Falcon platform when the connection to the cloud has been re-established. Our lightweight agent is built to support Windows, Mac, and Linux operating systems. The agent is hardened against attacks and uses a combination of kernel and user-mode modules to collect and transmit high fidelity endpoint events as they take place on a system. It correlates these events using a local situational model on the endpoint, analyzes via agent-based AI models and is capable of taking a variety of preventative and responsive actions on the endpoint, either automatically or via human control. Events are streamed by the agent to the cloud in real time in order to be further analyzed in the Threat Graph, where additional correlation and AI algorithms can be applied. The agent is also capable of being remotely reconfigured in real time based on analytics in our cloud platform to collect and analyze different events or take other actions as risk and threat postures change.</w:t>
      </w:r>
    </w:p>
    <w:p>
      <w:pPr>
        <w:spacing w:after="0" w:line="17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Threat Graph. </w:t>
      </w:r>
      <w:r>
        <w:rPr>
          <w:rFonts w:ascii="Times New Roman" w:cs="Times New Roman" w:eastAsia="Times New Roman" w:hAnsi="Times New Roman"/>
          <w:sz w:val="18"/>
          <w:szCs w:val="18"/>
          <w:color w:val="auto"/>
        </w:rPr>
        <w:t>Threat Graph is our proprietary, powerful, scalable, and dynamic graph database. Threat Graph continually looks for malicious activity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combining AI with behavioral pattern-matching techniques to look beyond file features and track the behaviors of every OS process and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The graph data model allows our AI algorithms to identify relationships between events that are not directly related but which could indicate an attack that would otherwise remain undetected. We believe that our AI algorithms are advantaged by the rich proprietary dataset that we use to train them. Threat Graph provides customers with complete real time and historical visibility and insight into events occurring on their endpoints for hunting and searching, even if the endpoint is unreachable or no longer exists.</w:t>
      </w:r>
    </w:p>
    <w:p>
      <w:pPr>
        <w:spacing w:after="0" w:line="185"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7"/>
          <w:szCs w:val="17"/>
          <w:color w:val="auto"/>
        </w:rPr>
        <w:t>Threat Graph also provides query and hunting capability over the full set of high-fidelity events collected in the graph. This correlated data, natively represented in a graph structure, enables new 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w:t>
      </w:r>
    </w:p>
    <w:p>
      <w:pPr>
        <w:spacing w:after="0" w:line="165" w:lineRule="exact"/>
        <w:rPr>
          <w:sz w:val="20"/>
          <w:szCs w:val="20"/>
          <w:color w:val="auto"/>
        </w:rPr>
      </w:pPr>
    </w:p>
    <w:p>
      <w:pPr>
        <w:ind w:right="200" w:firstLine="31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Intel Graph. </w:t>
      </w:r>
      <w:r>
        <w:rPr>
          <w:rFonts w:ascii="Times New Roman" w:cs="Times New Roman" w:eastAsia="Times New Roman" w:hAnsi="Times New Roman"/>
          <w:sz w:val="18"/>
          <w:szCs w:val="18"/>
          <w:color w:val="auto"/>
        </w:rPr>
        <w:t>Intel Graph analyzes and correlates massive amounts of data on adversaries, their victims and their tools, providing extraordinary insights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shifting adversary tactics and techniques, powering our adversary-focused approach with world-class threat intelligence.</w:t>
      </w:r>
    </w:p>
    <w:p>
      <w:pPr>
        <w:spacing w:after="0" w:line="160" w:lineRule="exact"/>
        <w:rPr>
          <w:sz w:val="20"/>
          <w:szCs w:val="20"/>
          <w:color w:val="auto"/>
        </w:rPr>
      </w:pPr>
    </w:p>
    <w:p>
      <w:pPr>
        <w:ind w:right="120" w:firstLine="318"/>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Asset Graph. </w:t>
      </w:r>
      <w:r>
        <w:rPr>
          <w:rFonts w:ascii="Times New Roman" w:cs="Times New Roman" w:eastAsia="Times New Roman" w:hAnsi="Times New Roman"/>
          <w:sz w:val="17"/>
          <w:szCs w:val="17"/>
          <w:color w:val="auto"/>
        </w:rPr>
        <w:t>Asset Graph dynamically monitors and tracks the complex interactions among enterprise entities, providing a single holistic view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risks those assets pose. Asset Graph provides graph visualizations of the relationships among entities and assets such as devices, users, accounts, cloud workloads, along with the rich context necessary for proper security hygiene and proactive security posture management to reduce risk in their organizations.</w:t>
      </w:r>
    </w:p>
    <w:p>
      <w:pPr>
        <w:spacing w:after="0" w:line="15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High Fidelity Data and Smart Filtering. </w:t>
      </w:r>
      <w:r>
        <w:rPr>
          <w:rFonts w:ascii="Times New Roman" w:cs="Times New Roman" w:eastAsia="Times New Roman" w:hAnsi="Times New Roman"/>
          <w:sz w:val="18"/>
          <w:szCs w:val="18"/>
          <w:color w:val="auto"/>
        </w:rPr>
        <w:t>The presence of a local graph model in our agent enables it to track the state of the machine in real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rapid machine learning and behavioral analysis, and provide efficient event streaming to the cloud. We call this “smart filtering.” This allows us to keep performance overhead on the endpoint to a minimum, dramatically reduce the bandwidth required for agent-cloud communication, efficiently process large volumes of data, and separate signals from noise. The Falcon agent collects and analyzes unfiltered data with local machine learning and behavioral algorithms on the endpoint but only streams high fidelity endpoint events to the cloud to just send what is necessary for detection, prevention and investigation of attacks. This smart filtering architecture allows us to reduce network load for our customers. The Falcon platform collects an array of high fidelity endpoint events, such as code execution, network, file system and user activity. This information can be used for a variety of use cases beyond security, such as IT operations and vulnerability management.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4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Management Interface. </w:t>
      </w:r>
      <w:r>
        <w:rPr>
          <w:rFonts w:ascii="Times New Roman" w:cs="Times New Roman" w:eastAsia="Times New Roman" w:hAnsi="Times New Roman"/>
          <w:sz w:val="18"/>
          <w:szCs w:val="18"/>
          <w:color w:val="auto"/>
        </w:rPr>
        <w:t>The Falcon platform management interface gives customers an intuitive and informative view of their complete environment,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timely alerts and detailed search capabilities. We provide real-time endpoint and cloud workload visibility to allow customers to review details and respond to threats instantly and effectively, from anywhere, and maintain an index of these events for future use.</w:t>
      </w:r>
    </w:p>
    <w:p>
      <w:pPr>
        <w:spacing w:after="0" w:line="173"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APIs and Integrations. </w:t>
      </w:r>
      <w:r>
        <w:rPr>
          <w:rFonts w:ascii="Times New Roman" w:cs="Times New Roman" w:eastAsia="Times New Roman" w:hAnsi="Times New Roman"/>
          <w:sz w:val="17"/>
          <w:szCs w:val="17"/>
          <w:color w:val="auto"/>
        </w:rPr>
        <w:t>Our Falcon platform and architecture is built around a rich set of APIs that efficiently and effectively complement and expand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customer’s existing security infrastructure, such as security information event management, or SIEMs,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 Operations</w:t>
      </w:r>
    </w:p>
    <w:p>
      <w:pPr>
        <w:spacing w:after="0" w:line="219"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We have data center co-location facilities throughout the United States and in Europe, and we also utilize third-party data centers located in the United States and Europe. Our technology infrastructure, combined with select use of third-party resources, provides us with a distributed, resilient and scalable architecture on a global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Services</w:t>
      </w:r>
    </w:p>
    <w:p>
      <w:pPr>
        <w:spacing w:after="0" w:line="219"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In addition to our Falcon platform and cloud modules, we also offer incident response, forensic investigatory, and breach recovery services; technical assessment and strategic advisory services; Next-Gen SEIM consulting; platform deployment and operational services; as well as training and certifications to assist organizations that have experienced a breach or who are assessing their security posture and ability to respond to breaches.</w:t>
      </w:r>
    </w:p>
    <w:p>
      <w:pPr>
        <w:spacing w:after="0" w:line="176" w:lineRule="exact"/>
        <w:rPr>
          <w:sz w:val="20"/>
          <w:szCs w:val="20"/>
          <w:color w:val="auto"/>
        </w:rPr>
      </w:pPr>
    </w:p>
    <w:p>
      <w:pPr>
        <w:ind w:left="960" w:right="60" w:hanging="318"/>
        <w:spacing w:after="0" w:line="249" w:lineRule="auto"/>
        <w:tabs>
          <w:tab w:leader="none" w:pos="9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Incident Response, Forensics, and Recovery Services. </w:t>
      </w:r>
      <w:r>
        <w:rPr>
          <w:rFonts w:ascii="Times New Roman" w:cs="Times New Roman" w:eastAsia="Times New Roman" w:hAnsi="Times New Roman"/>
          <w:sz w:val="18"/>
          <w:szCs w:val="18"/>
          <w:color w:val="auto"/>
        </w:rPr>
        <w:t>Our incident response services typically begin by deploying our lightweight agent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endpoints or cloud workloads to provide visibility in order to determine if an attacker is currently in the environment, what assets have been compromised, and how much damage has been done. In addition to enriching the response team’s understanding of the attack, the full suite of Falcon platform’s next-gen prevention capabilities, cloud security, exposure management, and identity protection offerings can also be leveraged to help to slow down and prevent an active attacker from moving at-will throughout a compromised customer’s environment, increasing the risk and potential damage to the customer. We also provide customized surgical recovery services by providing the tools and staffing to eject attackers out of the network, lock down credentials from further use, remediate impacted systems and ensure adversaries stay out. In addition to providing valuable breach remediation to our customers, our incident response services also act as a strong lead generation engine for our Falcon platform and cloud modules. After experiencing the benefits of our platform firsthand, many of our incident response customers become subscription customers.</w:t>
      </w:r>
    </w:p>
    <w:p>
      <w:pPr>
        <w:spacing w:after="0" w:line="182" w:lineRule="exact"/>
        <w:rPr>
          <w:rFonts w:ascii="Times New Roman" w:cs="Times New Roman" w:eastAsia="Times New Roman" w:hAnsi="Times New Roman"/>
          <w:sz w:val="18"/>
          <w:szCs w:val="18"/>
          <w:i w:val="1"/>
          <w:iCs w:val="1"/>
          <w:color w:val="auto"/>
        </w:rPr>
      </w:pPr>
    </w:p>
    <w:p>
      <w:pPr>
        <w:ind w:left="960" w:right="40" w:hanging="318"/>
        <w:spacing w:after="0" w:line="249" w:lineRule="auto"/>
        <w:tabs>
          <w:tab w:leader="none" w:pos="9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Technical Assessment and Strategic Advisory Services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proactive security services include technical assessment services designed to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understand their cyber maturity levels. These services include both endpoint and cloud workload compromise assessments, cybersecurity maturity assessments, security program in-depth assessments, service organization control assessments, IT hygiene assessments, and active directory security assessments. We also advise customers on readiness and preparation through the execution of table-top exercises, live fire exercises, red team/blue team assessments, and advanced adversary emulation exercises. We have also added AI red-teaming to help organizations understand where these models can have risk, where they can be exploited and where to take corrective security actions. All of these services are designed to evaluate our customers’ security profile so they can identify areas of vulnerability, secure their network, and improve their response if their defenses are breached. Our services also align to executive and board level cybersecurity training and awareness, including by helping public companies more confidently comply with public disclosure requirements relating to assessing, identifying and managing material cybersecurity risks, and reporting material cyber incidents. Our programs are designed to help organizations effectively achieve cybersecurity risk reduction objectives and to maximize investments.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60" w:right="100" w:hanging="318"/>
        <w:spacing w:after="0" w:line="250"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NextGen SIEM Professional Services. </w:t>
      </w:r>
      <w:r>
        <w:rPr>
          <w:rFonts w:ascii="Times New Roman" w:cs="Times New Roman" w:eastAsia="Times New Roman" w:hAnsi="Times New Roman"/>
          <w:sz w:val="18"/>
          <w:szCs w:val="18"/>
          <w:color w:val="auto"/>
        </w:rPr>
        <w:t>Our NG-SIEM professional services offer a comprehensive suite of deployment packages and ongoing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options designed to help organizations seamlessly implement and optimize the Falcon NG-SIEM platform. Our Essentials, Advanced, and Premium Deployment Packages provide standardized implementations that prioritize data ingestion aligned with critical use cases from the MITRE ATT&amp;CK framework, ensuring maximum impact in detecting and responding to threats. For customers requiring deeper, hands-on expertise, we offer Resident Engineer Services in flexible durations of 3, 6, or 12 months supporting both NG-SIEM as well as LogScale. These experts embed directly with customer teams to provide tailored guidance, ongoing optimization, and support for evolving security needs. Our services are designed to accelerate time-to-value, enhance security posture, and ensure the long-term success of SIEM deployments within any organization.</w:t>
      </w:r>
    </w:p>
    <w:p>
      <w:pPr>
        <w:spacing w:after="0" w:line="183" w:lineRule="exact"/>
        <w:rPr>
          <w:rFonts w:ascii="Times New Roman" w:cs="Times New Roman" w:eastAsia="Times New Roman" w:hAnsi="Times New Roman"/>
          <w:sz w:val="18"/>
          <w:szCs w:val="18"/>
          <w:color w:val="auto"/>
        </w:rPr>
      </w:pPr>
    </w:p>
    <w:p>
      <w:pPr>
        <w:ind w:left="960" w:hanging="318"/>
        <w:spacing w:after="0" w:line="250"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Platform Deployment and Operational Services. </w:t>
      </w:r>
      <w:r>
        <w:rPr>
          <w:rFonts w:ascii="Times New Roman" w:cs="Times New Roman" w:eastAsia="Times New Roman" w:hAnsi="Times New Roman"/>
          <w:sz w:val="18"/>
          <w:szCs w:val="18"/>
          <w:color w:val="auto"/>
        </w:rPr>
        <w:t>Our deployment and operational services are designed to help customers maximize the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their investment in the CrowdStrike Falcon platform. These services provide seamless deployment of Falcon modules across endpoint, cloud, identity, Next-Gen SIEM and many other modules ensuring rapid time-to-value and alignment to CrowdStrike’s recommended security configurations to prevent breaches. Our integration services focus on enabling customers to align Falcon modules with their existing security ecosystems, leveraging our APIs and Falcon Fusion SOAR automation for improved operational efficiency. Additionally, our operational services provide tailored guidance and best practices to optimize platform performance, streamline workflows, and address specific cybersecurity challenges. The goal of these services are to empower organizations to fully operationalize CrowdStrike’s solutions, enhance security posture, and achieve measurable outcomes in cyber risk reduction with the Falcon platform.</w:t>
      </w:r>
    </w:p>
    <w:p>
      <w:pPr>
        <w:spacing w:after="0" w:line="183" w:lineRule="exact"/>
        <w:rPr>
          <w:rFonts w:ascii="Times New Roman" w:cs="Times New Roman" w:eastAsia="Times New Roman" w:hAnsi="Times New Roman"/>
          <w:sz w:val="18"/>
          <w:szCs w:val="18"/>
          <w:color w:val="auto"/>
        </w:rPr>
      </w:pPr>
    </w:p>
    <w:p>
      <w:pPr>
        <w:ind w:left="960" w:right="60" w:hanging="318"/>
        <w:spacing w:after="0" w:line="248"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CrowdStrike University Training and Certification. </w:t>
      </w:r>
      <w:r>
        <w:rPr>
          <w:rFonts w:ascii="Times New Roman" w:cs="Times New Roman" w:eastAsia="Times New Roman" w:hAnsi="Times New Roman"/>
          <w:sz w:val="18"/>
          <w:szCs w:val="18"/>
          <w:color w:val="auto"/>
        </w:rPr>
        <w:t>We offer training and certification services to customers and partners on CrowdStrike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and cybersecurity topics to facilitate the adoption of CrowdStrike and to broaden and deepen their skills. CrowdStrike University is an online learning management system that organizes all CrowdStrike e-learning, instructor-led training and certification preparation courses in one place, providing a personalized learning experience for individuals who have an active training subscription. CrowdStrike currently offers proctored exam certifications through industry leading training partner Pearson Vue for its CrowdStrike Certified Falcon Administrator, CrowdStrike Certified Falcon Responder, CrowdStrike Certified Falcon Hunter, CrowdStrike Certified Cloud Specialist, and CrowdStrike Certified Identity Specialist programs. We provide comprehensive training and certification programs to empower customers and partners with the knowledge and skills needed to maximize the value of CrowdStrike technologies and strengthen their cybersecurity expertise. CrowdStrike University provides a centralized, online platform for accessing a wide range of training options including on-demand e-learning, instructor-led training, and certification preparation. Our offerings are designed to accommodate varying levels of proficiency from foundational concepts to advanced skills in threat detection, incident response, cloud security, intelligence and other proactive security operations aligned to the Falcon platform. Our CrowdStrike Certified Falcon Administrator, Responder, Hunter, Cloud Specialist, and Identity Specialist certifications validate the skillsets of our customers and partners to ensure they are properly equipped to operate the Falcon platform. Our training offerings provide a structured learning path to accelerate CrowdStrike adoption, drive operational success, and equip professionals with validated expertise in modern cybersecurity practices.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19" w:lineRule="exact"/>
        <w:rPr>
          <w:sz w:val="20"/>
          <w:szCs w:val="20"/>
          <w:color w:val="auto"/>
        </w:rPr>
      </w:pPr>
    </w:p>
    <w:p>
      <w:pPr>
        <w:ind w:right="180" w:firstLine="318"/>
        <w:spacing w:after="0" w:line="250" w:lineRule="auto"/>
        <w:rPr>
          <w:sz w:val="20"/>
          <w:szCs w:val="20"/>
          <w:color w:val="auto"/>
        </w:rPr>
      </w:pPr>
      <w:r>
        <w:rPr>
          <w:rFonts w:ascii="Times New Roman" w:cs="Times New Roman" w:eastAsia="Times New Roman" w:hAnsi="Times New Roman"/>
          <w:sz w:val="18"/>
          <w:szCs w:val="18"/>
          <w:color w:val="auto"/>
        </w:rPr>
        <w:t>Some of the world’s largest enterprises, government organizations, and high-profile brands trust us to protect their business. As of January 31, 2025, we are trusted by more than 74,000 organizations, including our end customers and those of our Managed Security Service Providers (“MSSP”), worldwide.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FileVantage, and we intend to continue to develop new cloud modules based on our customer’s feedback. Our business is not dependent on any particular end customer.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19"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Our sales and marketing organizations work together closely to drive market awareness, build a strong sales pipeline and cultivate customer relationships to drive revenue growth.</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19"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We primarily sell subscriptions to our Falcon platform and cloud modules through our world-class, global sales team, which is comprised of field sales and inside sales professionals who are segmented by a customer’s organizational size. Our sales team also leverages a powerful go-to-market sales motion with our vast ecosystem of channel and alliances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1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cybersecurity threats, and identifying and naming adversary groups. We also engage in paid media, web marketing, industry and trade conferences (including our annual Fal.Con conference), analyst engagements, whitepaper development, demand generation via digital and web, and targeted displacement campaigns. We employ a wide range of digital programs, including search engine marketing, online and social media initiatives, and content syndication to increase traffic to our website and encourage prospective customers to sign up for a free trial of the Falcon platform. Additionally, we engage in joint marketing activities with our channel and technology alliance partners.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Partnership Ecosystem</w:t>
      </w:r>
    </w:p>
    <w:p>
      <w:pPr>
        <w:spacing w:after="0" w:line="219" w:lineRule="exact"/>
        <w:rPr>
          <w:sz w:val="20"/>
          <w:szCs w:val="20"/>
          <w:color w:val="auto"/>
        </w:rPr>
      </w:pPr>
    </w:p>
    <w:p>
      <w:pPr>
        <w:ind w:right="180" w:firstLine="318"/>
        <w:spacing w:after="0" w:line="250" w:lineRule="auto"/>
        <w:rPr>
          <w:sz w:val="20"/>
          <w:szCs w:val="20"/>
          <w:color w:val="auto"/>
        </w:rPr>
      </w:pPr>
      <w:r>
        <w:rPr>
          <w:rFonts w:ascii="Times New Roman" w:cs="Times New Roman" w:eastAsia="Times New Roman" w:hAnsi="Times New Roman"/>
          <w:sz w:val="18"/>
          <w:szCs w:val="18"/>
          <w:color w:val="auto"/>
        </w:rPr>
        <w:t>We operate a partner-first go-to-market strategy to land new logos and expand in existing accounts. We partner with a diverse set of partners. We work with a wide array of go-to-market partners in our technology alliance partners to design go-to-market strategies that combine our platform with products 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We launched the CrowdStrike Store, the first open cloud-based application PaaS for cybersecurity and the industry’s first unified security cloud ecosystem of trusted third-party applications. In addition, Falcon for AWS, available in the AWS Marketplace, allows customers to easily purchase and take advantage of the metered billing (pay-as-you-go) pricing option to scale their consumption as their business needs change.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9"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Our research and development organizations are responsible for the design, architecture, operation and quality of our cloud native Falcon platform. In addition, the research and development organizations work closely with our customer success teams to promote customer satisfaction.</w:t>
      </w:r>
    </w:p>
    <w:p>
      <w:pPr>
        <w:spacing w:after="0" w:line="16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 on emerging security issues. We invest substantial resources in research and development to enhance our Falcon platform, and develop new cloud modules, features and functionality. We believe timely development of new, and enhancement of our existing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Our research and development leadership team is located in Seattle, Washington and Sunnyvale, California. We also maintain research and development centers in Irvine, California, Minneapolis, Minnesota, Bucharest, Romania, Israel and India. We employ subject matter experts in a number of jurisdictions around the world. We plan to continue to dedicate significant resources to research and development.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9"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We primarily compete with established and emerging security product vendors. While the market for traditional endpoint and IT operations solutions has historically been intensely competitive, we believe that the architecture of our cloud-native, single agent platform fundamentally differentiates us compared to both next-gen and legacy competitors in the security industry. Additionally, as we look to enter into adjacent markets and expand our total addressable market, we may face new competitors. However, we do not believe any of our competitors currently have a true platform offering equivalent to the Falcon platform, which can be leveraged to win in legacy markets and define new categories.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competitors currently include the following by general category:</w:t>
      </w:r>
    </w:p>
    <w:p>
      <w:pPr>
        <w:spacing w:after="0" w:line="217" w:lineRule="exact"/>
        <w:rPr>
          <w:sz w:val="20"/>
          <w:szCs w:val="20"/>
          <w:color w:val="auto"/>
        </w:rPr>
      </w:pPr>
    </w:p>
    <w:p>
      <w:pPr>
        <w:ind w:left="960" w:hanging="318"/>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antivirus product providers who offer a broad range of approaches and solutions including traditional signature-based antivirus protection;</w:t>
      </w:r>
    </w:p>
    <w:p>
      <w:pPr>
        <w:spacing w:after="0" w:line="228" w:lineRule="exact"/>
        <w:rPr>
          <w:rFonts w:ascii="Times New Roman" w:cs="Times New Roman" w:eastAsia="Times New Roman" w:hAnsi="Times New Roman"/>
          <w:sz w:val="17"/>
          <w:szCs w:val="17"/>
          <w:color w:val="auto"/>
        </w:rPr>
      </w:pPr>
    </w:p>
    <w:p>
      <w:pPr>
        <w:ind w:left="960" w:right="40" w:hanging="31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endpoint security providers who generally offer a mix of on-premises and cloud-hosted products that rely heavily on malware-only or application whitelisting techniques;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vendors who are supplementing their core perimeter-based offerings with endpoint or cloud security solutions;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 vendors, including those who focus on public cloud infrastructure and services;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security vendors that seek to identify and secure user accounts and related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providers who offer cybersecurity response services;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SIEM vendors who offer a range of log management and security capabilities.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 but not limited to our:</w:t>
      </w:r>
    </w:p>
    <w:p>
      <w:pPr>
        <w:spacing w:after="0" w:line="217" w:lineRule="exact"/>
        <w:rPr>
          <w:sz w:val="20"/>
          <w:szCs w:val="20"/>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offer a unified and modular platform that enables rapid innovation, scaling, and deployment;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security threats and prevent security breaches;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other participants in the security ecosystem;</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value, price, and total cost of ownership;</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reputation, and trust in the provider’s services;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channel partner relationships;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incident response, and proactive services;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rapidly ingest and search both first and third-party data.</w:t>
      </w:r>
    </w:p>
    <w:p>
      <w:pPr>
        <w:spacing w:after="0" w:line="217"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and workload security solutions.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9"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185"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We continue to grow our global portfolio of intellectual property rights in connection with our products, services, research and development, and other activities to protect our proprietary technology relevant to our business. We file patent applications to protect our intellectual property and believe that the duration of our issued patents is sufficient when considering the expected lives of our products. We intend to continue pursuing additional intellectual property protection to the extent we believe it would be beneficial and cost-effective. Despite our efforts to protect our intellectual property rights, they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Intellectual Property, Legal, and Regulatory Matters—The success of our business depends in part on our ability to protect and enforce our intellectual property rights.”</w:t>
      </w:r>
    </w:p>
    <w:p>
      <w:pPr>
        <w:spacing w:after="0" w:line="1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19"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We enter into both single and multi-year subscription contracts for our solutions. We generally invoice our subscription customers at the beginning of the subscription term, or in some instances, such as in multi-year arrangements, in installments. Until we have the contractual right to invoice, these contract amounts are classified as backlog. They are not recorded in deferred revenue or elsewhere in our consolidated financial statements. As of January 31, 2025, we had backlog of approximately $2.8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19"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January 31, 2025, we had 10,118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Attraction, Retention, and Talent Development</w:t>
      </w:r>
    </w:p>
    <w:p>
      <w:pPr>
        <w:spacing w:after="0" w:line="219" w:lineRule="exact"/>
        <w:rPr>
          <w:sz w:val="20"/>
          <w:szCs w:val="20"/>
          <w:color w:val="auto"/>
        </w:rPr>
      </w:pPr>
    </w:p>
    <w:p>
      <w:pPr>
        <w:ind w:right="300" w:firstLine="318"/>
        <w:spacing w:after="0" w:line="259" w:lineRule="auto"/>
        <w:rPr>
          <w:sz w:val="20"/>
          <w:szCs w:val="20"/>
          <w:color w:val="auto"/>
        </w:rPr>
      </w:pPr>
      <w:r>
        <w:rPr>
          <w:rFonts w:ascii="Times New Roman" w:cs="Times New Roman" w:eastAsia="Times New Roman" w:hAnsi="Times New Roman"/>
          <w:sz w:val="18"/>
          <w:szCs w:val="18"/>
          <w:color w:val="auto"/>
        </w:rPr>
        <w:t>Supporting our people is a foundational value for CrowdStrike. We believe the company’s success depends on our ability to attract, retain and develop employees. The skills, experience and industry knowledge of key employees significantly benefit our customers, operations and our overall company performance.</w:t>
      </w:r>
    </w:p>
    <w:p>
      <w:pPr>
        <w:spacing w:after="0" w:line="178"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Our talent sourcing is aligned to our organizational strategy to provide the expertise and skills needed to move our mission forward. We have created a high-performance talent model that pinpoints the top traits and qualities we look for in talent and that may already exist within the organization, then consistently use that model to develop interview questions, screen candidates, and make hiring decisions.</w:t>
      </w:r>
    </w:p>
    <w:p>
      <w:pPr>
        <w:spacing w:after="0" w:line="178"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CrowdStrike has always been a mission-focused organization. We hire and develop people based on their merits and alignment to our mission of stopping breaches. Our work requires us to consider problems from all angles. We believe that an open, collaborative environment strengthens our ability to build strong teams, serve our customers and drive innovation.</w:t>
      </w:r>
    </w:p>
    <w:p>
      <w:pPr>
        <w:spacing w:after="0" w:line="178"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To attract high performers, we have a team dedicated to building and promoting our employer brand focused on creating a strong employer value proposition, which includes:</w:t>
      </w:r>
    </w:p>
    <w:p>
      <w:pPr>
        <w:spacing w:after="0" w:line="163" w:lineRule="exact"/>
        <w:rPr>
          <w:sz w:val="20"/>
          <w:szCs w:val="20"/>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pay and benefits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working arrangements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Role and task diversity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development opportunities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reputation and culture</w:t>
      </w:r>
    </w:p>
    <w:p>
      <w:pPr>
        <w:spacing w:after="0" w:line="217"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We provide robust compensation and benefits programs to help meet the needs of our employees. In addition to base salary, these programs (which vary by country/region) include annual bonuses or commission plans, equity awards, an employee stock purchase plan, a 401(k) plan or pension schemes internationally, healthcare and insurance benefits, health savings and flexible spending accounts, paid time off, family leave, family care resources, flexible work schedules, adoption and infertility assistance, and employee assistance programs.</w:t>
      </w:r>
    </w:p>
    <w:p>
      <w:pPr>
        <w:spacing w:after="0" w:line="180" w:lineRule="exact"/>
        <w:rPr>
          <w:sz w:val="20"/>
          <w:szCs w:val="20"/>
          <w:color w:val="auto"/>
        </w:rPr>
      </w:pPr>
    </w:p>
    <w:p>
      <w:pPr>
        <w:jc w:val="both"/>
        <w:ind w:right="420" w:firstLine="318"/>
        <w:spacing w:after="0" w:line="259" w:lineRule="auto"/>
        <w:rPr>
          <w:sz w:val="20"/>
          <w:szCs w:val="20"/>
          <w:color w:val="auto"/>
        </w:rPr>
      </w:pPr>
      <w:r>
        <w:rPr>
          <w:rFonts w:ascii="Times New Roman" w:cs="Times New Roman" w:eastAsia="Times New Roman" w:hAnsi="Times New Roman"/>
          <w:sz w:val="18"/>
          <w:szCs w:val="18"/>
          <w:color w:val="auto"/>
        </w:rPr>
        <w:t>We invest resources to develop the talent needed to remain a leader in cybersecurity. We deliver numerous training opportunities, provide rotational assignment opportunities, have expanded our focus on continuous learning and development, and ensure we manage performance, provide feedback, and develop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Distributed Workforce</w:t>
      </w:r>
    </w:p>
    <w:p>
      <w:pPr>
        <w:spacing w:after="0" w:line="219"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For CrowdStrike, the ability to work remotely or in a hybrid arrangement is a deliberate strategy that we believe fuels rapid innovation and helps us attract, hire and retain the best and brightest around the world, regardless of their specific location. Our culture is purpose-built around this ability, creating a competitive advantage for both the company and its customers and minimizing disruption from localized issues such as natural disasters, political events, or health emergencies.</w:t>
      </w:r>
    </w:p>
    <w:p>
      <w:pPr>
        <w:spacing w:after="0" w:line="180"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CrowdStrike has had a distributed workforce since its inception. While working remotely has its advantages, we also believe that building community and engagement happens at a faster pace when people can come together.</w:t>
      </w:r>
    </w:p>
    <w:p>
      <w:pPr>
        <w:spacing w:after="0" w:line="16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Since the beginning, we recognized that creating high-functioning, effective remote and hybrid teams would require careful planning and system design to not only establish the culture but help it grow and evolve organically. We have designed our processes, systems, and teams so that most employees can perform their jobs without needing to be physically present in the same room or even in the same time zone. Part of supporting our remote and hybrid culture also involves actively encouraging personal well-being through initiatives, including wellness programs, engagement programs (speaker series, employee resource groups, gift exchanges, mentorship opportunities, virtual events, etc.), community outreach activities, recognition programs, and groups to connect people, no matter where they are geographically, with similar interests, life circumstances or backgrounds. We continue to find ways to bring our employees together to build community and camaraderie.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and Core Values</w:t>
      </w:r>
    </w:p>
    <w:p>
      <w:pPr>
        <w:spacing w:after="0" w:line="219"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At CrowdStrike, we embrace the mantra of “One Team. One Fight.” Our global team is passionate about working together toward our mission to stop breaches, knowing they will be fully included, supported and valued along the way. We are Fanatical About the Customer, Relentlessly Focused on Innovation and believe that our Limitless Passion drives Unlimited Potential for every CrowdStriker. Our Core Values sum up our culture. We provide the support and resources needed to enable people to do their best work.</w:t>
      </w:r>
    </w:p>
    <w:p>
      <w:pPr>
        <w:spacing w:after="0" w:line="17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current executive officers as of March 10,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8"/>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Kurtz</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2"/>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580" w:type="dxa"/>
            <w:vAlign w:val="bottom"/>
          </w:tcPr>
          <w:p>
            <w:pPr>
              <w:spacing w:after="0"/>
              <w:rPr>
                <w:sz w:val="4"/>
                <w:szCs w:val="4"/>
                <w:color w:val="auto"/>
              </w:rPr>
            </w:pPr>
          </w:p>
        </w:tc>
      </w:tr>
      <w:tr>
        <w:trPr>
          <w:trHeight w:val="22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Shawn Henry</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Security Officer</w:t>
            </w:r>
          </w:p>
        </w:tc>
      </w:tr>
      <w:tr>
        <w:trPr>
          <w:trHeight w:val="27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Sentonas</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is no family relationship between any of our directors or executive officers and any other director or executive officer.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Kurtz - President, Chief Executive Officer, and Director</w:t>
      </w:r>
    </w:p>
    <w:p>
      <w:pPr>
        <w:spacing w:after="0" w:line="219"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auto"/>
        </w:rPr>
        <w:t>Mr. Kurtz is one of our co-founders and has served as our President, Chief Executive Officer, and a member of our board of directors since November 2011. From October 2004 to October 2011, Mr. Kurtz served in executive roles at McAfee, Inc., a security technology company, including as Executive Vice President and Worldwide Chief Technology Officer from October 2009 to October 2011. In October 1999, Mr. Kurtz founded Foundstone, Inc., a security technology company, where he served as its Chief Executive Officer until it was acquired by McAfee, Inc. in October 2004. Since November 2017, he has also served as Chairman of the Board, and as President for the CrowdStrike Foundation, a nonprofit established to support the next generation of talent and research in cybersecurity and artificial intelligence through scholarships, grants, and other activities. He also served on the board of directors of Hewlett Packard Enterprise, an enterprise information technology company, from June 2019 to April 2023. Mr. Kurtz holds a B.S. in accounting from Seton Hall University. Mr. Kurtz also holds a CPA license from the State of New Jersey with an inactive status.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 W. Podbere - Chief Financial Officer</w:t>
      </w:r>
    </w:p>
    <w:p>
      <w:pPr>
        <w:spacing w:after="0" w:line="219"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Mr. Podbere has served as our Chief Financial Officer since September 2015. From May 2014 to August 2015, Mr. Podbere served as Chief Financial Officer for OpenDNS, Inc. (acquired by Cisco in 2015), a cloud-delivered network security company, where he oversaw the finance function. From October 2011 to April 2014, he served as Chief Financial Officer for Net Optics, Inc. (acquired by Ixia in 2013), a manufacturer of network monitoring and intelligent access solutions for physical and virtual networks. Since November 2017, he has also served as Treasurer and as a board member for the CrowdStrike Foundation, a nonprofit established to support the next generation of talent and research in cybersecurity and artificial intelligence through scholarships, grants, and other activities. Mr. Podbere is a Chartered Accountant and holds a B.A. from McGill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Shawn Henry - Chief Security Officer</w:t>
      </w:r>
    </w:p>
    <w:p>
      <w:pPr>
        <w:spacing w:after="0" w:line="219"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Mr. Henry has served as our Chief Security Officer since March 2012. From March 2012 to October 2022, Mr. Henry also served as President of CrowdStrike Services. Mr. Henry previously worked for the FBI from 1987 through March 2012, including most recently as Executive Assistant Director of the FBI’s Criminal, Cyber, Response and Services Branch. Since June 2016, Mr. Henry has served as a faculty member specializing in cybersecurity for the National Association of Corporate Directors, an organization providing training and education for private and public company directors. Mr. Henry previously served as a cybersecurity and national security analyst for NBC News. Since November 2021, Mr. Henry has served as a director of ShoulderUp Technology Acquisition Corp., a blank check company that completed its initial public offering in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November 2021. Mr. Henry also serves on the board of directors of CLEAR, a technology identity company, and served on the board of Global Cyber Alliance, a nonprofit organization dedicated to reducing cyber risk, from 2015 to December 2024. Additionally, Mr. Henry serves on the advisory boards of several organizations. Mr. Henry holds a B.B.A. from Hofstra University and an M.S. in criminal justice from Virginia Commonwealth University.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Sentonas - President</w:t>
      </w:r>
    </w:p>
    <w:p>
      <w:pPr>
        <w:spacing w:after="0" w:line="219"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Mr. Sentonas has served as our President since March 2023. Prior to being appointed President, Mr. Sentonas served as our Chief Technology Officer since February 2020, and as our Vice President, Technology Strategy from May 2016 to February 2020. Immediately prior to joining us, Mr. Sentonas served at McAfee Corp. from March 2004 to April 2016 in various positions, and finally as Chief Technology Officer – Security Connected from November 2013 to April 2016. Mr. Sentonas is a board member of the CrowdStrike Foundation, a nonprofit established to support the next generation of talent and research in cybersecurity and artificial intelligence through scholarships, grants, and other activities, and a member of the Forbes Technology Counsel, an organization for senior technology executives. He is an active public speaker on security issues and advises government and business communities on global and local cyber security threats. Mr. Sentonas holds a B.S. in computer science from Edith Cowan University, Western Australia.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19" w:lineRule="exact"/>
        <w:rPr>
          <w:sz w:val="20"/>
          <w:szCs w:val="20"/>
          <w:color w:val="auto"/>
        </w:rPr>
      </w:pPr>
    </w:p>
    <w:p>
      <w:pPr>
        <w:ind w:right="160" w:firstLine="318"/>
        <w:spacing w:after="0" w:line="282" w:lineRule="auto"/>
        <w:rPr>
          <w:sz w:val="20"/>
          <w:szCs w:val="20"/>
          <w:color w:val="auto"/>
        </w:rPr>
      </w:pPr>
      <w:r>
        <w:rPr>
          <w:rFonts w:ascii="Times New Roman" w:cs="Times New Roman" w:eastAsia="Times New Roman" w:hAnsi="Times New Roman"/>
          <w:sz w:val="17"/>
          <w:szCs w:val="17"/>
          <w:color w:val="auto"/>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Annual Report on Form 10-K.</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9"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these reports are filed with the SEC pursuant to Sections 13(a) and 15(d) of the Exchange Act. Such reports and other information filed or furnished by us with the SEC are available free of charge on our website at https://ir.crowdstrike.com/financial-information/sec-filings, as soon as reasonably practicable after we file such material with, or furnish it to, the SEC. The SEC maintains a website that contains the materials we file with or furnish to the SEC at www.sec.gov.</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as well as the other information in this Annual Report on Form 10-K,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or “common stock,” could decline, and you could lose all or part of your investment.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9"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Annual Report on Form 10-K, as well as the other information in this Annual Report on Form 10-K and the other filings that we make with the SEC.</w:t>
      </w:r>
    </w:p>
    <w:p>
      <w:pPr>
        <w:spacing w:after="0" w:line="180" w:lineRule="exact"/>
        <w:rPr>
          <w:sz w:val="20"/>
          <w:szCs w:val="20"/>
          <w:color w:val="auto"/>
        </w:rPr>
      </w:pPr>
    </w:p>
    <w:p>
      <w:pPr>
        <w:ind w:left="960" w:right="48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19 Incident has had, and is expected to continue to have, an adverse effect on our business, sales, customer and partner relations, reputation, results of operations and financial condition.</w:t>
      </w:r>
    </w:p>
    <w:p>
      <w:pPr>
        <w:spacing w:after="0" w:line="163"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if we do not manage our future growth, our business and results of operations will be adversely affected.</w:t>
      </w:r>
    </w:p>
    <w:p>
      <w:pPr>
        <w:spacing w:after="0" w:line="163" w:lineRule="exact"/>
        <w:rPr>
          <w:rFonts w:ascii="Times New Roman" w:cs="Times New Roman" w:eastAsia="Times New Roman" w:hAnsi="Times New Roman"/>
          <w:sz w:val="18"/>
          <w:szCs w:val="18"/>
          <w:color w:val="auto"/>
        </w:rPr>
      </w:pPr>
    </w:p>
    <w:p>
      <w:pPr>
        <w:ind w:left="960" w:right="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while we have achieved profitability in certain periods, including fiscal 2024, we may not be able to achieve or sustain profitability in the future.</w:t>
      </w:r>
    </w:p>
    <w:p>
      <w:pPr>
        <w:spacing w:after="0" w:line="163" w:lineRule="exact"/>
        <w:rPr>
          <w:rFonts w:ascii="Times New Roman" w:cs="Times New Roman" w:eastAsia="Times New Roman" w:hAnsi="Times New Roman"/>
          <w:sz w:val="18"/>
          <w:szCs w:val="18"/>
          <w:color w:val="auto"/>
        </w:rPr>
      </w:pPr>
    </w:p>
    <w:p>
      <w:pPr>
        <w:ind w:left="960" w:right="12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organizations do not adopt cloud-based SaaS-delivered endpoint security solutions, our ability to grow our business and results of operations may be adversely affected.</w:t>
      </w:r>
    </w:p>
    <w:p>
      <w:pPr>
        <w:spacing w:after="0" w:line="163" w:lineRule="exact"/>
        <w:rPr>
          <w:rFonts w:ascii="Times New Roman" w:cs="Times New Roman" w:eastAsia="Times New Roman" w:hAnsi="Times New Roman"/>
          <w:sz w:val="18"/>
          <w:szCs w:val="18"/>
          <w:color w:val="auto"/>
        </w:rPr>
      </w:pPr>
    </w:p>
    <w:p>
      <w:pPr>
        <w:ind w:left="960" w:right="320" w:hanging="318"/>
        <w:spacing w:after="0" w:line="304" w:lineRule="auto"/>
        <w:tabs>
          <w:tab w:leader="none" w:pos="9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40"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future results of operations could be harmed.</w:t>
      </w:r>
    </w:p>
    <w:p>
      <w:pPr>
        <w:spacing w:after="0" w:line="21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renew their subscriptions for our products and add additional cloud modules to their subscriptions, our future results of operations could be harmed.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and our sales efforts require considerable time and expense.</w:t>
      </w:r>
    </w:p>
    <w:p>
      <w:pPr>
        <w:spacing w:after="0" w:line="217" w:lineRule="exact"/>
        <w:rPr>
          <w:rFonts w:ascii="Times New Roman" w:cs="Times New Roman" w:eastAsia="Times New Roman" w:hAnsi="Times New Roman"/>
          <w:sz w:val="18"/>
          <w:szCs w:val="18"/>
          <w:color w:val="auto"/>
        </w:rPr>
      </w:pPr>
    </w:p>
    <w:p>
      <w:pPr>
        <w:ind w:left="960" w:right="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pacing w:after="0" w:line="163"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63"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right="8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key technical, sales and management personnel to grow our business, and the loss of one or more key employees could harm our business.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personnel, our business could be harmed.</w:t>
      </w:r>
    </w:p>
    <w:p>
      <w:pPr>
        <w:spacing w:after="0" w:line="217" w:lineRule="exact"/>
        <w:rPr>
          <w:rFonts w:ascii="Times New Roman" w:cs="Times New Roman" w:eastAsia="Times New Roman" w:hAnsi="Times New Roman"/>
          <w:sz w:val="18"/>
          <w:szCs w:val="18"/>
          <w:color w:val="auto"/>
        </w:rPr>
      </w:pPr>
    </w:p>
    <w:p>
      <w:pPr>
        <w:ind w:left="960" w:right="48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which could make our future results difficult to predict and could cause our results of operations to fall below expectations.</w:t>
      </w:r>
    </w:p>
    <w:p>
      <w:pPr>
        <w:spacing w:after="0" w:line="163" w:lineRule="exact"/>
        <w:rPr>
          <w:rFonts w:ascii="Times New Roman" w:cs="Times New Roman" w:eastAsia="Times New Roman" w:hAnsi="Times New Roman"/>
          <w:sz w:val="18"/>
          <w:szCs w:val="18"/>
          <w:color w:val="auto"/>
        </w:rPr>
      </w:pPr>
    </w:p>
    <w:p>
      <w:pPr>
        <w:ind w:left="960" w:right="62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CrowdStrike and Falcon brands and our reputation as a provider of high-efficacy security solutions, our business and results of operations may be adversely affected.</w:t>
      </w:r>
    </w:p>
    <w:p>
      <w:pPr>
        <w:spacing w:after="0" w:line="163" w:lineRule="exact"/>
        <w:rPr>
          <w:rFonts w:ascii="Times New Roman" w:cs="Times New Roman" w:eastAsia="Times New Roman" w:hAnsi="Times New Roman"/>
          <w:sz w:val="18"/>
          <w:szCs w:val="18"/>
          <w:color w:val="auto"/>
        </w:rPr>
      </w:pPr>
    </w:p>
    <w:p>
      <w:pPr>
        <w:ind w:left="960" w:right="82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63" w:lineRule="exact"/>
        <w:rPr>
          <w:rFonts w:ascii="Times New Roman" w:cs="Times New Roman" w:eastAsia="Times New Roman" w:hAnsi="Times New Roman"/>
          <w:sz w:val="18"/>
          <w:szCs w:val="18"/>
          <w:color w:val="auto"/>
        </w:rPr>
      </w:pPr>
    </w:p>
    <w:p>
      <w:pPr>
        <w:ind w:left="960" w:right="320" w:hanging="318"/>
        <w:spacing w:after="0" w:line="259"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7" w:lineRule="exact"/>
        <w:rPr>
          <w:rFonts w:ascii="Times New Roman" w:cs="Times New Roman" w:eastAsia="Times New Roman" w:hAnsi="Times New Roman"/>
          <w:sz w:val="18"/>
          <w:szCs w:val="18"/>
          <w:color w:val="auto"/>
        </w:rPr>
      </w:pPr>
    </w:p>
    <w:p>
      <w:pPr>
        <w:ind w:left="960" w:right="340" w:hanging="318"/>
        <w:spacing w:after="0" w:line="274"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in the future become, involved in litigation that may adversely affect us.</w:t>
      </w:r>
    </w:p>
    <w:p>
      <w:pPr>
        <w:spacing w:after="0" w:line="217" w:lineRule="exact"/>
        <w:rPr>
          <w:rFonts w:ascii="Times New Roman" w:cs="Times New Roman" w:eastAsia="Times New Roman" w:hAnsi="Times New Roman"/>
          <w:sz w:val="18"/>
          <w:szCs w:val="18"/>
          <w:color w:val="auto"/>
        </w:rPr>
      </w:pPr>
    </w:p>
    <w:p>
      <w:pPr>
        <w:ind w:left="960" w:right="160" w:hanging="318"/>
        <w:spacing w:after="0" w:line="259"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7" w:lineRule="exact"/>
        <w:rPr>
          <w:rFonts w:ascii="Times New Roman" w:cs="Times New Roman" w:eastAsia="Times New Roman" w:hAnsi="Times New Roman"/>
          <w:sz w:val="18"/>
          <w:szCs w:val="18"/>
          <w:color w:val="auto"/>
        </w:rPr>
      </w:pPr>
    </w:p>
    <w:p>
      <w:pPr>
        <w:jc w:val="both"/>
        <w:ind w:left="960" w:right="540" w:hanging="318"/>
        <w:spacing w:after="0" w:line="259"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5"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July 19 Incident has had, and is expected to continue to have, an adverse effect on our business, sales, customer and partner relations, reputation, results of operations and financial condition.</w:t>
      </w:r>
    </w:p>
    <w:p>
      <w:pPr>
        <w:spacing w:after="0" w:line="16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On July 19, 2024, we released a content configuration update for our Falcon sensor that resulted in system crashes for certain Windows systems (the “July 19 Incident”). We have incurred, and expect to continue to incur, significant costs and expenses related to the incident, including in connection with remediation efforts, customer and partner relations, measures taken to address the damage to our reputation, and other measures taken in response to the incident. Our management and other personnel have devoted, and may continue to devote, significant time and resources to address the impacts of the July 19 Incident. We also have hired, and in the future may hire, additional personnel to assist with our ongoing efforts. Any real or perceived failure, by us or the third-party service providers we engage, to remediate and respond to the July 19 Incident could adversely impact our business.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spacing w:after="0" w:line="190"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The July 19 Incident has harmed, and is expected to continue to harm, our business, sales, customer and partner relations, and our reputation. As a result of the incident, certain of our existing or prospective customers have elected to, and may in the future elect to, defer purchasing decisions relating to our products and services or not purchase our products and services at all. Customers have also decided, and may in the future decide, to terminate or not renew their agreements with us.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incident, and may continue to do so. Furthermore, we have agreed to, and expect to agree to in the future, provide incentives in connection with our commercial arrangements with our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customers, including subscription period extensions, discounts or promotional modules. The July 19 Incident has received negative media coverage and harmed our reputation and brand. If we are unable to regain the trust of our current and prospective customers and partners, or if negative media coverage and publicity continues, our reputation and brand may suffer further, exacerbating the effects discussed herein. These factors may result in harm to our business, results of operations and financial condition.</w:t>
      </w:r>
    </w:p>
    <w:p>
      <w:pPr>
        <w:spacing w:after="0" w:line="18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are party to a number of legal proceedings relating to the July 19 Incident, such as lawsuits filed by or on behalf of third parties, including securities litigation brought on behalf of certain purchasers of our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spacing w:after="0" w:line="191"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8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60"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We have experienced rapid revenue growth in recent periods and we expect to continue to invest broadly across our organization to support our growth. For example, our headcount grew from 7,273 employees as of January 31, 2023, to 10,118 employees as of January 31, 2025.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85" w:lineRule="exact"/>
        <w:rPr>
          <w:sz w:val="20"/>
          <w:szCs w:val="20"/>
          <w:color w:val="auto"/>
        </w:rPr>
      </w:pPr>
    </w:p>
    <w:p>
      <w:pPr>
        <w:ind w:left="960" w:right="3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attract, integrate, and retain a large number of new employees, particularly members of our sales and marketing and research and development teams;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our Falcon platform, including our cloud modules, and IT infrastructure, including expanding and optimizing our data centers, to support our business needs;</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financial, management, and compliance systems and controls.</w:t>
      </w:r>
    </w:p>
    <w:p>
      <w:pPr>
        <w:spacing w:after="0" w:line="217" w:lineRule="exact"/>
        <w:rPr>
          <w:sz w:val="20"/>
          <w:szCs w:val="20"/>
          <w:color w:val="auto"/>
        </w:rPr>
      </w:pPr>
    </w:p>
    <w:p>
      <w:pPr>
        <w:jc w:val="both"/>
        <w:ind w:right="160" w:firstLine="318"/>
        <w:spacing w:after="0" w:line="255" w:lineRule="auto"/>
        <w:rPr>
          <w:sz w:val="20"/>
          <w:szCs w:val="20"/>
          <w:color w:val="auto"/>
        </w:rPr>
      </w:pPr>
      <w:r>
        <w:rPr>
          <w:rFonts w:ascii="Times New Roman" w:cs="Times New Roman" w:eastAsia="Times New Roman" w:hAnsi="Times New Roman"/>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while we have achieved profitability in certain periods, we may not be able to achieve or sustain profitability in the future.</w:t>
      </w:r>
    </w:p>
    <w:p>
      <w:pPr>
        <w:spacing w:after="0" w:line="233"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7"/>
          <w:szCs w:val="17"/>
          <w:color w:val="auto"/>
        </w:rPr>
        <w:t>We have incurred net losses each year prior to fiscal 2024, and we may not achieve or maintain profitability in the future. We experienced net losses of $19.3 million and $183.2 million for fiscal 2025 and 2023, respectively, and net income of $89.3 million for fiscal 2024. As of January 31, 2025, we had an accumulated deficit of $1.1 billion. While we have experienced significant growth in revenue in recent periods, and have achieved profitability during certain periods, including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7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6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8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60"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8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those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results of operations could be harmed.</w:t>
      </w:r>
    </w:p>
    <w:p>
      <w:pPr>
        <w:spacing w:after="0" w:line="221"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90" w:lineRule="exact"/>
        <w:rPr>
          <w:sz w:val="20"/>
          <w:szCs w:val="20"/>
          <w:color w:val="auto"/>
        </w:rPr>
      </w:pPr>
    </w:p>
    <w:p>
      <w:pPr>
        <w:ind w:right="7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60"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to three years,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renewals and expansion may decline or fluctuate as a result of a number of factors, including our customers’ satisfaction with our products and services, our customers’ ability to fully utilize their product subscriptions,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including the impact of our customer commitment packages, and general economic and geopolitical conditions. Any such impacts on customer renewals may be associated with a variety of different factors, including customers electing to renew with shorter subscription periods, fewer cloud modules, fewer endpoints or smaller contract values. If our efforts to maintain and expand our relationships with our existing customers are not successful, our business, results of operations, and financial condition may materially suffer.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w:t>
      </w:r>
    </w:p>
    <w:p>
      <w:pPr>
        <w:spacing w:after="0" w:line="221"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expect to continue to experience, longer sales cycles in connection with the July 19 Incident. We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may also experience longer sales cycles as customers seek to consolidate on our Falcon platform and negotiate larger deals, including in connection with our flexible subscription offering.</w:t>
      </w:r>
    </w:p>
    <w:p>
      <w:pPr>
        <w:spacing w:after="0" w:line="163"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8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60"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85" w:lineRule="exact"/>
        <w:rPr>
          <w:sz w:val="20"/>
          <w:szCs w:val="20"/>
          <w:color w:val="auto"/>
        </w:rPr>
      </w:pPr>
    </w:p>
    <w:p>
      <w:pPr>
        <w:ind w:left="960" w:right="2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capabilities, including performance and reliability, of our Falcon platform, including our cloud modules, services, and features compared to those of our competitors;</w:t>
      </w:r>
    </w:p>
    <w:p>
      <w:pPr>
        <w:spacing w:after="0" w:line="163" w:lineRule="exact"/>
        <w:rPr>
          <w:rFonts w:ascii="Times New Roman" w:cs="Times New Roman" w:eastAsia="Times New Roman" w:hAnsi="Times New Roman"/>
          <w:sz w:val="18"/>
          <w:szCs w:val="18"/>
          <w:color w:val="auto"/>
        </w:rPr>
      </w:pPr>
    </w:p>
    <w:p>
      <w:pPr>
        <w:ind w:left="960" w:right="24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improve existing products, services, and features, or to develop new ones to address evolving customer needs;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channel partners and direct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reputation and brand, including the impact to our reputation and brand as a result of the July 19 Incident;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competitors include the following by general category:</w:t>
      </w:r>
    </w:p>
    <w:p>
      <w:pPr>
        <w:spacing w:after="0" w:line="217" w:lineRule="exact"/>
        <w:rPr>
          <w:sz w:val="20"/>
          <w:szCs w:val="20"/>
          <w:color w:val="auto"/>
        </w:rPr>
      </w:pPr>
    </w:p>
    <w:p>
      <w:pPr>
        <w:ind w:left="960" w:right="74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antivirus product providers who offer a broad range of approaches and solutions including traditional signature-based anti-virus protection;</w:t>
      </w:r>
    </w:p>
    <w:p>
      <w:pPr>
        <w:spacing w:after="0" w:line="163" w:lineRule="exact"/>
        <w:rPr>
          <w:rFonts w:ascii="Times New Roman" w:cs="Times New Roman" w:eastAsia="Times New Roman" w:hAnsi="Times New Roman"/>
          <w:sz w:val="18"/>
          <w:szCs w:val="18"/>
          <w:color w:val="auto"/>
        </w:rPr>
      </w:pPr>
    </w:p>
    <w:p>
      <w:pPr>
        <w:ind w:left="960" w:right="10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endpoint security providers who generally offer a mix of on-premise and cloud-hosted products that rely heavily on malware-only or application whitelisting techniques;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vendors who are supplementing their core perimeter-based offerings with endpoint or cloud security solutions;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 vendors, including those who focus on public cloud infrastructure and services;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security vendors that seek to identify and secure user accounts and related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providers who offer cybersecurity response services;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SIEM vendors who offer a range of log management and security capabilities.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 may reduce our gross profits and adversely affect our financial results.</w:t>
      </w:r>
    </w:p>
    <w:p>
      <w:pPr>
        <w:spacing w:after="0" w:line="221" w:lineRule="exact"/>
        <w:rPr>
          <w:sz w:val="20"/>
          <w:szCs w:val="20"/>
          <w:color w:val="auto"/>
        </w:rPr>
      </w:pPr>
    </w:p>
    <w:p>
      <w:pPr>
        <w:ind w:right="120" w:firstLine="318"/>
        <w:spacing w:after="0" w:line="271" w:lineRule="auto"/>
        <w:rPr>
          <w:sz w:val="20"/>
          <w:szCs w:val="20"/>
          <w:color w:val="auto"/>
        </w:rPr>
      </w:pPr>
      <w:r>
        <w:rPr>
          <w:rFonts w:ascii="Times New Roman" w:cs="Times New Roman" w:eastAsia="Times New Roman" w:hAnsi="Times New Roman"/>
          <w:sz w:val="17"/>
          <w:szCs w:val="17"/>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6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60"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In addition, we identified a transport layer security issue that impacted certain Falcon Linux sensors, which led us to release a security fix and publish a security advisory to remediate the matter in February 2025.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until after some of our customers are affected. Additionally, our Falcon platform may falsely indicate a cyberattack or threat that does not actually exist, which may lessen customers’ trust in our solutions.</w:t>
      </w:r>
    </w:p>
    <w:p>
      <w:pPr>
        <w:spacing w:after="0" w:line="16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90"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7"/>
          <w:szCs w:val="17"/>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75" w:lineRule="exact"/>
        <w:rPr>
          <w:sz w:val="20"/>
          <w:szCs w:val="20"/>
          <w:color w:val="auto"/>
        </w:rPr>
      </w:pPr>
    </w:p>
    <w:p>
      <w:pPr>
        <w:ind w:right="34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37"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7"/>
          <w:szCs w:val="17"/>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 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8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8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4"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factors, many of which are beyond our control, can affect the delivery, availability, and the performance of our Falcon platform:</w:t>
      </w:r>
    </w:p>
    <w:p>
      <w:pPr>
        <w:spacing w:after="0" w:line="217" w:lineRule="exact"/>
        <w:rPr>
          <w:sz w:val="20"/>
          <w:szCs w:val="20"/>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the infrastructure of the internet;</w:t>
      </w:r>
    </w:p>
    <w:p>
      <w:pPr>
        <w:spacing w:after="0" w:line="21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63" w:lineRule="exact"/>
        <w:rPr>
          <w:rFonts w:ascii="Times New Roman" w:cs="Times New Roman" w:eastAsia="Times New Roman" w:hAnsi="Times New Roman"/>
          <w:sz w:val="18"/>
          <w:szCs w:val="18"/>
          <w:color w:val="auto"/>
        </w:rPr>
      </w:pPr>
    </w:p>
    <w:p>
      <w:pPr>
        <w:ind w:left="960" w:right="380" w:hanging="318"/>
        <w:spacing w:after="0" w:line="259"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77" w:lineRule="exact"/>
        <w:rPr>
          <w:rFonts w:ascii="Times New Roman" w:cs="Times New Roman" w:eastAsia="Times New Roman" w:hAnsi="Times New Roman"/>
          <w:sz w:val="18"/>
          <w:szCs w:val="18"/>
          <w:color w:val="auto"/>
        </w:rPr>
      </w:pPr>
    </w:p>
    <w:p>
      <w:pPr>
        <w:ind w:left="960" w:right="100" w:hanging="31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acts of war or terrorism, human error or interference (including by disgruntled employees, former employees or contractors) and other catastrophic events;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including denial of service attacks, targeted at us, our data centers, or the infrastructure of the internet;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and update our cloud infrastructure to meet our data capacity requirements;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performance problems in our software, including third-party software incorporated in our software;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deployment or configuration of our solutions;</w:t>
      </w:r>
    </w:p>
    <w:p>
      <w:pPr>
        <w:spacing w:after="0" w:line="217" w:lineRule="exact"/>
        <w:rPr>
          <w:rFonts w:ascii="Times New Roman" w:cs="Times New Roman" w:eastAsia="Times New Roman" w:hAnsi="Times New Roman"/>
          <w:sz w:val="18"/>
          <w:szCs w:val="18"/>
          <w:color w:val="auto"/>
        </w:rPr>
      </w:pPr>
    </w:p>
    <w:p>
      <w:pPr>
        <w:ind w:left="960" w:right="20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redundancy systems, in the event of a service disruption at one of our data centers, to provide failover to other data centers in our data center network;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disaster recovery and business continuity arrangements.</w:t>
      </w:r>
    </w:p>
    <w:p>
      <w:pPr>
        <w:spacing w:after="0" w:line="217"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our key technical, sales and management personnel to grow our business, and the loss of one or more key employees could harm our business.</w:t>
      </w:r>
    </w:p>
    <w:p>
      <w:pPr>
        <w:spacing w:after="0" w:line="233"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our business could be harmed.</w:t>
      </w:r>
    </w:p>
    <w:p>
      <w:pPr>
        <w:spacing w:after="0" w:line="221"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auto"/>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81"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6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85"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6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generally recognize revenue from customers ratably over the terms of their subscription, which is generally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In addition, subscription commencement dates may be impacted by a number of factors, some of which we may exercise varying degrees of control over, including terms negotiated with our customers and our internal review, approval and provisioning processes. As a result, the impact of new subscriptions may not be immediately reflected in our results of operations. Moreover,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spacing w:after="0" w:line="18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60"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78" w:lineRule="exact"/>
        <w:rPr>
          <w:sz w:val="20"/>
          <w:szCs w:val="20"/>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seasonal buying patterns, and purchasing practices of customers;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right="14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difficulties confronting our customers, which may impact the number of modules or endpoint deployments they are willing or able to purchase;</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 including in connection with our customer and end-user financing arrangements;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length of our sales cycles;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or channel partner requirements or market needs;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relationship with channel partners;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cloud-based SaaS-delivered endpoint security solutions market;</w:t>
      </w:r>
    </w:p>
    <w:p>
      <w:pPr>
        <w:spacing w:after="0" w:line="217" w:lineRule="exact"/>
        <w:rPr>
          <w:rFonts w:ascii="Times New Roman" w:cs="Times New Roman" w:eastAsia="Times New Roman" w:hAnsi="Times New Roman"/>
          <w:sz w:val="18"/>
          <w:szCs w:val="18"/>
          <w:color w:val="auto"/>
        </w:rPr>
      </w:pPr>
    </w:p>
    <w:p>
      <w:pPr>
        <w:ind w:left="960" w:right="42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competitive developments, including consolidation among our customers or competitors;</w:t>
      </w:r>
    </w:p>
    <w:p>
      <w:pPr>
        <w:spacing w:after="0" w:line="163" w:lineRule="exact"/>
        <w:rPr>
          <w:rFonts w:ascii="Times New Roman" w:cs="Times New Roman" w:eastAsia="Times New Roman" w:hAnsi="Times New Roman"/>
          <w:sz w:val="18"/>
          <w:szCs w:val="18"/>
          <w:color w:val="auto"/>
        </w:rPr>
      </w:pPr>
    </w:p>
    <w:p>
      <w:pPr>
        <w:ind w:left="960" w:right="38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organizations to purchase security solutions from larger, more established security vendors or from their primary IT equipment vendors;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awareness of cybersecurity threats, particularly advanced cyberattacks, and the market adoption of our Falcon platform;</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use of our Falcon platform;</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the July 19 Incident;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or publicity;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1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(including new hires), tightening of labor markets and capital expenditures related to the expansion of our business;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regulatory or other dispute-related settlement payments or outcomes;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or practices;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valuation allowances for our deferred tax assets;</w:t>
      </w:r>
    </w:p>
    <w:p>
      <w:pPr>
        <w:spacing w:after="0" w:line="217" w:lineRule="exact"/>
        <w:rPr>
          <w:rFonts w:ascii="Times New Roman" w:cs="Times New Roman" w:eastAsia="Times New Roman" w:hAnsi="Times New Roman"/>
          <w:sz w:val="18"/>
          <w:szCs w:val="18"/>
          <w:color w:val="auto"/>
        </w:rPr>
      </w:pPr>
    </w:p>
    <w:p>
      <w:pPr>
        <w:ind w:left="960" w:hanging="318"/>
        <w:spacing w:after="0" w:line="259"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or volatile conditions in the global economy and financial markets, including as a result of weak or negative gross domestic product growth, uncertainty or disruptions in the capital and credit markets, changing interest rates, inflation, bank failures or adverse conditions impacting financial institutions, and supply-chain disruptions; and</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events, geopolitical unrest or tension, acts of war and terrorism.</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common stock.</w:t>
      </w:r>
    </w:p>
    <w:p>
      <w:pPr>
        <w:spacing w:after="0" w:line="183"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CrowdStrike and Falcon brands and our reputation as a provider of high-efficacy security solutions, our business and results of operations may be adversely affected.</w:t>
      </w:r>
    </w:p>
    <w:p>
      <w:pPr>
        <w:spacing w:after="0" w:line="160" w:lineRule="exact"/>
        <w:rPr>
          <w:sz w:val="20"/>
          <w:szCs w:val="20"/>
          <w:color w:val="auto"/>
        </w:rPr>
      </w:pPr>
    </w:p>
    <w:p>
      <w:pPr>
        <w:ind w:right="380" w:firstLine="318"/>
        <w:spacing w:after="0" w:line="251" w:lineRule="auto"/>
        <w:rPr>
          <w:sz w:val="20"/>
          <w:szCs w:val="20"/>
          <w:color w:val="auto"/>
        </w:rPr>
      </w:pPr>
      <w:r>
        <w:rPr>
          <w:rFonts w:ascii="Times New Roman" w:cs="Times New Roman" w:eastAsia="Times New Roman" w:hAnsi="Times New Roman"/>
          <w:sz w:val="18"/>
          <w:szCs w:val="18"/>
          <w:color w:val="auto"/>
        </w:rPr>
        <w:t>We believe that maintaining and enhancing our CrowdStrike and Falcon brands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brands depends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85"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spacing w:after="0" w:line="179"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7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60"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We derived approximately 32%, 32%, and 30% of our total revenue from our international customers for fiscal 2025, fiscal 2024, and fiscal 2023,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5" w:lineRule="exact"/>
        <w:rPr>
          <w:sz w:val="20"/>
          <w:szCs w:val="20"/>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negotiating contracts with standard terms, enforcing contracts and managing collections, and longer collection periods;</w:t>
      </w:r>
    </w:p>
    <w:p>
      <w:pPr>
        <w:spacing w:after="0" w:line="217" w:lineRule="exact"/>
        <w:rPr>
          <w:rFonts w:ascii="Times New Roman" w:cs="Times New Roman" w:eastAsia="Times New Roman" w:hAnsi="Times New Roman"/>
          <w:sz w:val="18"/>
          <w:szCs w:val="18"/>
          <w:color w:val="auto"/>
        </w:rPr>
      </w:pPr>
    </w:p>
    <w:p>
      <w:pPr>
        <w:ind w:left="960" w:right="52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costs incurred in establishing and maintaining office space and equipment for our international operations;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17" w:lineRule="exact"/>
        <w:rPr>
          <w:rFonts w:ascii="Times New Roman" w:cs="Times New Roman" w:eastAsia="Times New Roman" w:hAnsi="Times New Roman"/>
          <w:sz w:val="18"/>
          <w:szCs w:val="18"/>
          <w:color w:val="auto"/>
        </w:rPr>
      </w:pPr>
    </w:p>
    <w:p>
      <w:pPr>
        <w:ind w:left="960" w:right="30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regulatory practices, tariffs, and tax laws and treaties;</w:t>
      </w:r>
    </w:p>
    <w:p>
      <w:pPr>
        <w:spacing w:after="0" w:line="217" w:lineRule="exact"/>
        <w:rPr>
          <w:rFonts w:ascii="Times New Roman" w:cs="Times New Roman" w:eastAsia="Times New Roman" w:hAnsi="Times New Roman"/>
          <w:sz w:val="18"/>
          <w:szCs w:val="18"/>
          <w:color w:val="auto"/>
        </w:rPr>
      </w:pPr>
    </w:p>
    <w:p>
      <w:pPr>
        <w:jc w:val="both"/>
        <w:ind w:left="960" w:right="140" w:hanging="318"/>
        <w:spacing w:after="0" w:line="259"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77"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or tax regulations that might prevent us from repatriating cash earned outside the United States;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217" w:lineRule="exact"/>
        <w:rPr>
          <w:rFonts w:ascii="Times New Roman" w:cs="Times New Roman" w:eastAsia="Times New Roman" w:hAnsi="Times New Roman"/>
          <w:sz w:val="18"/>
          <w:szCs w:val="18"/>
          <w:color w:val="auto"/>
        </w:rPr>
      </w:pPr>
    </w:p>
    <w:p>
      <w:pPr>
        <w:ind w:left="960" w:right="10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163" w:lineRule="exact"/>
        <w:rPr>
          <w:rFonts w:ascii="Times New Roman" w:cs="Times New Roman" w:eastAsia="Times New Roman" w:hAnsi="Times New Roman"/>
          <w:sz w:val="18"/>
          <w:szCs w:val="18"/>
          <w:color w:val="auto"/>
        </w:rPr>
      </w:pPr>
    </w:p>
    <w:p>
      <w:pPr>
        <w:ind w:left="960" w:right="74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63" w:lineRule="exact"/>
        <w:rPr>
          <w:rFonts w:ascii="Times New Roman" w:cs="Times New Roman" w:eastAsia="Times New Roman" w:hAnsi="Times New Roman"/>
          <w:sz w:val="18"/>
          <w:szCs w:val="18"/>
          <w:color w:val="auto"/>
        </w:rPr>
      </w:pPr>
    </w:p>
    <w:p>
      <w:pPr>
        <w:ind w:left="960" w:right="820" w:hanging="318"/>
        <w:spacing w:after="0" w:line="274"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comply with foreign privacy, data protection, and information security laws and regulations and the risks and costs of noncompliance;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identifying, attracting and retaining local qualified personnel, and the costs and expenses associated with such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identifying qualified channel partners and maintaining successful relationships with such partners;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 issues;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right="20" w:hanging="31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offices and increased travel, infrastructure, and legal compliance costs associated with multiple international locations.</w:t>
      </w:r>
    </w:p>
    <w:p>
      <w:pPr>
        <w:spacing w:after="0" w:line="163"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85" w:lineRule="exact"/>
        <w:rPr>
          <w:sz w:val="20"/>
          <w:szCs w:val="20"/>
          <w:color w:val="auto"/>
        </w:rPr>
      </w:pPr>
    </w:p>
    <w:p>
      <w:pPr>
        <w:jc w:val="both"/>
        <w:ind w:right="120" w:firstLine="318"/>
        <w:spacing w:after="0" w:line="282" w:lineRule="auto"/>
        <w:rPr>
          <w:sz w:val="20"/>
          <w:szCs w:val="20"/>
          <w:color w:val="auto"/>
        </w:rPr>
      </w:pPr>
      <w:r>
        <w:rPr>
          <w:rFonts w:ascii="Times New Roman" w:cs="Times New Roman" w:eastAsia="Times New Roman" w:hAnsi="Times New Roman"/>
          <w:sz w:val="17"/>
          <w:szCs w:val="17"/>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55"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60"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7"/>
          <w:szCs w:val="17"/>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Sales to such government entities include, but are not limited to, the following risks:</w:t>
      </w:r>
    </w:p>
    <w:p>
      <w:pPr>
        <w:spacing w:after="0" w:line="217" w:lineRule="exact"/>
        <w:rPr>
          <w:sz w:val="20"/>
          <w:szCs w:val="20"/>
          <w:color w:val="auto"/>
        </w:rPr>
      </w:pPr>
    </w:p>
    <w:p>
      <w:pPr>
        <w:ind w:left="960" w:right="60" w:hanging="31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163" w:lineRule="exact"/>
        <w:rPr>
          <w:rFonts w:ascii="Times New Roman" w:cs="Times New Roman" w:eastAsia="Times New Roman" w:hAnsi="Times New Roman"/>
          <w:sz w:val="18"/>
          <w:szCs w:val="18"/>
          <w:color w:val="auto"/>
        </w:rPr>
      </w:pPr>
    </w:p>
    <w:p>
      <w:pPr>
        <w:ind w:left="960" w:right="240" w:hanging="31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163" w:lineRule="exact"/>
        <w:rPr>
          <w:rFonts w:ascii="Times New Roman" w:cs="Times New Roman" w:eastAsia="Times New Roman" w:hAnsi="Times New Roman"/>
          <w:sz w:val="18"/>
          <w:szCs w:val="18"/>
          <w:color w:val="auto"/>
        </w:rPr>
      </w:pPr>
    </w:p>
    <w:p>
      <w:pPr>
        <w:ind w:left="960" w:right="120" w:hanging="318"/>
        <w:spacing w:after="0" w:line="252"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185" w:lineRule="exact"/>
        <w:rPr>
          <w:rFonts w:ascii="Times New Roman" w:cs="Times New Roman" w:eastAsia="Times New Roman" w:hAnsi="Times New Roman"/>
          <w:sz w:val="18"/>
          <w:szCs w:val="18"/>
          <w:color w:val="auto"/>
        </w:rPr>
      </w:pPr>
    </w:p>
    <w:p>
      <w:pPr>
        <w:ind w:left="960" w:right="300" w:hanging="31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spacing w:after="0" w:line="163" w:lineRule="exact"/>
        <w:rPr>
          <w:rFonts w:ascii="Times New Roman" w:cs="Times New Roman" w:eastAsia="Times New Roman" w:hAnsi="Times New Roman"/>
          <w:sz w:val="18"/>
          <w:szCs w:val="18"/>
          <w:color w:val="auto"/>
        </w:rPr>
      </w:pPr>
    </w:p>
    <w:p>
      <w:pPr>
        <w:ind w:left="960" w:right="20" w:hanging="318"/>
        <w:spacing w:after="0" w:line="282" w:lineRule="auto"/>
        <w:tabs>
          <w:tab w:leader="none" w:pos="9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158" w:lineRule="exact"/>
        <w:rPr>
          <w:rFonts w:ascii="Times New Roman" w:cs="Times New Roman" w:eastAsia="Times New Roman" w:hAnsi="Times New Roman"/>
          <w:sz w:val="17"/>
          <w:szCs w:val="17"/>
          <w:color w:val="auto"/>
        </w:rPr>
      </w:pPr>
    </w:p>
    <w:p>
      <w:pPr>
        <w:ind w:left="960" w:right="500" w:hanging="31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163" w:lineRule="exact"/>
        <w:rPr>
          <w:rFonts w:ascii="Times New Roman" w:cs="Times New Roman" w:eastAsia="Times New Roman" w:hAnsi="Times New Roman"/>
          <w:sz w:val="18"/>
          <w:szCs w:val="18"/>
          <w:color w:val="auto"/>
        </w:rPr>
      </w:pPr>
    </w:p>
    <w:p>
      <w:pPr>
        <w:ind w:left="960" w:right="520" w:hanging="31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right="40" w:hanging="318"/>
        <w:spacing w:after="0" w:line="259"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awarded a sale, the terms of such contracts may be unusually burdensome;</w:t>
      </w:r>
    </w:p>
    <w:p>
      <w:pPr>
        <w:spacing w:after="0" w:line="217" w:lineRule="exact"/>
        <w:rPr>
          <w:rFonts w:ascii="Times New Roman" w:cs="Times New Roman" w:eastAsia="Times New Roman" w:hAnsi="Times New Roman"/>
          <w:sz w:val="18"/>
          <w:szCs w:val="18"/>
          <w:color w:val="auto"/>
        </w:rPr>
      </w:pPr>
    </w:p>
    <w:p>
      <w:pPr>
        <w:ind w:left="960" w:right="240" w:hanging="318"/>
        <w:spacing w:after="0" w:line="259"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77"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78"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cost-effectively scale and adapt our existing technology to meet our customers’ performance and other requirements.</w:t>
      </w:r>
    </w:p>
    <w:p>
      <w:pPr>
        <w:spacing w:after="0" w:line="221"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to operate and make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98" w:lineRule="exact"/>
        <w:rPr>
          <w:sz w:val="20"/>
          <w:szCs w:val="20"/>
          <w:color w:val="auto"/>
        </w:rPr>
      </w:pPr>
    </w:p>
    <w:p>
      <w:pPr>
        <w:ind w:right="140" w:firstLine="318"/>
        <w:spacing w:after="0" w:line="248" w:lineRule="auto"/>
        <w:rPr>
          <w:sz w:val="20"/>
          <w:szCs w:val="20"/>
          <w:color w:val="auto"/>
        </w:rPr>
      </w:pPr>
      <w:r>
        <w:rPr>
          <w:rFonts w:ascii="Times New Roman" w:cs="Times New Roman" w:eastAsia="Times New Roman" w:hAnsi="Times New Roman"/>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quality of our customer support.</w:t>
      </w:r>
    </w:p>
    <w:p>
      <w:pPr>
        <w:spacing w:after="0" w:line="221"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8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6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expect that the combination of our existing cash and cash equivalents, cash flows from operations, and our revolving facility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additional debt financing, the holders of such debt would have priority over the holders of our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89"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6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8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7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experienced widespread component shortages and delivery delays, including as a result of geopolitical tensions, public health crises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risks of certain of our customers and end-users, which could adversely impact our business, financial condition or results of operations.</w:t>
      </w:r>
    </w:p>
    <w:p>
      <w:pPr>
        <w:spacing w:after="0" w:line="160" w:lineRule="exact"/>
        <w:rPr>
          <w:sz w:val="20"/>
          <w:szCs w:val="20"/>
          <w:color w:val="auto"/>
        </w:rPr>
      </w:pPr>
    </w:p>
    <w:p>
      <w:pPr>
        <w:jc w:val="both"/>
        <w:ind w:right="60" w:firstLine="318"/>
        <w:spacing w:after="0" w:line="255" w:lineRule="auto"/>
        <w:rPr>
          <w:sz w:val="20"/>
          <w:szCs w:val="20"/>
          <w:color w:val="auto"/>
        </w:rPr>
      </w:pPr>
      <w:r>
        <w:rPr>
          <w:rFonts w:ascii="Times New Roman" w:cs="Times New Roman" w:eastAsia="Times New Roman" w:hAnsi="Times New Roman"/>
          <w:sz w:val="18"/>
          <w:szCs w:val="18"/>
          <w:color w:val="auto"/>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and Regulatory Matters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part on our ability to protect and enforce our intellectual property rights.</w:t>
      </w:r>
    </w:p>
    <w:p>
      <w:pPr>
        <w:spacing w:after="0" w:line="221"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7"/>
          <w:szCs w:val="17"/>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83" w:lineRule="exact"/>
        <w:rPr>
          <w:sz w:val="20"/>
          <w:szCs w:val="20"/>
          <w:color w:val="auto"/>
        </w:rPr>
      </w:pPr>
    </w:p>
    <w:p>
      <w:pPr>
        <w:ind w:right="40" w:firstLine="318"/>
        <w:spacing w:after="0" w:line="265" w:lineRule="auto"/>
        <w:rPr>
          <w:sz w:val="20"/>
          <w:szCs w:val="20"/>
          <w:color w:val="auto"/>
        </w:rPr>
      </w:pPr>
      <w:r>
        <w:rPr>
          <w:rFonts w:ascii="Times New Roman" w:cs="Times New Roman" w:eastAsia="Times New Roman" w:hAnsi="Times New Roman"/>
          <w:sz w:val="17"/>
          <w:szCs w:val="17"/>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73"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6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90"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87"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221"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8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4"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190"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90"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announced plans and introduced legislative proposals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91"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Legal developments in the European Economic Area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87"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9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60" w:lineRule="exact"/>
        <w:rPr>
          <w:sz w:val="20"/>
          <w:szCs w:val="20"/>
          <w:color w:val="auto"/>
        </w:rPr>
      </w:pPr>
    </w:p>
    <w:p>
      <w:pPr>
        <w:ind w:right="40" w:firstLine="318"/>
        <w:spacing w:after="0" w:line="269" w:lineRule="auto"/>
        <w:rPr>
          <w:sz w:val="20"/>
          <w:szCs w:val="20"/>
          <w:color w:val="auto"/>
        </w:rPr>
      </w:pPr>
      <w:r>
        <w:rPr>
          <w:rFonts w:ascii="Times New Roman" w:cs="Times New Roman" w:eastAsia="Times New Roman" w:hAnsi="Times New Roman"/>
          <w:sz w:val="17"/>
          <w:szCs w:val="17"/>
          <w:color w:val="auto"/>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and concentration risk. Noncompliance by us, our employees, representatives, contractors, channel partners, agents, intermediaries, or other third parties with applicable regulations or requirements could subject us to:</w:t>
      </w:r>
    </w:p>
    <w:p>
      <w:pPr>
        <w:spacing w:after="0" w:line="169" w:lineRule="exact"/>
        <w:rPr>
          <w:sz w:val="20"/>
          <w:szCs w:val="20"/>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Falcon platform;</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 to do business in the jurisdictions in which we operate; 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hanging="31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17" w:lineRule="exact"/>
        <w:rPr>
          <w:sz w:val="20"/>
          <w:szCs w:val="20"/>
          <w:color w:val="auto"/>
        </w:rPr>
      </w:pPr>
    </w:p>
    <w:p>
      <w:pPr>
        <w:ind w:right="20" w:firstLine="318"/>
        <w:spacing w:after="0" w:line="282" w:lineRule="auto"/>
        <w:rPr>
          <w:sz w:val="20"/>
          <w:szCs w:val="20"/>
          <w:color w:val="auto"/>
        </w:rPr>
      </w:pPr>
      <w:r>
        <w:rPr>
          <w:rFonts w:ascii="Times New Roman" w:cs="Times New Roman" w:eastAsia="Times New Roman" w:hAnsi="Times New Roman"/>
          <w:sz w:val="17"/>
          <w:szCs w:val="17"/>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59"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78"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81" w:lineRule="exact"/>
        <w:rPr>
          <w:sz w:val="20"/>
          <w:szCs w:val="20"/>
          <w:color w:val="auto"/>
        </w:rPr>
      </w:pPr>
    </w:p>
    <w:p>
      <w:pPr>
        <w:ind w:right="28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60" w:lineRule="exact"/>
        <w:rPr>
          <w:sz w:val="20"/>
          <w:szCs w:val="20"/>
          <w:color w:val="auto"/>
        </w:rPr>
      </w:pPr>
    </w:p>
    <w:p>
      <w:pPr>
        <w:ind w:right="140" w:firstLine="318"/>
        <w:spacing w:after="0" w:line="268" w:lineRule="auto"/>
        <w:rPr>
          <w:sz w:val="20"/>
          <w:szCs w:val="20"/>
          <w:color w:val="auto"/>
        </w:rPr>
      </w:pPr>
      <w:r>
        <w:rPr>
          <w:rFonts w:ascii="Times New Roman" w:cs="Times New Roman" w:eastAsia="Times New Roman" w:hAnsi="Times New Roman"/>
          <w:sz w:val="17"/>
          <w:szCs w:val="17"/>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189"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60"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185"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181"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60"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5"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8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87" w:lineRule="exact"/>
        <w:rPr>
          <w:sz w:val="20"/>
          <w:szCs w:val="20"/>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time-consuming and costly litigation;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time and attention from developing our business;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pay monetary damages or enter into royalty and licensing agreements that we would not normally find acceptable;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delays in the deployment of our Falcon platform or service offerings to our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stop offering certain services or features of our Falcon platform;</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right="60" w:hanging="318"/>
        <w:spacing w:after="0" w:line="274"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redesign certain components of our Falcon platform using alternative non-infringing or non-open source technology, which could require significant effort and expense;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disclose our software source code and the detailed program commands for our software;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satisfy indemnification obligations to our customers.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AI, which could expose us to liability or adversely affect our business.</w:t>
      </w:r>
    </w:p>
    <w:p>
      <w:pPr>
        <w:spacing w:after="0" w:line="221"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a false or “hallucinatory” interferences or output,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spacing w:after="0" w:line="189"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Europe, the EU’s AI Act was published in the Official Journal of the EU on July 12, 2024 and entered into force on August 1, 2024.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w:t>
      </w:r>
    </w:p>
    <w:p>
      <w:pPr>
        <w:spacing w:after="0" w:line="193"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7"/>
          <w:szCs w:val="17"/>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60"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involved in litigation that may adversely affect us.</w:t>
      </w:r>
    </w:p>
    <w:p>
      <w:pPr>
        <w:spacing w:after="0" w:line="221"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77"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spacing w:after="0" w:line="185"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7"/>
          <w:szCs w:val="17"/>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87" w:lineRule="exact"/>
        <w:rPr>
          <w:sz w:val="20"/>
          <w:szCs w:val="20"/>
          <w:color w:val="auto"/>
        </w:rPr>
      </w:pPr>
    </w:p>
    <w:p>
      <w:pPr>
        <w:jc w:val="both"/>
        <w:ind w:right="320" w:firstLine="318"/>
        <w:spacing w:after="0" w:line="259" w:lineRule="auto"/>
        <w:rPr>
          <w:sz w:val="20"/>
          <w:szCs w:val="20"/>
          <w:color w:val="auto"/>
        </w:rPr>
      </w:pPr>
      <w:r>
        <w:rPr>
          <w:rFonts w:ascii="Times New Roman" w:cs="Times New Roman" w:eastAsia="Times New Roman" w:hAnsi="Times New Roman"/>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7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regardless of our operating performance, and you could lose all or part of your investment.</w:t>
      </w:r>
    </w:p>
    <w:p>
      <w:pPr>
        <w:spacing w:after="0" w:line="221"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The market price of our common stock depends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spacing w:after="0" w:line="180" w:lineRule="exact"/>
        <w:rPr>
          <w:sz w:val="20"/>
          <w:szCs w:val="20"/>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17" w:lineRule="exact"/>
        <w:rPr>
          <w:rFonts w:ascii="Times New Roman" w:cs="Times New Roman" w:eastAsia="Times New Roman" w:hAnsi="Times New Roman"/>
          <w:sz w:val="18"/>
          <w:szCs w:val="18"/>
          <w:color w:val="auto"/>
        </w:rPr>
      </w:pPr>
    </w:p>
    <w:p>
      <w:pPr>
        <w:ind w:left="960" w:right="360" w:hanging="318"/>
        <w:spacing w:after="0" w:line="274"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new or terminated significant contracts, commercial relationships or capital commitments;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17" w:lineRule="exact"/>
        <w:rPr>
          <w:rFonts w:ascii="Times New Roman" w:cs="Times New Roman" w:eastAsia="Times New Roman" w:hAnsi="Times New Roman"/>
          <w:sz w:val="18"/>
          <w:szCs w:val="18"/>
          <w:color w:val="auto"/>
        </w:rPr>
      </w:pPr>
    </w:p>
    <w:p>
      <w:pPr>
        <w:ind w:left="960" w:right="200" w:hanging="318"/>
        <w:spacing w:after="0" w:line="274"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Kurtz;</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or different information relating to the impact of the July 19 Incident;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17"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spacing w:after="0" w:line="16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could reduce the price that our common stock might otherwise attain and may dilute your voting power and your ownership interest in us.</w:t>
      </w:r>
    </w:p>
    <w:p>
      <w:pPr>
        <w:spacing w:after="0" w:line="160"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As of February 28, 2025, we had 247,873,415 shares of common stock outstanding.</w:t>
      </w:r>
    </w:p>
    <w:p>
      <w:pPr>
        <w:spacing w:after="0" w:line="178"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do not publish research or reports about our business, or if they issue inaccurate or unfavorable research regarding our common stock, our stock price and trading volume could decline.</w:t>
      </w:r>
    </w:p>
    <w:p>
      <w:pPr>
        <w:spacing w:after="0" w:line="160"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6"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16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common stock after price appreciation, which may never occur, as the only way to realize any future gains on their investments.</w:t>
      </w:r>
    </w:p>
    <w:p>
      <w:pPr>
        <w:spacing w:after="0" w:line="18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spacing w:after="0" w:line="174" w:lineRule="exact"/>
        <w:rPr>
          <w:sz w:val="20"/>
          <w:szCs w:val="20"/>
          <w:color w:val="auto"/>
        </w:rPr>
      </w:pPr>
    </w:p>
    <w:p>
      <w:pPr>
        <w:jc w:val="both"/>
        <w:ind w:right="40" w:firstLine="318"/>
        <w:spacing w:after="0" w:line="25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8" w:lineRule="exact"/>
        <w:rPr>
          <w:sz w:val="20"/>
          <w:szCs w:val="20"/>
          <w:color w:val="auto"/>
        </w:rPr>
      </w:pPr>
    </w:p>
    <w:p>
      <w:pPr>
        <w:ind w:left="960" w:right="440" w:hanging="318"/>
        <w:spacing w:after="0" w:line="274"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3" w:lineRule="exact"/>
        <w:rPr>
          <w:rFonts w:ascii="Times New Roman" w:cs="Times New Roman" w:eastAsia="Times New Roman" w:hAnsi="Times New Roman"/>
          <w:sz w:val="18"/>
          <w:szCs w:val="18"/>
          <w:color w:val="auto"/>
        </w:rPr>
      </w:pPr>
    </w:p>
    <w:p>
      <w:pPr>
        <w:ind w:left="960" w:right="440" w:hanging="318"/>
        <w:spacing w:after="0" w:line="304" w:lineRule="auto"/>
        <w:tabs>
          <w:tab w:leader="none" w:pos="9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40" w:lineRule="exact"/>
        <w:rPr>
          <w:rFonts w:ascii="Times New Roman" w:cs="Times New Roman" w:eastAsia="Times New Roman" w:hAnsi="Times New Roman"/>
          <w:sz w:val="17"/>
          <w:szCs w:val="17"/>
          <w:color w:val="auto"/>
        </w:rPr>
      </w:pPr>
    </w:p>
    <w:p>
      <w:pPr>
        <w:ind w:left="960" w:right="740" w:hanging="318"/>
        <w:spacing w:after="0" w:line="304" w:lineRule="auto"/>
        <w:tabs>
          <w:tab w:leader="none" w:pos="9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0" w:lineRule="exact"/>
        <w:rPr>
          <w:rFonts w:ascii="Times New Roman" w:cs="Times New Roman" w:eastAsia="Times New Roman" w:hAnsi="Times New Roman"/>
          <w:sz w:val="17"/>
          <w:szCs w:val="17"/>
          <w:color w:val="auto"/>
        </w:rPr>
      </w:pPr>
    </w:p>
    <w:p>
      <w:pPr>
        <w:ind w:left="960" w:right="600" w:hanging="318"/>
        <w:spacing w:after="0" w:line="274"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3" w:lineRule="exact"/>
        <w:rPr>
          <w:rFonts w:ascii="Times New Roman" w:cs="Times New Roman" w:eastAsia="Times New Roman" w:hAnsi="Times New Roman"/>
          <w:sz w:val="18"/>
          <w:szCs w:val="18"/>
          <w:color w:val="auto"/>
        </w:rPr>
      </w:pPr>
    </w:p>
    <w:p>
      <w:pPr>
        <w:ind w:left="960" w:right="100" w:hanging="318"/>
        <w:spacing w:after="0" w:line="259"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77" w:lineRule="exact"/>
        <w:rPr>
          <w:rFonts w:ascii="Times New Roman" w:cs="Times New Roman" w:eastAsia="Times New Roman" w:hAnsi="Times New Roman"/>
          <w:sz w:val="18"/>
          <w:szCs w:val="18"/>
          <w:color w:val="auto"/>
        </w:rPr>
      </w:pPr>
    </w:p>
    <w:p>
      <w:pPr>
        <w:ind w:left="960" w:right="300" w:hanging="318"/>
        <w:spacing w:after="0" w:line="274"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two-thirds of the then-outstanding voting power of our capital stock;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right="120" w:hanging="318"/>
        <w:spacing w:after="0" w:line="259"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8"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These provisions may prohibit large stockholders, in particular those owning 15% or more of our outstanding voting stock, from merging or combining with us for a certain period of time.</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w:t>
      </w:r>
    </w:p>
    <w:p>
      <w:pPr>
        <w:spacing w:after="0" w:line="217" w:lineRule="exact"/>
        <w:rPr>
          <w:sz w:val="20"/>
          <w:szCs w:val="20"/>
          <w:color w:val="auto"/>
        </w:rPr>
      </w:pPr>
    </w:p>
    <w:p>
      <w:pPr>
        <w:ind w:left="960" w:hanging="31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17" w:lineRule="exact"/>
        <w:rPr>
          <w:rFonts w:ascii="Times New Roman" w:cs="Times New Roman" w:eastAsia="Times New Roman" w:hAnsi="Times New Roman"/>
          <w:sz w:val="18"/>
          <w:szCs w:val="18"/>
          <w:color w:val="auto"/>
        </w:rPr>
      </w:pPr>
    </w:p>
    <w:p>
      <w:pPr>
        <w:ind w:left="960" w:right="860" w:hanging="318"/>
        <w:spacing w:after="0" w:line="274"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163" w:lineRule="exact"/>
        <w:rPr>
          <w:rFonts w:ascii="Times New Roman" w:cs="Times New Roman" w:eastAsia="Times New Roman" w:hAnsi="Times New Roman"/>
          <w:sz w:val="18"/>
          <w:szCs w:val="18"/>
          <w:color w:val="auto"/>
        </w:rPr>
      </w:pPr>
    </w:p>
    <w:p>
      <w:pPr>
        <w:ind w:left="960" w:right="340" w:hanging="318"/>
        <w:spacing w:after="0" w:line="274"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amended and restated certificate of incorporation or our amended and restated bylaws;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17"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0"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221" w:lineRule="exact"/>
        <w:rPr>
          <w:sz w:val="20"/>
          <w:szCs w:val="20"/>
          <w:color w:val="auto"/>
        </w:r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auto"/>
        </w:rPr>
        <w:t>As of January 31, 2025,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78" w:lineRule="exact"/>
        <w:rPr>
          <w:sz w:val="20"/>
          <w:szCs w:val="20"/>
          <w:color w:val="auto"/>
        </w:rPr>
      </w:pPr>
    </w:p>
    <w:p>
      <w:pPr>
        <w:ind w:left="960" w:right="260" w:hanging="318"/>
        <w:spacing w:after="0" w:line="274" w:lineRule="auto"/>
        <w:tabs>
          <w:tab w:leader="none" w:pos="9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163" w:lineRule="exact"/>
        <w:rPr>
          <w:rFonts w:ascii="Times New Roman" w:cs="Times New Roman" w:eastAsia="Times New Roman" w:hAnsi="Times New Roman"/>
          <w:sz w:val="18"/>
          <w:szCs w:val="18"/>
          <w:color w:val="auto"/>
        </w:rPr>
      </w:pPr>
    </w:p>
    <w:p>
      <w:pPr>
        <w:ind w:left="960" w:right="220" w:hanging="318"/>
        <w:spacing w:after="0" w:line="274" w:lineRule="auto"/>
        <w:tabs>
          <w:tab w:leader="none" w:pos="9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 and</w:t>
      </w:r>
    </w:p>
    <w:p>
      <w:pPr>
        <w:spacing w:after="0" w:line="217" w:lineRule="exact"/>
        <w:rPr>
          <w:rFonts w:ascii="Times New Roman" w:cs="Times New Roman" w:eastAsia="Times New Roman" w:hAnsi="Times New Roman"/>
          <w:sz w:val="18"/>
          <w:szCs w:val="18"/>
          <w:color w:val="auto"/>
        </w:rPr>
      </w:pPr>
    </w:p>
    <w:p>
      <w:pPr>
        <w:ind w:left="960" w:right="60" w:hanging="318"/>
        <w:spacing w:after="0" w:line="274" w:lineRule="auto"/>
        <w:tabs>
          <w:tab w:leader="none" w:pos="9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60"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80"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7" w:lineRule="exact"/>
        <w:rPr>
          <w:sz w:val="20"/>
          <w:szCs w:val="20"/>
          <w:color w:val="auto"/>
        </w:rPr>
      </w:pPr>
    </w:p>
    <w:p>
      <w:pPr>
        <w:jc w:val="both"/>
        <w:ind w:right="80" w:firstLine="318"/>
        <w:spacing w:after="0" w:line="282" w:lineRule="auto"/>
        <w:rPr>
          <w:sz w:val="20"/>
          <w:szCs w:val="20"/>
          <w:color w:val="auto"/>
        </w:rPr>
      </w:pPr>
      <w:r>
        <w:rPr>
          <w:rFonts w:ascii="Times New Roman" w:cs="Times New Roman" w:eastAsia="Times New Roman" w:hAnsi="Times New Roman"/>
          <w:sz w:val="17"/>
          <w:szCs w:val="17"/>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59"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8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60"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78" w:lineRule="exact"/>
        <w:rPr>
          <w:sz w:val="20"/>
          <w:szCs w:val="20"/>
          <w:color w:val="auto"/>
        </w:rPr>
      </w:pPr>
    </w:p>
    <w:p>
      <w:pPr>
        <w:ind w:left="960" w:hanging="31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sell all or substantially all of our assets to, another person.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covenants in the indenture and supplemental indenture that govern the Senior Notes are subject to exceptions and qualifications.</w:t>
      </w:r>
    </w:p>
    <w:p>
      <w:pPr>
        <w:spacing w:after="0" w:line="217"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78" w:lineRule="exact"/>
        <w:rPr>
          <w:sz w:val="20"/>
          <w:szCs w:val="20"/>
          <w:color w:val="auto"/>
        </w:rPr>
      </w:pPr>
    </w:p>
    <w:p>
      <w:pPr>
        <w:ind w:left="960" w:hanging="31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the industry or the economy in general;</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best interest;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pacing w:after="0" w:line="217"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These restrictions may affect our ability to expand our business, which could have a material adverse effect on our business, financial condition and results of operations.</w:t>
      </w:r>
    </w:p>
    <w:p>
      <w:pPr>
        <w:spacing w:after="0" w:line="163"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7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60" w:lineRule="exact"/>
        <w:rPr>
          <w:sz w:val="20"/>
          <w:szCs w:val="20"/>
          <w:color w:val="auto"/>
        </w:rPr>
      </w:pPr>
    </w:p>
    <w:p>
      <w:pPr>
        <w:ind w:right="60" w:firstLine="318"/>
        <w:spacing w:after="0" w:line="267" w:lineRule="auto"/>
        <w:rPr>
          <w:sz w:val="20"/>
          <w:szCs w:val="20"/>
          <w:color w:val="auto"/>
        </w:rPr>
      </w:pPr>
      <w:r>
        <w:rPr>
          <w:rFonts w:ascii="Times New Roman" w:cs="Times New Roman" w:eastAsia="Times New Roman" w:hAnsi="Times New Roman"/>
          <w:sz w:val="17"/>
          <w:szCs w:val="17"/>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5"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60"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8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8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185"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59" w:lineRule="exact"/>
        <w:rPr>
          <w:sz w:val="20"/>
          <w:szCs w:val="20"/>
          <w:color w:val="auto"/>
        </w:rPr>
      </w:pPr>
    </w:p>
    <w:p>
      <w:pPr>
        <w:ind w:right="28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37"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common stock. The sale of equity or issuance of debt to finance any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Additional risks we may face in connection with acquisitions include:</w:t>
      </w:r>
    </w:p>
    <w:p>
      <w:pPr>
        <w:spacing w:after="0" w:line="217" w:lineRule="exact"/>
        <w:rPr>
          <w:sz w:val="20"/>
          <w:szCs w:val="20"/>
          <w:color w:val="auto"/>
        </w:rPr>
      </w:pPr>
    </w:p>
    <w:p>
      <w:pPr>
        <w:ind w:left="960" w:hanging="31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and sales and marketing functions;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administrative systems, employee, product and service offerings;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17" w:lineRule="exact"/>
        <w:rPr>
          <w:rFonts w:ascii="Times New Roman" w:cs="Times New Roman" w:eastAsia="Times New Roman" w:hAnsi="Times New Roman"/>
          <w:sz w:val="18"/>
          <w:szCs w:val="18"/>
          <w:color w:val="auto"/>
        </w:rPr>
      </w:pPr>
    </w:p>
    <w:p>
      <w:pPr>
        <w:ind w:left="960" w:right="500" w:hanging="31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regulatory or compliance requirements;</w:t>
      </w:r>
    </w:p>
    <w:p>
      <w:pPr>
        <w:spacing w:after="0" w:line="217" w:lineRule="exact"/>
        <w:rPr>
          <w:rFonts w:ascii="Times New Roman" w:cs="Times New Roman" w:eastAsia="Times New Roman" w:hAnsi="Times New Roman"/>
          <w:sz w:val="18"/>
          <w:szCs w:val="18"/>
          <w:color w:val="auto"/>
        </w:rPr>
      </w:pPr>
    </w:p>
    <w:p>
      <w:pPr>
        <w:ind w:left="960" w:right="80" w:hanging="31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63" w:lineRule="exact"/>
        <w:rPr>
          <w:rFonts w:ascii="Times New Roman" w:cs="Times New Roman" w:eastAsia="Times New Roman" w:hAnsi="Times New Roman"/>
          <w:sz w:val="18"/>
          <w:szCs w:val="18"/>
          <w:color w:val="auto"/>
        </w:rPr>
      </w:pPr>
    </w:p>
    <w:p>
      <w:pPr>
        <w:ind w:left="960" w:right="360" w:hanging="31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63" w:lineRule="exact"/>
        <w:rPr>
          <w:rFonts w:ascii="Times New Roman" w:cs="Times New Roman" w:eastAsia="Times New Roman" w:hAnsi="Times New Roman"/>
          <w:sz w:val="18"/>
          <w:szCs w:val="18"/>
          <w:color w:val="auto"/>
        </w:rPr>
      </w:pPr>
    </w:p>
    <w:p>
      <w:pPr>
        <w:ind w:left="960" w:right="40" w:hanging="31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3"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59"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6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7"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85" w:lineRule="exact"/>
        <w:rPr>
          <w:sz w:val="20"/>
          <w:szCs w:val="20"/>
          <w:color w:val="auto"/>
        </w:rPr>
      </w:pPr>
    </w:p>
    <w:p>
      <w:pPr>
        <w:ind w:right="60" w:firstLine="318"/>
        <w:spacing w:after="0" w:line="247"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2023. The timetable for implementation has since been extended to 2024 and, with respect to certain components of the plan, to 2025. Under Pillar Two, the Inclusive Framework has agreed on a global minimum corporate tax rate of 15% for companies with revenue above €750 million, calculated on a jurisdictional basis.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In addition, the OECD’s proposed solution envisages new international tax rules and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As of January 31, 2025, we had aggregate U.S federal and California net operating loss carryforwards of $1.4 billion and $307.9 million, respectively, which may be available to offset future taxable income for income tax purposes. The federal net operating losses are carried forward indefinitely, and California net operating loss carryforwards begin to expire in fiscal 2034 through fiscal 2045. As of January 31, 2025, net operating loss carryforwards for other states totaled $716.0 million, which begin to expire in fiscal 2026 through fiscal 2045. As of January 31, 2025, net operating loss carryforwards for the U.K. totaled $78.0 million, which are carried forward indefinitely, and net operating loss carryforwards totaled immaterial amounts in certain foreign jurisdictions. As of January 31, 2025, we had U.S federal and California research and development (“R&amp;D”) credit carryforwards of $165.1 million and $39.6 million, respectively. The federal R&amp;D credit carryforwards begin to expire in fiscal 2037 though fiscal 2045. The California R&amp;D credits are carried forward indefinitely. Realization of these net operating loss and R&amp;D credit carryforwards depends on future income, and there is a risk that our existing carryforwards could expire unused and be unavailable to offset future income tax liabilities, which could adversely affect our results of operations.</w:t>
      </w:r>
    </w:p>
    <w:p>
      <w:pPr>
        <w:spacing w:after="0" w:line="187"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R&amp;D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6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6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spacing w:after="0" w:line="193"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60" w:lineRule="exact"/>
        <w:rPr>
          <w:sz w:val="20"/>
          <w:szCs w:val="20"/>
          <w:color w:val="auto"/>
        </w:rPr>
      </w:pPr>
    </w:p>
    <w:p>
      <w:pPr>
        <w:ind w:right="40" w:firstLine="318"/>
        <w:spacing w:after="0" w:line="265" w:lineRule="auto"/>
        <w:rPr>
          <w:sz w:val="20"/>
          <w:szCs w:val="20"/>
          <w:color w:val="auto"/>
        </w:rPr>
      </w:pPr>
      <w:r>
        <w:rPr>
          <w:rFonts w:ascii="Times New Roman" w:cs="Times New Roman" w:eastAsia="Times New Roman" w:hAnsi="Times New Roman"/>
          <w:sz w:val="17"/>
          <w:szCs w:val="17"/>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77"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Expectations of our performance relating to environmental, social and governance factors may impose additional costs and expose us to new risks.</w:t>
      </w:r>
    </w:p>
    <w:p>
      <w:pPr>
        <w:spacing w:after="0" w:line="22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(“ESG”) matters, both in the United States and internationally. We have undertaken and expect to continue to undertake certain ESG-related initiatives, goals and commitments, which we have communicated on our website, in our SEC filings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Stakeholders could also challenge the accuracy, adequacy, or completeness of our ESG-related disclosures. Our actual or perceived failure to achieve some or all of our ESG-related initiatives, goals, or commitments or maintain ESG practices that meet evolving stakeholder expectations or regulatory requirements could harm our reputation, adversely impact our ability to attract and retain employees or customers and expose us to increased scrutiny from ESG-focused investors, regulatory authorities and others, or subject us to liability. Damage to our reputation or reduced demand for our products may adversely impact our business, financial condition, or results of operations.</w:t>
      </w:r>
    </w:p>
    <w:p>
      <w:pPr>
        <w:spacing w:after="0" w:line="189"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60"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19"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As a provider of cybersecurity solutions, we are passionate about cybersecurity risk management. At CrowdStrike, cybersecurity risk management is an integral part of our overall enterprise risk management program.</w:t>
      </w:r>
    </w:p>
    <w:p>
      <w:pPr>
        <w:spacing w:after="0" w:line="163"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Our cybersecurity risk management program, which includes data privacy, product security, and information security, is designed to align with our industry’s best practices. Our program provides a framework for identifying, monitoring, evaluating, and responding to cybersecurity threats and incidents, including those associated with our use of software, applications, services, and cloud infrastructure developed or provided by third-party vendors and service providers. This framework includes steps for identifying the source of a cybersecurity threat or incident, including whether such cybersecurity threat or incident is associated with a third-party vendor or service provider, assessing the severity and risk of a cybersecurity threat or incident, implementing cybersecurity countermeasures and mitigation or remediation strategies, and informing management and the audit committee of our Board of Directors (the “Audit Committee”) of material cybersecurity threats and incidents.</w:t>
      </w:r>
    </w:p>
    <w:p>
      <w:pPr>
        <w:spacing w:after="0" w:line="18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cybersecurity team is responsible for assessing our cybersecurity risk management program and our incident response plan, which we regularly test through table-top exercises, and testing of our security protocols through additional techniques, such as penetration testing. In addition, we regularly engage independent third-party auditors to evaluate our compliance with various security compliance standards. We also conduct internal annual assessments of our cybersecurity risk management program. We review or update our cybersecurity policies, standards and procedures annually, or more frequently as needed, to account for changes in the threat landscape, as well as in response to legal and regulatory developments. Our cybersecurity efforts also include mandatory training for all employees and contractors on CrowdStrike’s security and privacy policies. We also have a clearly defined acceptable use policy, and we require employees to certify to it. We also require employees to certify their adherence to our code of conduct. We also periodically send our employees simulated phishing emails to test their compliance with our policies. Although we have continued to invest in our diligence, onboarding, and monitoring capabilities over our critical third parties, including our third-party vendors and service providers, our control over the security posture of our critical third parties is limited, and there can be no assurance that we can prevent or mitigate the risk of any compromise or failure in the information assets owned or controlled by such third parties.</w:t>
      </w:r>
    </w:p>
    <w:p>
      <w:pPr>
        <w:spacing w:after="0" w:line="191"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A cross-functional incident response team, comprised of representatives from information technology, information security, product security, engineering, privacy and legal, is responsible for the monitoring and disposition of potential occurrences such as data breaches, intrusions, and other security incidents and implementing our detailed incident response plan. Our incident response plan includes processes and procedures for assessing potential internal and external threats, activation and notification, crisis management, and post-incident recovery designed to safeguard the confidentiality, availability, and integrity of our information assets.</w:t>
      </w:r>
    </w:p>
    <w:p>
      <w:pPr>
        <w:spacing w:after="0" w:line="185"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In fiscal 2025, we did not identify any cybersecurity threats or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Risks Related to Our Business and Industry”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19"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Our Board of Directors has oversight responsibility for our overall enterprise risk management, and has delegated cybersecurity risk management oversight to the Audit Committee. The Audit Committee is responsible for ensuring that management (i) has policies, processes, and procedures designed to identify, monitor, evaluate, and respond to cybersecurity risks to which the company is exposed and (ii) takes steps to mitigate or remediate cybersecurity risks, threats and incidents, including monitoring the activities of the cybersecurity team and reviewing and updating our cybersecurity policies, processes and procedures. The Audit Committee also reports material cybersecurity incidents to our full Board of Directors.</w:t>
      </w:r>
    </w:p>
    <w:p>
      <w:pPr>
        <w:spacing w:after="0" w:line="185"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Management is responsible for day-to-day risk management activities, including identifying and assessing cybersecurity risks, establishing processes to ensure that potential cybersecurity risk exposures are monitored, implementing appropriate mitigation or remediation measures and maintaining cybersecurity programs. Our cybersecurity programs are under the direction of our Chief Information Security Officer (“CISO”). Our CISO and dedicated personnel are certified and experienced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systems security professionals and information security managers with many years of experience across a variety of technology sub-specialties.</w:t>
      </w:r>
    </w:p>
    <w:p>
      <w:pPr>
        <w:spacing w:after="0" w:line="229" w:lineRule="exact"/>
        <w:rPr>
          <w:sz w:val="20"/>
          <w:szCs w:val="20"/>
          <w:color w:val="auto"/>
        </w:rPr>
      </w:pPr>
    </w:p>
    <w:p>
      <w:pPr>
        <w:jc w:val="both"/>
        <w:ind w:right="340" w:firstLine="318"/>
        <w:spacing w:after="0" w:line="259" w:lineRule="auto"/>
        <w:rPr>
          <w:sz w:val="20"/>
          <w:szCs w:val="20"/>
          <w:color w:val="auto"/>
        </w:rPr>
      </w:pPr>
      <w:r>
        <w:rPr>
          <w:rFonts w:ascii="Times New Roman" w:cs="Times New Roman" w:eastAsia="Times New Roman" w:hAnsi="Times New Roman"/>
          <w:sz w:val="18"/>
          <w:szCs w:val="18"/>
          <w:color w:val="auto"/>
        </w:rPr>
        <w:t>Our CISO receives reports from our cybersecurity team and monitors the prevention, detection, and mitigation or remediation of cybersecurity risks. Management, including the CISO, regularly updates the Audit Committee and the Board of Directors on the Company’s cybersecurity programs, material cybersecurity risks, and mitigation or remediation strategies.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9"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Our principal executive offices occupy approximately 47,618 square feet in Austin, Texas under a lease that expires in 2030. We also lease office space for our operations in various locations throughout the United States as well as office space in a number of countries in Europe, the Middle East, and the Asia-Pacific region.</w:t>
      </w:r>
    </w:p>
    <w:p>
      <w:pPr>
        <w:spacing w:after="0" w:line="178"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We believe that our existing facilities are sufficient for our current needs. In the future, we may need to add new facilities and expand our existing facilities as we add employees, grow our infrastructure and evolve our business. We believe that suitable additional or substitute space will be available on commercially reasonable terms to meet our future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10, Commitments and Contingencies, in Part II, Item 8 of this Annual Report on Form 10-K.</w:t>
      </w:r>
    </w:p>
    <w:p>
      <w:pPr>
        <w:spacing w:after="0" w:line="180"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For any claims for which we believe a liability is both probable and reasonably estimable, we record a liability in the period in which we make this determination. Other than as disclosed in Note 10, there is no pending or threatened legal proceeding to which we are a party that, in our opinion, is likely to have a material adverse effect on our business and our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19" w:lineRule="exact"/>
        <w:rPr>
          <w:sz w:val="20"/>
          <w:szCs w:val="20"/>
          <w:color w:val="auto"/>
        </w:rPr>
      </w:pPr>
    </w:p>
    <w:p>
      <w:pPr>
        <w:jc w:val="both"/>
        <w:ind w:right="120" w:firstLine="318"/>
        <w:spacing w:after="0" w:line="255" w:lineRule="auto"/>
        <w:rPr>
          <w:sz w:val="20"/>
          <w:szCs w:val="20"/>
          <w:color w:val="auto"/>
        </w:rPr>
      </w:pPr>
      <w:r>
        <w:rPr>
          <w:rFonts w:ascii="Times New Roman" w:cs="Times New Roman" w:eastAsia="Times New Roman" w:hAnsi="Times New Roman"/>
          <w:sz w:val="18"/>
          <w:szCs w:val="18"/>
          <w:color w:val="auto"/>
        </w:rPr>
        <w:t>Our Class A common stock has been listed and traded on the Nasdaq Global Select Market under the symbol “CRWD” since June 12, 2019. Prior to that date, there was no public market for our Class A common stock. There is no public market for our Class B common stock. On December 11, 2024, all of our outstanding shares of Class B common stock automatically converted into an equal number of shares of Class A common stock pursuant to the provisions of the Amended and Restated Certificate of Incorporation.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19" w:lineRule="exact"/>
        <w:rPr>
          <w:sz w:val="20"/>
          <w:szCs w:val="20"/>
          <w:color w:val="auto"/>
        </w:rPr>
      </w:pPr>
    </w:p>
    <w:p>
      <w:pPr>
        <w:jc w:val="both"/>
        <w:ind w:right="160" w:firstLine="318"/>
        <w:spacing w:after="0" w:line="259" w:lineRule="auto"/>
        <w:rPr>
          <w:sz w:val="20"/>
          <w:szCs w:val="20"/>
          <w:color w:val="auto"/>
        </w:rPr>
      </w:pPr>
      <w:r>
        <w:rPr>
          <w:rFonts w:ascii="Times New Roman" w:cs="Times New Roman" w:eastAsia="Times New Roman" w:hAnsi="Times New Roman"/>
          <w:sz w:val="18"/>
          <w:szCs w:val="18"/>
          <w:color w:val="auto"/>
        </w:rPr>
        <w:t>As of January 31, 2025, we had 95 holders of record of our Class A common stock and zero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is limited by restrictions on our ability to pay dividends or make distributions under the terms of our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19" w:lineRule="exact"/>
        <w:rPr>
          <w:sz w:val="20"/>
          <w:szCs w:val="20"/>
          <w:color w:val="auto"/>
        </w:rPr>
      </w:pPr>
    </w:p>
    <w:p>
      <w:pPr>
        <w:ind w:right="360" w:firstLine="318"/>
        <w:spacing w:after="0" w:line="304" w:lineRule="auto"/>
        <w:rPr>
          <w:sz w:val="20"/>
          <w:szCs w:val="20"/>
          <w:color w:val="auto"/>
        </w:rPr>
      </w:pPr>
      <w:r>
        <w:rPr>
          <w:rFonts w:ascii="Times New Roman" w:cs="Times New Roman" w:eastAsia="Times New Roman" w:hAnsi="Times New Roman"/>
          <w:sz w:val="17"/>
          <w:szCs w:val="17"/>
          <w:color w:val="auto"/>
        </w:rPr>
        <w:t>The information required by this item with respect to our equity compensation plans is incorporated by reference to our Proxy Statement for the 2025 Annual Meeting of Stockholders to be filed with the Securities and Exchange Commission within 120 days of the fiscal year ended January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 and Use of Proceeds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Sale of Unregistered Equity Securities</w:t>
      </w:r>
    </w:p>
    <w:p>
      <w:pPr>
        <w:spacing w:after="0" w:line="219" w:lineRule="exact"/>
        <w:rPr>
          <w:sz w:val="20"/>
          <w:szCs w:val="20"/>
          <w:color w:val="auto"/>
        </w:rPr>
      </w:pPr>
    </w:p>
    <w:p>
      <w:pPr>
        <w:ind w:right="300" w:firstLine="318"/>
        <w:spacing w:after="0" w:line="259" w:lineRule="auto"/>
        <w:rPr>
          <w:sz w:val="20"/>
          <w:szCs w:val="20"/>
          <w:color w:val="auto"/>
        </w:rPr>
      </w:pPr>
      <w:r>
        <w:rPr>
          <w:rFonts w:ascii="Times New Roman" w:cs="Times New Roman" w:eastAsia="Times New Roman" w:hAnsi="Times New Roman"/>
          <w:sz w:val="18"/>
          <w:szCs w:val="18"/>
          <w:color w:val="auto"/>
        </w:rPr>
        <w:t>On November 20, 2024, we issued approximately $22.8 million of shares of our Class A common stock, subject to service-based vesting and other conditions, to certain stockholders of Adaptive Shield in connection with our acquisition of Adaptive Shield. The transaction was exempt from registration under Section 4(a)(2) of the Securities Act.</w:t>
      </w:r>
    </w:p>
    <w:p>
      <w:pPr>
        <w:spacing w:after="0" w:line="176" w:lineRule="exact"/>
        <w:rPr>
          <w:sz w:val="20"/>
          <w:szCs w:val="20"/>
          <w:color w:val="auto"/>
        </w:rPr>
      </w:pPr>
    </w:p>
    <w:p>
      <w:pPr>
        <w:ind w:left="320" w:right="6760" w:hanging="314"/>
        <w:spacing w:after="0" w:line="491" w:lineRule="auto"/>
        <w:tabs>
          <w:tab w:leader="none" w:pos="26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otherwise subject to the liabilities under that Section, and shall not be deemed to be incorporated by reference into any filing of CrowdStrike Holdings,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 or the Exchange Act.</w:t>
      </w:r>
    </w:p>
    <w:p>
      <w:pPr>
        <w:spacing w:after="0" w:line="19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have presented below the cumulative total return to our stockholders for the five years ended January 31, 2025 in comparison to the Standard &amp; Poor’s 500 Index, Standard &amp; Poor Information Technology Index, and the Nasdaq 100 Index. All values assume a $100 initial investment and data for the Standard &amp; Poor’s 500 Index, Standard &amp; Poor Information Technology Index and the Nasdaq 100 Index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126365</wp:posOffset>
            </wp:positionV>
            <wp:extent cx="4921885" cy="4459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188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Index</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Base period</w:t>
            </w:r>
          </w:p>
        </w:tc>
        <w:tc>
          <w:tcPr>
            <w:tcW w:w="180" w:type="dxa"/>
            <w:vAlign w:val="bottom"/>
          </w:tcPr>
          <w:p>
            <w:pPr>
              <w:spacing w:after="0"/>
              <w:rPr>
                <w:sz w:val="18"/>
                <w:szCs w:val="18"/>
                <w:color w:val="auto"/>
              </w:rPr>
            </w:pPr>
          </w:p>
        </w:tc>
        <w:tc>
          <w:tcPr>
            <w:tcW w:w="9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1/31/21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1/31/22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1/31/23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1/31/24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1/31/25</w:t>
            </w:r>
          </w:p>
        </w:tc>
        <w:tc>
          <w:tcPr>
            <w:tcW w:w="0" w:type="dxa"/>
            <w:vAlign w:val="bottom"/>
          </w:tcPr>
          <w:p>
            <w:pPr>
              <w:spacing w:after="0"/>
              <w:rPr>
                <w:sz w:val="1"/>
                <w:szCs w:val="1"/>
                <w:color w:val="auto"/>
              </w:rPr>
            </w:pPr>
          </w:p>
        </w:tc>
      </w:tr>
      <w:tr>
        <w:trPr>
          <w:trHeight w:val="238"/>
        </w:trPr>
        <w:tc>
          <w:tcPr>
            <w:tcW w:w="35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1/31/20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CrowdStrike Holdings, Inc.</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651.61</w:t>
            </w:r>
          </w:p>
        </w:tc>
        <w:tc>
          <w:tcPr>
            <w:tcW w:w="0" w:type="dxa"/>
            <w:vAlign w:val="bottom"/>
          </w:tcPr>
          <w:p>
            <w:pPr>
              <w:spacing w:after="0"/>
              <w:rPr>
                <w:sz w:val="1"/>
                <w:szCs w:val="1"/>
                <w:color w:val="auto"/>
              </w:rPr>
            </w:pPr>
          </w:p>
        </w:tc>
      </w:tr>
      <w:tr>
        <w:trPr>
          <w:trHeight w:val="225"/>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Information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w:t>
            </w:r>
          </w:p>
        </w:tc>
        <w:tc>
          <w:tcPr>
            <w:tcW w:w="0" w:type="dxa"/>
            <w:vAlign w:val="bottom"/>
          </w:tcPr>
          <w:p>
            <w:pPr>
              <w:spacing w:after="0"/>
              <w:rPr>
                <w:sz w:val="1"/>
                <w:szCs w:val="1"/>
                <w:color w:val="auto"/>
              </w:rPr>
            </w:pPr>
          </w:p>
        </w:tc>
      </w:tr>
      <w:tr>
        <w:trPr>
          <w:trHeight w:val="23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7"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thereto included in Item 8 “Financial Statements and Supplementary Data” in this Annual Report on Form 10-K. This section of this Form 10-K generally discusses fiscal 2025 and 2024 items and year-over-year comparisons between fiscal 2025 and 2024. Discussions of fiscal 2023 items and year-over-year comparisons between fiscal 2024 and 2023 are not included in this Form 10-K, and can be found in “Management’s Discussion and Analysis of Financial Condition and Results of Operations” in Part II, Item 7 of our Annual Report on Form 10-K for the fiscal year ended January 31, 2024.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“Special Note Regarding Forward-Looking Statements.” You should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 Our fiscal years ended January 31, 2025, January 31, 2024, and January 31, 2023, are referred to herein as fiscal 2025, fiscal 2024, and fiscal 2023, respectively.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AI at the core, capable of harnessing vast amounts of security and enterprise data to deliver highly modular solutions through a single lightweight agent.</w:t>
      </w:r>
    </w:p>
    <w:p>
      <w:pPr>
        <w:spacing w:after="0" w:line="18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19" w:lineRule="exact"/>
        <w:rPr>
          <w:sz w:val="20"/>
          <w:szCs w:val="20"/>
          <w:color w:val="auto"/>
        </w:rPr>
      </w:pPr>
    </w:p>
    <w:p>
      <w:pPr>
        <w:jc w:val="both"/>
        <w:ind w:right="40" w:firstLine="318"/>
        <w:spacing w:after="0" w:line="259" w:lineRule="auto"/>
        <w:rPr>
          <w:sz w:val="20"/>
          <w:szCs w:val="20"/>
          <w:color w:val="auto"/>
        </w:rPr>
      </w:pPr>
      <w:r>
        <w:rPr>
          <w:rFonts w:ascii="Times New Roman" w:cs="Times New Roman" w:eastAsia="Times New Roman" w:hAnsi="Times New Roman"/>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78"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5"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 substantial majority of our customers purchase subscriptions with a term over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Factors Affecting Our Performance</w:t>
      </w:r>
    </w:p>
    <w:p>
      <w:pPr>
        <w:spacing w:after="0" w:line="215"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Adoption of Our Solutions. </w:t>
      </w:r>
      <w:r>
        <w:rPr>
          <w:rFonts w:ascii="Times New Roman" w:cs="Times New Roman" w:eastAsia="Times New Roman" w:hAnsi="Times New Roman"/>
          <w:sz w:val="18"/>
          <w:szCs w:val="18"/>
          <w:color w:val="auto"/>
        </w:rPr>
        <w:t>We believe our future success depends in large part on the growth in the market for cloud-based SaaS-delivered endpoint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70"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Customer Acquisition. </w:t>
      </w:r>
      <w:r>
        <w:rPr>
          <w:rFonts w:ascii="Times New Roman" w:cs="Times New Roman" w:eastAsia="Times New Roman" w:hAnsi="Times New Roman"/>
          <w:sz w:val="18"/>
          <w:szCs w:val="18"/>
          <w:color w:val="auto"/>
        </w:rPr>
        <w:t>Our future growth depends in large part on our ability to acquire new customers. If our efforts to attract new customers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80" w:lineRule="exact"/>
        <w:rPr>
          <w:sz w:val="20"/>
          <w:szCs w:val="20"/>
          <w:color w:val="auto"/>
        </w:rPr>
      </w:pPr>
    </w:p>
    <w:p>
      <w:pPr>
        <w:ind w:right="260"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Customer Retention and Increase Sales. </w:t>
      </w:r>
      <w:r>
        <w:rPr>
          <w:rFonts w:ascii="Times New Roman" w:cs="Times New Roman" w:eastAsia="Times New Roman" w:hAnsi="Times New Roman"/>
          <w:sz w:val="18"/>
          <w:szCs w:val="18"/>
          <w:color w:val="auto"/>
        </w:rPr>
        <w:t>Our ability to increase revenue depends in large part on our ability to retain our existing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increase the size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7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 in Growth. </w:t>
      </w:r>
      <w:r>
        <w:rPr>
          <w:rFonts w:ascii="Times New Roman" w:cs="Times New Roman" w:eastAsia="Times New Roman" w:hAnsi="Times New Roman"/>
          <w:sz w:val="18"/>
          <w:szCs w:val="18"/>
          <w:color w:val="auto"/>
        </w:rPr>
        <w:t>We believe that our market opportunity is large and requires us to continue to invest significantly in sales and marketing efforts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81"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July 19 Incident</w:t>
      </w:r>
      <w:r>
        <w:rPr>
          <w:rFonts w:ascii="Times New Roman" w:cs="Times New Roman" w:eastAsia="Times New Roman" w:hAnsi="Times New Roman"/>
          <w:sz w:val="17"/>
          <w:szCs w:val="17"/>
          <w:color w:val="auto"/>
        </w:rPr>
        <w:t>. On July 19, 2024, we released a content configuration update for our Falcon sensor that resulted in system crashes for certain Windows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systems (the “July 19 Incident”). As a result of the July 19 Incident, we are subject to lawsuits, claims and inquiries as described in Note 10, Commitments</w:t>
      </w:r>
    </w:p>
    <w:p>
      <w:pPr>
        <w:spacing w:after="0" w:line="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and Contingencies, in Part II, Item 8 of this Annual Report on Form 10-K</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maintained high dollar-based gross retention rates following the incident, we have experienced delays in creating sales opportunities and longer sales cycles, including delays in customer purchasing decisions. We expect sales cycles to continue to be elongated in future periods. In addition, because our customers typically sign contracts with terms of twelve months or longer, customer churn and any corresponding impact to our key metrics and revenue may occur in future periods. Customer commitment packages introduced following the July 19 Incident have included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19" w:lineRule="exact"/>
        <w:rPr>
          <w:sz w:val="20"/>
          <w:szCs w:val="20"/>
          <w:color w:val="auto"/>
        </w:rPr>
      </w:pPr>
    </w:p>
    <w:p>
      <w:pPr>
        <w:ind w:right="640" w:firstLine="318"/>
        <w:spacing w:after="0" w:line="274"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ARR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22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ARR as of the dates presented (dollars in thousands):</w:t>
      </w:r>
    </w:p>
    <w:p>
      <w:pPr>
        <w:spacing w:after="0" w:line="43"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15875</wp:posOffset>
            </wp:positionV>
            <wp:extent cx="19011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12" w:lineRule="exact"/>
        <w:rPr>
          <w:sz w:val="20"/>
          <w:szCs w:val="20"/>
          <w:color w:val="auto"/>
        </w:rPr>
      </w:pPr>
    </w:p>
    <w:p>
      <w:pPr>
        <w:ind w:left="880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4,241,838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3,435,150</w:t>
            </w:r>
          </w:p>
        </w:tc>
      </w:tr>
      <w:tr>
        <w:trPr>
          <w:trHeight w:val="23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ARR increased 23% year-over-year and grew to $4.2 billion as of January 31, 2025, of which $806.7 million was net new ARR added during fiscal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 increased 34% year-over-year and grew to $3.4 billion as of January 31, 2024, of which $875.5 million was net new ARR added during fiscal 2024.</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221"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93"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Our dollar-based net retention rate can fluctuate from period to period due to large customer contracts in a given period and incentives provided, which may reduce our dollar-based net retention rate in subsequent periods. In addition, if our customers are not able to fully utilize their product subscriptions (including in connection with our flexible subscription offering), we may experience increased contraction as such customers may elect to renew with shorter subscription periods, fewer cloud modules, fewer endpoints or smaller contract values, which may reduce our dollar-based net retention rate.</w:t>
      </w:r>
    </w:p>
    <w:p>
      <w:pPr>
        <w:spacing w:after="0" w:line="20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As of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Dollar-based net retention rate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9"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Subscription revenue primarily consists of subscription fees for our Falcon platform and additional cloud modules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We generally invoice our subscription customers at the beginning of the subscription term, or in some instances, such as in multi-year arrangements, in installments. Consequently, a substantial portion of the revenue that we report in each period is attributable to the recognition of deferred revenue relating to subscriptions that we entered into during previous periods.</w:t>
      </w:r>
    </w:p>
    <w:p>
      <w:pPr>
        <w:spacing w:after="0" w:line="18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includes incident response and proactive services, forensic and malware analysis,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operationalizing the Falcon Platform, residency program, and active defense services.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19"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Subscription Cost of Revenue. </w:t>
      </w:r>
      <w:r>
        <w:rPr>
          <w:rFonts w:ascii="Times New Roman" w:cs="Times New Roman" w:eastAsia="Times New Roman" w:hAnsi="Times New Roman"/>
          <w:sz w:val="18"/>
          <w:szCs w:val="18"/>
          <w:color w:val="auto"/>
        </w:rPr>
        <w:t>Subscription cost of revenue consists primarily of costs related to hosting our cloud-based Falcon platform in data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79"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78" w:lineRule="exact"/>
        <w:rPr>
          <w:sz w:val="20"/>
          <w:szCs w:val="20"/>
          <w:color w:val="auto"/>
        </w:rPr>
      </w:pPr>
    </w:p>
    <w:p>
      <w:pPr>
        <w:ind w:right="20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Cost of Revenue. </w:t>
      </w:r>
      <w:r>
        <w:rPr>
          <w:rFonts w:ascii="Times New Roman" w:cs="Times New Roman" w:eastAsia="Times New Roman" w:hAnsi="Times New Roman"/>
          <w:sz w:val="18"/>
          <w:szCs w:val="18"/>
          <w:color w:val="auto"/>
        </w:rPr>
        <w:t>Professional services cost of revenue consists primarily of employee-related costs, such as salaries and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consulting expense, and an allocated portion of facilities and administrative costs.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1"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other administrative functions.</w:t>
      </w:r>
    </w:p>
    <w:p>
      <w:pPr>
        <w:spacing w:after="0" w:line="176"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primarily consist of employee-related expenses such as salaries, commissions, and bonuses. Sales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expenses also include stock-based compensation; expenses related to our marketing programs; and an allocated portion of facilities and administrative expenses. Sales and marketing expenses also include the amortization of deferred contract acquisition costs, which includes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70" w:lineRule="exact"/>
        <w:rPr>
          <w:sz w:val="20"/>
          <w:szCs w:val="20"/>
          <w:color w:val="auto"/>
        </w:rPr>
      </w:pPr>
    </w:p>
    <w:p>
      <w:pPr>
        <w:ind w:right="280" w:firstLine="318"/>
        <w:spacing w:after="0" w:line="255" w:lineRule="auto"/>
        <w:rPr>
          <w:sz w:val="20"/>
          <w:szCs w:val="20"/>
          <w:color w:val="auto"/>
        </w:rPr>
      </w:pPr>
      <w:r>
        <w:rPr>
          <w:rFonts w:ascii="Times New Roman" w:cs="Times New Roman" w:eastAsia="Times New Roman" w:hAnsi="Times New Roman"/>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spacing w:after="0" w:line="178" w:lineRule="exact"/>
        <w:rPr>
          <w:sz w:val="20"/>
          <w:szCs w:val="20"/>
          <w:color w:val="auto"/>
        </w:rPr>
      </w:pPr>
    </w:p>
    <w:p>
      <w:pPr>
        <w:ind w:right="4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primarily consist of employee-related expenses such as 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spacing w:after="0" w:line="178" w:lineRule="exact"/>
        <w:rPr>
          <w:sz w:val="20"/>
          <w:szCs w:val="20"/>
          <w:color w:val="auto"/>
        </w:rPr>
      </w:pPr>
    </w:p>
    <w:p>
      <w:pPr>
        <w:ind w:right="34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of employee-related expenses such as salaries and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75"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dollar amount over time. We expect to incur significant legal and professional services and other expenses associated with the July 19 Incident in future periods. General and administrative expenses may fluctuate as a percentage of our total revenue from period to period depending on the timing of these expenses.</w:t>
      </w:r>
    </w:p>
    <w:p>
      <w:pPr>
        <w:spacing w:after="0" w:line="176" w:lineRule="exact"/>
        <w:rPr>
          <w:sz w:val="20"/>
          <w:szCs w:val="20"/>
          <w:color w:val="auto"/>
        </w:rPr>
      </w:pPr>
    </w:p>
    <w:p>
      <w:pPr>
        <w:ind w:right="30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amortization of debt issuance costs, contractual interest expense for our Senior Notes issued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and amortization of debt issuance costs on our secured revolving credit facility (“Revolving Facility”).</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income earned on our cash, cash equivalents, and short-term investments.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consists primarily of gains and losses on strategic investments and foreign currency transaction gains and losses.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of state income taxes in the United States, foreign income taxes, and withholding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w:t>
      </w:r>
    </w:p>
    <w:p>
      <w:pPr>
        <w:spacing w:after="0" w:line="177" w:lineRule="exact"/>
        <w:rPr>
          <w:sz w:val="20"/>
          <w:szCs w:val="20"/>
          <w:color w:val="auto"/>
        </w:rPr>
      </w:pPr>
    </w:p>
    <w:p>
      <w:pPr>
        <w:ind w:right="38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r>
        <w:rPr>
          <w:rFonts w:ascii="Times New Roman" w:cs="Times New Roman" w:eastAsia="Times New Roman" w:hAnsi="Times New Roman"/>
          <w:sz w:val="18"/>
          <w:szCs w:val="18"/>
          <w:color w:val="auto"/>
        </w:rPr>
        <w:t>. Net income attributable to non-controlling interest consists of the Falcon Funds’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share of gains and losses and interest income from our strategic investments.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0" w:type="dxa"/>
            <w:vAlign w:val="bottom"/>
          </w:tcPr>
          <w:p>
            <w:pPr>
              <w:spacing w:after="0"/>
              <w:rPr>
                <w:sz w:val="20"/>
                <w:szCs w:val="20"/>
                <w:color w:val="auto"/>
              </w:rPr>
            </w:pPr>
          </w:p>
        </w:tc>
        <w:tc>
          <w:tcPr>
            <w:tcW w:w="3180" w:type="dxa"/>
            <w:vAlign w:val="bottom"/>
            <w:gridSpan w:val="2"/>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8"/>
              </w:rPr>
              <w:t>Results of Operations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994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w w:val="99"/>
              </w:rPr>
              <w:t>The following tables set forth our consolidated statements of operations for each period presented (in thousands, except percentages):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2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3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3,761,480</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2,870,557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2,111,660</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129,576</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3,055,555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2,241,236</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Cost of revenue</w:t>
            </w:r>
          </w:p>
        </w:tc>
        <w:tc>
          <w:tcPr>
            <w:tcW w:w="2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511,684</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89,547</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991,481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601,231</w:t>
            </w: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1,640,005</w:t>
            </w:r>
          </w:p>
        </w:tc>
        <w:tc>
          <w:tcPr>
            <w:tcW w:w="0" w:type="dxa"/>
            <w:vAlign w:val="bottom"/>
          </w:tcPr>
          <w:p>
            <w:pPr>
              <w:spacing w:after="0"/>
              <w:rPr>
                <w:sz w:val="1"/>
                <w:szCs w:val="1"/>
                <w:color w:val="auto"/>
              </w:rPr>
            </w:pPr>
          </w:p>
        </w:tc>
      </w:tr>
      <w:tr>
        <w:trPr>
          <w:trHeight w:val="205"/>
        </w:trPr>
        <w:tc>
          <w:tcPr>
            <w:tcW w:w="4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904,409</w:t>
            </w:r>
          </w:p>
        </w:tc>
        <w:tc>
          <w:tcPr>
            <w:tcW w:w="0" w:type="dxa"/>
            <w:vAlign w:val="bottom"/>
          </w:tcPr>
          <w:p>
            <w:pPr>
              <w:spacing w:after="0"/>
              <w:rPr>
                <w:sz w:val="1"/>
                <w:szCs w:val="1"/>
                <w:color w:val="auto"/>
              </w:rPr>
            </w:pPr>
          </w:p>
        </w:tc>
      </w:tr>
      <w:tr>
        <w:trPr>
          <w:trHeight w:val="225"/>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608,364</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317,344</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3,082,573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2,301,827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1,830,117</w:t>
            </w: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(190,112)</w:t>
            </w: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52,495</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(159,883)</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22,402</w:t>
            </w: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(182,285)</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2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(183,245)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292"/>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42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components of our consolidated statements of operations as a percentage of total revenue for the periods presented:</w:t>
      </w:r>
    </w:p>
    <w:p>
      <w:pPr>
        <w:spacing w:after="0" w:line="4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Year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780" w:type="dxa"/>
            <w:vAlign w:val="bottom"/>
          </w:tcPr>
          <w:p>
            <w:pPr>
              <w:spacing w:after="0"/>
              <w:rPr>
                <w:sz w:val="19"/>
                <w:szCs w:val="19"/>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5"/>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5"/>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5"/>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5"/>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5"/>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5"/>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5"/>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5"/>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5"/>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5"/>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5"/>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540" w:type="dxa"/>
            <w:vAlign w:val="bottom"/>
            <w:gridSpan w:val="3"/>
          </w:tcPr>
          <w:p>
            <w:pPr>
              <w:jc w:val="right"/>
              <w:ind w:right="95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gridSpan w:val="3"/>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540" w:type="dxa"/>
            <w:vAlign w:val="bottom"/>
            <w:gridSpan w:val="3"/>
          </w:tcPr>
          <w:p>
            <w:pPr>
              <w:jc w:val="right"/>
              <w:ind w:right="95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1540" w:type="dxa"/>
            <w:vAlign w:val="bottom"/>
            <w:gridSpan w:val="3"/>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2025 and Fiscal 2024</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1" w:lineRule="exact"/>
        <w:rPr>
          <w:sz w:val="20"/>
          <w:szCs w:val="20"/>
          <w:color w:val="auto"/>
        </w:rPr>
      </w:pPr>
    </w:p>
    <w:p>
      <w:pPr>
        <w:ind w:right="680" w:firstLine="318"/>
        <w:spacing w:after="0" w:line="267"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fiscal 2025, as compared to fiscal 2024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18"/>
        </w:trPr>
        <w:tc>
          <w:tcPr>
            <w:tcW w:w="5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3,055,555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898,069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Total revenue increased by $898.1 million, or 29%, in fiscal 2025, compared to fiscal 2024. Subscription revenue accounted for 95% and 94% of our total revenue in fiscal 2025 and fiscal 2024, respectively. Professional services revenue accounted for 5% and 6% of our total revenue in fiscal 2025 and fiscal 2024, respectively.</w:t>
      </w:r>
    </w:p>
    <w:p>
      <w:pPr>
        <w:spacing w:after="0" w:line="178"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Subscription revenue increased by $890.9 million, or 31% in fiscal 2025, compared to fiscal 2024, which was primarily driven by a combination of the addition of new customers and the sale of additional sensors and modules to existing customers.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Professional services revenue increased by $7.1 million, or 4%, in fiscal 2025, compared to fiscal 2024, which was primarily attributable to an increase in the number of professional service hours.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1" w:lineRule="exact"/>
        <w:rPr>
          <w:sz w:val="20"/>
          <w:szCs w:val="20"/>
          <w:color w:val="auto"/>
        </w:rPr>
      </w:pPr>
    </w:p>
    <w:p>
      <w:pPr>
        <w:ind w:right="200" w:firstLine="318"/>
        <w:spacing w:after="0" w:line="267"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fiscal 2025, as compared to fiscal 2024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18"/>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5"/>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4"/>
        </w:trPr>
        <w:tc>
          <w:tcPr>
            <w:tcW w:w="5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Total cost of revenue increased by $235.8 million, or 31%, in fiscal 2025, compared to fiscal 2024. Subscription cost of revenue increased by $204.8 million, or 32%, in fiscal 2025, compared to fiscal 2024. The increase in subscription cost of revenue was primarily due to an increase in employee-related expenses of $55.6 million driven by a 28% increase in average headcount, an increase in depreciation of data center equipment of $38.4 million, an increase in stock-based compensation expense of $29.7 million, an increase in cloud hosting and related services costs of $28.5 million, an increase in allocated overhead costs of $20.3 million, an increase in amortization of internal-use software of $17.6 million, an increase in hardware maintenance costs of $5.4 million, and an increase in employee benefits of $4.2 million.</w:t>
      </w:r>
    </w:p>
    <w:p>
      <w:pPr>
        <w:spacing w:after="0" w:line="185"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Professional services cost of revenue increased by $31.0 million, or 25%, in fiscal 2025, compared to fiscal 2024. The increase in professional services cost of revenue was primarily due to an increase in employee-related expenses of $13.1 million driven by an 20% increase in average headcount, an increase in stock-based compensation expense of $8.8 million, an increase in allocated overhead costs of $5.0 million, an increase in consulting expense of $2.2 million, and an increase in employee benefits of $1.0 million.</w:t>
      </w:r>
    </w:p>
    <w:p>
      <w:pPr>
        <w:spacing w:after="0" w:line="180" w:lineRule="exact"/>
        <w:rPr>
          <w:sz w:val="20"/>
          <w:szCs w:val="20"/>
          <w:color w:val="auto"/>
        </w:rPr>
      </w:pPr>
    </w:p>
    <w:p>
      <w:pPr>
        <w:ind w:right="180" w:firstLine="318"/>
        <w:spacing w:after="0" w:line="267"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fiscal 2025, as compared to fiscal 2024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8"/>
        </w:trPr>
        <w:tc>
          <w:tcPr>
            <w:tcW w:w="5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686,159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(23,848)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662,311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9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margin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Subscription gross margin was flat in fiscal 2025, compared to fiscal 2024.</w:t>
      </w:r>
    </w:p>
    <w:p>
      <w:pPr>
        <w:spacing w:after="0" w:line="217"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Professional services gross margin decreased by 13% in fiscal 2025, compared to fiscal 2024. The decrease in professional services gross margin was primarily due to an increase in consulting expense and decreased utilization during fiscal 2025 compared to fiscal 2024.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shows sales and marketing expenses for fiscal 2025, as compared to fiscal 2024 (in thousands, except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18"/>
        </w:trPr>
        <w:tc>
          <w:tcPr>
            <w:tcW w:w="5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286"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Sales and marketing expenses increased by $382.8 million, or 34%, in fiscal 2025, compared to fiscal 2024. The increase in sales and marketing expenses was primarily due to an increase in employee-related expenses of $159.0 million driven by a 14% increase in average headcount, an increase in stock-based compensation expense of $59.7 million, an increase in marketing programs of $55.5 million, an increase in allocated overhead costs of $28.4 million, $21.4 million of expenses relating to the July 19 Incident, an increase in travel expenses of $13.1 million, an increase in company events expenses of $8.6 million, an increase in employee benefits of $6.3 million, an increase in term-based software licenses of $5.4 million, an increase in cloud hosting and related costs of $4.2 million, an increase in other labor expenses of $2.8 million, and an increase in consulting expense of $2.5 million.</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shows research and development expenses for fiscal 2025, as compared to fiscal 2024 (in thousands, except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18"/>
        </w:trPr>
        <w:tc>
          <w:tcPr>
            <w:tcW w:w="5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73"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increased by $308.4 million, or 40% in fiscal 2025, compared to fiscal 2024. This increase was primarily due to an increase in stock-based compensation expense of $131.7 million, an increase in employee-related expenses of $119.3 million driven by a 18% increase in average headcount, an increase in cloud hosting and related costs of $64.2 million, $6.8 million of expenses relating to the July 19 Incident, an increase in term-based software licenses of $6.4 million, an increase in employee benefits of $5.1 million, an increase in travel expenses of $3.2 million, and an increase in consulting expense of $1.7 million, partially offset by a decrease in allocated engineering and overhead costs of $27.5 million, an increase in software capitalization of $11.4 million, and a decrease in other labor expenses of $9.7 million.</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shows general and administrative expenses for fiscal 2025, as compared to fiscal 2024 (in thousands, except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20"/>
                <w:szCs w:val="20"/>
                <w:color w:val="auto"/>
              </w:rPr>
            </w:pPr>
          </w:p>
        </w:tc>
      </w:tr>
      <w:tr>
        <w:trPr>
          <w:trHeight w:val="219"/>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86"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by $89.6 million, or 23%, in fiscal 2025, compared to fiscal 2024. The increase in general and administrative expenses was primarily due to $31.9 million of expenses relating to the July 19 Incident, an increase in employee-related expenses of $27.2 million driven by a 19% increase in average headcount, an increase in allocated overhead costs of $6.3 million, an increase in consulting expense of $5.0 million, an increase in leased airfare costs of $4.5 million, an increase in stock-based compensation expense of $4.0 million, an increase in travel expenses of $2.3 million, an increase in company events expenses of $2.1 million, an increase in term-based software licenses of $2.1 million, an increase in taxes and licenses expenses of $2.0 million, an increase in employee related programs of $1.8 million, and an increase in other labor expenses of $1.7 million, partially offset by a decrease in legal expense of $7.5 million unrelated to the July 19 Incident.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Net</w:t>
      </w:r>
    </w:p>
    <w:p>
      <w:pPr>
        <w:spacing w:after="0" w:line="221" w:lineRule="exact"/>
        <w:rPr>
          <w:sz w:val="20"/>
          <w:szCs w:val="20"/>
          <w:color w:val="auto"/>
        </w:rPr>
      </w:pPr>
    </w:p>
    <w:p>
      <w:pPr>
        <w:ind w:right="820" w:firstLine="318"/>
        <w:spacing w:after="0" w:line="267"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income, net, for fiscal 2025, as compared to fiscal 2024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9"/>
        </w:trPr>
        <w:tc>
          <w:tcPr>
            <w:tcW w:w="5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r>
    </w:tbl>
    <w:p>
      <w:pPr>
        <w:spacing w:after="0" w:line="286"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accretion of debt discount for our Senior Notes issued in January 2021, and amortization of debt issuance costs on our Revolving Facility.</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increase in interest income during fiscal 2025 compared to fiscal 2024 was driven by an increase in our cash and cash equivalents.</w:t>
      </w:r>
    </w:p>
    <w:p>
      <w:pPr>
        <w:spacing w:after="0" w:line="21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increase in other income, net during fiscal 2025 compared to fiscal 2024 was primarily due to an increase in gains on our strategic investments of $2.4 million, a decrease in downward mark to market adjustments of $0.5 million on our strategic investments, and gains on deferred compensation assets of $0.4 million.</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shows the provision for income taxes for fiscal 2025, as compared to fiscal 2024 (in thousands, except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0"/>
                <w:szCs w:val="20"/>
                <w:color w:val="auto"/>
              </w:rPr>
            </w:pPr>
          </w:p>
        </w:tc>
      </w:tr>
      <w:tr>
        <w:trPr>
          <w:trHeight w:val="219"/>
        </w:trPr>
        <w:tc>
          <w:tcPr>
            <w:tcW w:w="5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bl>
    <w:p>
      <w:pPr>
        <w:spacing w:after="0" w:line="273" w:lineRule="exact"/>
        <w:rPr>
          <w:sz w:val="20"/>
          <w:szCs w:val="20"/>
          <w:color w:val="auto"/>
        </w:rPr>
      </w:pPr>
    </w:p>
    <w:p>
      <w:pPr>
        <w:jc w:val="both"/>
        <w:ind w:right="280" w:firstLine="318"/>
        <w:spacing w:after="0" w:line="259" w:lineRule="auto"/>
        <w:rPr>
          <w:sz w:val="20"/>
          <w:szCs w:val="20"/>
          <w:color w:val="auto"/>
        </w:rPr>
      </w:pPr>
      <w:r>
        <w:rPr>
          <w:rFonts w:ascii="Times New Roman" w:cs="Times New Roman" w:eastAsia="Times New Roman" w:hAnsi="Times New Roman"/>
          <w:sz w:val="18"/>
          <w:szCs w:val="18"/>
          <w:color w:val="auto"/>
        </w:rPr>
        <w:t>The increase in provision for income taxes during fiscal 2025 compared to fiscal 2024 was primarily attributable to intercompany sales of intellectual property from acquired entities, pre-tax foreign earnings, withholding taxes related to customer payments in certain foreign jurisdictions, and change in the realizability of deferred tax assets in certain foreign jurisdictions.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7"/>
          <w:szCs w:val="17"/>
          <w:color w:val="auto"/>
        </w:rPr>
        <w:t>Our primary sources of liquidity as of January 31, 2025, consisted of: (i) $4.3 billion in cash and cash equivalents, which mainly consists of cash on hand and highly liquid investments in money market funds and U.S. Treasury bills, (ii) cash we expect to generate from operations, and (iii) available capacity under our $750.0 million Revolving Facility. It is not currently possible to reasonably estimate the amount of loss or range of possible loss that might result from adverse judgments, settlements, penalties, or other resolution of proceedings resulting from the July 19 Incident. However, despite such uncertainties, we expect that the combination of our existing cash and cash equivalents, cash flows from operations, and the Revolving Facility will be sufficient to meet our anticipated cash needs for working capital and capital expenditures for at least the next 12 months. Our Revolving Facility matures on January 2, 2026.</w:t>
      </w:r>
    </w:p>
    <w:p>
      <w:pPr>
        <w:spacing w:after="0" w:line="169"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We have historically generated operating losses prior to fiscal 2024 and during fiscal 2025, as reflected in our accumulated deficit of $1.1 billion as of January 31, 2025. We expect to continue to make investments, particularly in sales and marketing and research and development. As a result, we may require additional capital resources in the future to execute strategic initiatives to grow our business.</w:t>
      </w:r>
    </w:p>
    <w:p>
      <w:pPr>
        <w:spacing w:after="0" w:line="178"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We generally invoice our subscription customers at the beginning of the subscription term, or in some instances, such as in multi-year arrangements, in installments. Therefore, a substantial source of our cash is from such prepayments, which are included on our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January 31, 2025, we had deferred revenue of $3.7 billion, of which</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$2.7 billion was recorded as a current liability and is expected to be recorded as revenue in the next 12 months, provided all other revenue recognition criteria have been met.</w:t>
      </w:r>
    </w:p>
    <w:p>
      <w:pPr>
        <w:spacing w:after="0" w:line="184"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4"/>
        </w:trPr>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1"/>
        </w:trPr>
        <w:tc>
          <w:tcPr>
            <w:tcW w:w="7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1"/>
                <w:szCs w:val="21"/>
                <w:color w:val="auto"/>
              </w:rPr>
            </w:pPr>
          </w:p>
        </w:tc>
      </w:tr>
      <w:tr>
        <w:trPr>
          <w:trHeight w:val="218"/>
        </w:trPr>
        <w:tc>
          <w:tcPr>
            <w:tcW w:w="7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941,007</w:t>
            </w:r>
          </w:p>
        </w:tc>
      </w:tr>
      <w:tr>
        <w:trPr>
          <w:trHeight w:val="22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(556,658)</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77,437</w:t>
            </w:r>
          </w:p>
        </w:tc>
      </w:tr>
      <w:tr>
        <w:trPr>
          <w:trHeight w:val="23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460,291</w:t>
            </w:r>
          </w:p>
        </w:tc>
      </w:tr>
    </w:tbl>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Net cash provided by operating activities during fiscal 2025 was $1.4 billion, which resulted from net loss of $16.6 million, adjusted for non-cash charges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$1.4 billion and net cash outflow of $6.0 million from changes in operating assets and liabilities. Non-cash charges primarily consisted of $865.4 million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$318.8 million of amortization of deferred contract acquisition costs, $188.0 million of depreciation and amortization,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$26.0 million of amortization of intangibles assets, $15.3 million of non-cash operating lease costs, $3.8 million of non-cash interest expense, and $2.3 million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accretion of short-term investments purchased at a discount, partially offset by $9.9 million of deferred income taxes and $6.3 million of realized gains 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investments. The net cash outflow from changes in operating assets and liabilities was primarily due to a $584.5 million increase in deferred contract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 a $274.2 million increase in accounts receivable, net, a $190.2 million increase in prepaid expenses and other assets, and a $15.7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decrease in operating lease liabilities, partially offset by a $669.3 million increase in deferred revenue, a $218.5 million increase in accrued expenses and 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 $85.9 million increase in accrued payroll and benefits, and an $84.9 million increase in accounts payable.</w:t>
      </w:r>
    </w:p>
    <w:p>
      <w:pPr>
        <w:spacing w:after="0" w:line="198"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during fiscal 2024 was $1.2 billion, which resulted from net income of $90.6 million, adjusted for non-cash charges of $1.0 billion and net cash inflow of $51.5 million from changes in operating assets and liabilities. Non-cash charges primarily consisted of $631.5 million in stock-based compensation expense, $238.9 million of amortization of deferred contract acquisition costs, $126.8 million of depreciation and amortization, $18.4 million of amortization of intangibles assets, $13.4 million of non-cash operating lease costs, and $3.2 million of non-cash interest expense, partially offset by $3.9 million of realized gains on strategic investments and a $3.4 million change in deferred income taxes. The net cash inflow from changes in operating assets and liabilities was primarily due to a $696.6 million increase in deferred revenue, a $65.1 million increase in accrued payroll and benefits, a $14.6 million increase in accrued expenses and other liabilities, partially offset by a $371.6 million increase in deferred contract acquisition costs, a $217.7 million increase in accounts receivable, net, a $102.5 million increase in prepaid expenses and other assets, a $18.9 million decrease in accounts payable, and a $14.0 million decrease in operating lease liabilities.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1"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during fiscal 2025 of $536.6 million was primarily due to business acquisitions, net of cash acquired, of $310.3 million, which was related to the Flow Security and Adaptive Shield acquisitions, purchases of property and equipment of $254.9 million, capitalized internal-use software and website development costs of $59.0 million, purchases of strategic investments of $19.7 million, and purchases of deferred compensation investments of $2.7 million, partially offset by proceeds from maturities of short-term investments of $97.3 million and proceeds from sales of strategic investments of $12.5 million.</w:t>
      </w:r>
    </w:p>
    <w:p>
      <w:pPr>
        <w:spacing w:after="0" w:line="185"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during fiscal 2024 of $340.7 million was primarily due to business acquisitions, net of cash acquired, of $239.0 million, which was related to the Bionic acquisition, purchases of short-term investments of $195.6 million, purchases of property and equipment of $176.5 million, capitalized internal-use software and website development costs of $49.5 million, purchases of strategic investments of $17.2 million, purchases of intangible assets of $11.1 million, and purchases of deferred compensation investments of $2.0 million, partially offset by proceeds from maturities and sales of short-term investments of $348.3 million, and proceeds from sales of strategic investments of $2.0 million.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1"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financing activities of $107.2 million during fiscal 2025 was primarily due to proceeds from our employee stock purchase plan of $99.6 million, capital contributions from non-controlling interest holders of $8.5 million, and proceeds from the exercise of stock options of $4.0 million, partially offset by distributions to non-controlling interest holders of $4.9 million.</w:t>
      </w:r>
    </w:p>
    <w:p>
      <w:pPr>
        <w:spacing w:after="0" w:line="178" w:lineRule="exact"/>
        <w:rPr>
          <w:sz w:val="20"/>
          <w:szCs w:val="20"/>
          <w:color w:val="auto"/>
        </w:rPr>
      </w:pPr>
    </w:p>
    <w:p>
      <w:pPr>
        <w:ind w:right="280" w:firstLine="318"/>
        <w:spacing w:after="0" w:line="304" w:lineRule="auto"/>
        <w:rPr>
          <w:sz w:val="20"/>
          <w:szCs w:val="20"/>
          <w:color w:val="auto"/>
        </w:rPr>
      </w:pPr>
      <w:r>
        <w:rPr>
          <w:rFonts w:ascii="Times New Roman" w:cs="Times New Roman" w:eastAsia="Times New Roman" w:hAnsi="Times New Roman"/>
          <w:sz w:val="17"/>
          <w:szCs w:val="17"/>
          <w:color w:val="auto"/>
        </w:rPr>
        <w:t>Net cash provided by financing activities of $93.2 million during fiscal 2024 was primarily due to proceeds from our employee stock purchase plan of $76.4 million, proceeds from the exercise of stock options of $8.7 million, and capital contributions from non-controlling interests of $8.1 million.</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219"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Our Senior Notes are guaranteed on a senior, unsecured basis by CrowdStrike, Inc. and CrowdStrike Financial Services, Inc., wholly owned subsidiaries of CrowdStrike Holdings, Inc. (the “subsidiary guarantors,” and together with CrowdStrike Holdings, Inc., the “Obligor Group”). The guarantee is full and unconditional and is subject to certain conditions for release. See Note 5, Debt, in Part II, Item 8 of this Annual Report on Form 10-K, for a brief description of the Senior Notes.</w:t>
      </w:r>
    </w:p>
    <w:p>
      <w:pPr>
        <w:spacing w:after="0" w:line="180"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We conduct our operations almost entirely through our subsidiaries. Accordingly, the Obligor Group’s cash flows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78" w:lineRule="exact"/>
        <w:rPr>
          <w:sz w:val="20"/>
          <w:szCs w:val="20"/>
          <w:color w:val="auto"/>
        </w:rPr>
      </w:pPr>
    </w:p>
    <w:p>
      <w:pPr>
        <w:ind w:right="240" w:firstLine="318"/>
        <w:spacing w:after="0" w:line="251" w:lineRule="auto"/>
        <w:rPr>
          <w:sz w:val="20"/>
          <w:szCs w:val="20"/>
          <w:color w:val="auto"/>
        </w:rPr>
      </w:pPr>
      <w:r>
        <w:rPr>
          <w:rFonts w:ascii="Times New Roman" w:cs="Times New Roman" w:eastAsia="Times New Roman" w:hAnsi="Times New Roman"/>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60" w:type="dxa"/>
            <w:vAlign w:val="bottom"/>
          </w:tcPr>
          <w:p>
            <w:pPr>
              <w:spacing w:after="0"/>
              <w:rPr>
                <w:sz w:val="17"/>
                <w:szCs w:val="17"/>
                <w:color w:val="auto"/>
              </w:rPr>
            </w:pP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95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0" w:type="dxa"/>
            <w:vAlign w:val="bottom"/>
          </w:tcPr>
          <w:p>
            <w:pPr>
              <w:spacing w:after="0"/>
              <w:rPr>
                <w:sz w:val="1"/>
                <w:szCs w:val="1"/>
                <w:color w:val="auto"/>
              </w:rPr>
            </w:pPr>
          </w:p>
        </w:tc>
      </w:tr>
      <w:tr>
        <w:trPr>
          <w:trHeight w:val="218"/>
        </w:trPr>
        <w:tc>
          <w:tcPr>
            <w:tcW w:w="9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3,948,062</w:t>
            </w:r>
          </w:p>
        </w:tc>
        <w:tc>
          <w:tcPr>
            <w:tcW w:w="0" w:type="dxa"/>
            <w:vAlign w:val="bottom"/>
          </w:tcPr>
          <w:p>
            <w:pPr>
              <w:spacing w:after="0"/>
              <w:rPr>
                <w:sz w:val="1"/>
                <w:szCs w:val="1"/>
                <w:color w:val="auto"/>
              </w:rPr>
            </w:pPr>
          </w:p>
        </w:tc>
      </w:tr>
      <w:tr>
        <w:trPr>
          <w:trHeight w:val="225"/>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1,022,627</w:t>
            </w:r>
          </w:p>
        </w:tc>
        <w:tc>
          <w:tcPr>
            <w:tcW w:w="0" w:type="dxa"/>
            <w:vAlign w:val="bottom"/>
          </w:tcPr>
          <w:p>
            <w:pPr>
              <w:spacing w:after="0"/>
              <w:rPr>
                <w:sz w:val="1"/>
                <w:szCs w:val="1"/>
                <w:color w:val="auto"/>
              </w:rPr>
            </w:pP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3,063,076</w:t>
            </w:r>
          </w:p>
        </w:tc>
        <w:tc>
          <w:tcPr>
            <w:tcW w:w="0" w:type="dxa"/>
            <w:vAlign w:val="bottom"/>
          </w:tcPr>
          <w:p>
            <w:pPr>
              <w:spacing w:after="0"/>
              <w:rPr>
                <w:sz w:val="1"/>
                <w:szCs w:val="1"/>
                <w:color w:val="auto"/>
              </w:rPr>
            </w:pPr>
          </w:p>
        </w:tc>
      </w:tr>
      <w:tr>
        <w:trPr>
          <w:trHeight w:val="225"/>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(137,641)</w:t>
            </w:r>
          </w:p>
        </w:tc>
        <w:tc>
          <w:tcPr>
            <w:tcW w:w="0" w:type="dxa"/>
            <w:vAlign w:val="bottom"/>
          </w:tcPr>
          <w:p>
            <w:pPr>
              <w:spacing w:after="0"/>
              <w:rPr>
                <w:sz w:val="1"/>
                <w:szCs w:val="1"/>
                <w:color w:val="auto"/>
              </w:rPr>
            </w:pP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(36,365)</w:t>
            </w:r>
          </w:p>
        </w:tc>
        <w:tc>
          <w:tcPr>
            <w:tcW w:w="0" w:type="dxa"/>
            <w:vAlign w:val="bottom"/>
          </w:tcPr>
          <w:p>
            <w:pPr>
              <w:spacing w:after="0"/>
              <w:rPr>
                <w:sz w:val="1"/>
                <w:szCs w:val="1"/>
                <w:color w:val="auto"/>
              </w:rPr>
            </w:pPr>
          </w:p>
        </w:tc>
      </w:tr>
      <w:tr>
        <w:trPr>
          <w:trHeight w:val="231"/>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CrowdStrike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w:t>
            </w:r>
          </w:p>
        </w:tc>
        <w:tc>
          <w:tcPr>
            <w:tcW w:w="0" w:type="dxa"/>
            <w:vAlign w:val="bottom"/>
          </w:tcPr>
          <w:p>
            <w:pPr>
              <w:spacing w:after="0"/>
              <w:rPr>
                <w:sz w:val="1"/>
                <w:szCs w:val="1"/>
                <w:color w:val="auto"/>
              </w:rPr>
            </w:pP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18"/>
        </w:trPr>
        <w:tc>
          <w:tcPr>
            <w:tcW w:w="9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(excluding current intercompany receivables from non-Guarantors)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5,922,562</w:t>
            </w:r>
          </w:p>
        </w:tc>
      </w:tr>
      <w:tr>
        <w:trPr>
          <w:trHeight w:val="225"/>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receivables from non-Guarantors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49,417</w:t>
            </w: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(excluding noncurrent intercompany receivables from non-Guarantors)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2,316,545</w:t>
            </w:r>
          </w:p>
        </w:tc>
      </w:tr>
      <w:tr>
        <w:trPr>
          <w:trHeight w:val="225"/>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receivables from non-Guarantors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613,732</w:t>
            </w: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(excluding current intercompany payables to non-Guarantors)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3,331,647</w:t>
            </w:r>
          </w:p>
        </w:tc>
      </w:tr>
      <w:tr>
        <w:trPr>
          <w:trHeight w:val="225"/>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payables to non-Guarantors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w:t>
            </w: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 (excluding noncurrent intercompany payables to non-Guarantors)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1,897,235</w:t>
            </w:r>
          </w:p>
        </w:tc>
      </w:tr>
      <w:tr>
        <w:trPr>
          <w:trHeight w:val="231"/>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payables to non-Guarantors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234,643</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1"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w:t>
      </w:r>
    </w:p>
    <w:p>
      <w:pPr>
        <w:spacing w:after="0" w:line="1" w:lineRule="exact"/>
        <w:rPr>
          <w:sz w:val="20"/>
          <w:szCs w:val="20"/>
          <w:color w:val="auto"/>
        </w:rPr>
      </w:pPr>
    </w:p>
    <w:p>
      <w:pPr>
        <w:ind w:right="120" w:firstLine="6"/>
        <w:spacing w:after="0" w:line="246" w:lineRule="auto"/>
        <w:tabs>
          <w:tab w:leader="none" w:pos="2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Our commitments consist of obligations under non-cancellable real estate arrangements on an undiscounted basis, of which $14.1 million is due in the next 12 months and $35.6 million is due thereafter. In addition, we have debt obligations related to $750.0 million aggregate principal amount of the Senior Notes due in fiscal 2030 and the interest payments associated with the Senior Notes of $22.5 million due in the next 12 months and $78.8 million due thereafter. We have non-cancellable purchase commitments with various parties to purchase products and services entered in the normal course of business totaling $2.7 billion as of January 31, 2025, with remaining terms in excess of 12 months. We expect to fund these obligations with cash flows from operations and cash on our balance sheet.</w:t>
      </w:r>
    </w:p>
    <w:p>
      <w:pPr>
        <w:spacing w:after="0" w:line="185" w:lineRule="exact"/>
        <w:rPr>
          <w:sz w:val="20"/>
          <w:szCs w:val="20"/>
          <w:color w:val="auto"/>
        </w:rPr>
      </w:pPr>
    </w:p>
    <w:p>
      <w:pPr>
        <w:ind w:right="820" w:firstLine="318"/>
        <w:spacing w:after="0" w:line="274" w:lineRule="auto"/>
        <w:rPr>
          <w:sz w:val="20"/>
          <w:szCs w:val="20"/>
          <w:color w:val="auto"/>
        </w:rPr>
      </w:pPr>
      <w:r>
        <w:rPr>
          <w:rFonts w:ascii="Times New Roman" w:cs="Times New Roman" w:eastAsia="Times New Roman" w:hAnsi="Times New Roman"/>
          <w:sz w:val="18"/>
          <w:szCs w:val="18"/>
          <w:color w:val="auto"/>
        </w:rPr>
        <w:t>As of January 31, 2025, our unrecognized tax benefits included $53.1 million, which were classified as long-term liabilities due to the inherent uncertainty with respect to the timing of future cash outflows associated with our unrecognized tax benefits.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January 31, 2025, we had non-cancellable unfunded commitments from our financing arrangements totaling approximately $94.2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upon our consolidated financial statements and notes to our consolidated financial statements, which were prepared in accordance with U.S. GAAP. The preparation of the consolidated financial statements requires our management to make estimates and assumptions that affect the amounts reported in the consolidated financial statements and accompanying notes. See Note 1, Description of Business and Significant Accounting Policies to our consolidated financial statements included in Item 8, Financial Statements and Supplementary Data of this Annual Report on Form 10-K.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accounting estimates we use in the preparation of our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consolidated financial statements. By their nature, these estimates and judgments are subject to an inherent degree of uncertainty and actual results could differ materially from the amounts reported based on these estimates.</w:t>
      </w:r>
    </w:p>
    <w:p>
      <w:pPr>
        <w:spacing w:after="0" w:line="185"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critical accounting estimates, assumptions, and judgments that we believe have the most significant impact on our consolidated financial statements are described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1"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We derive our revenue predominately from subscription revenue, which is primarily based on the solutions subscribed to by the customer. We recognize subscription revenue ratably over the contract term. Our professional services are available through time and material and fixed fee agreements. Revenue from professional services is recognized as services are performed.</w:t>
      </w:r>
    </w:p>
    <w:p>
      <w:pPr>
        <w:spacing w:after="0" w:line="17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We enter into revenue contracts with multiple performance obligations in which a customer may purchase combinations of subscriptions, support, training, and consulting service. Judgment is required when considering the terms and conditions of these contracts. The transaction price for these contracts is allocated to the separate performance obligations on a relative standalone selling price (“SSP”) basis. The SSP is the price at which we would sell promised subscription or professional services separately to a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1" w:lineRule="exact"/>
        <w:rPr>
          <w:sz w:val="20"/>
          <w:szCs w:val="20"/>
          <w:color w:val="auto"/>
        </w:rPr>
      </w:pPr>
    </w:p>
    <w:p>
      <w:pPr>
        <w:jc w:val="both"/>
        <w:ind w:right="180" w:firstLine="318"/>
        <w:spacing w:after="0" w:line="268" w:lineRule="auto"/>
        <w:rPr>
          <w:sz w:val="20"/>
          <w:szCs w:val="20"/>
          <w:color w:val="auto"/>
        </w:rPr>
      </w:pPr>
      <w:r>
        <w:rPr>
          <w:rFonts w:ascii="Times New Roman" w:cs="Times New Roman" w:eastAsia="Times New Roman" w:hAnsi="Times New Roman"/>
          <w:sz w:val="17"/>
          <w:szCs w:val="17"/>
          <w:color w:val="auto"/>
        </w:rPr>
        <w:t>We allocate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w:t>
      </w:r>
    </w:p>
    <w:p>
      <w:pPr>
        <w:spacing w:after="0" w:line="1" w:lineRule="exact"/>
        <w:rPr>
          <w:sz w:val="20"/>
          <w:szCs w:val="20"/>
          <w:color w:val="auto"/>
        </w:rPr>
      </w:pPr>
    </w:p>
    <w:p>
      <w:pPr>
        <w:jc w:val="both"/>
        <w:ind w:right="380"/>
        <w:spacing w:after="0" w:line="247"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1"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We account for unrecognized tax benefits using a more-likely-than-not threshold for financial statement recognition and measurement of tax positions taken or expected to be taken in a tax return. We establish a liability for tax-related uncertainties based on estimates of whether, and the extent to which, additional taxes will be due. Our assumptions, judgments, and estimates relative to the current provision for income taxes take into account current tax laws, our interpretation of current tax laws, and possible outcomes of current and future audits conducted by foreign and domestic tax authorities. We have established reserves for income taxes to address potential exposures involving tax positions that could be challenged by tax authorities. In addition, we are subject to the continual examination of our income tax returns by the U.S. Internal Revenue Service (“IRS”) and other domestic and foreign tax authorities. We regularly assess the likelihood of outcomes resulting from these examinations to determine the adequacy of our provision for income taxes and have reserved for potential adjustments that may result from such examinations. We believe such estimates to be reasonable; however, the final determination of any of these examinations could significantly impact the amounts provided for income taxes in our consolidated financial statements.</w:t>
      </w:r>
    </w:p>
    <w:p>
      <w:pPr>
        <w:spacing w:after="0" w:line="1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19"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See Note 1, Description of Business and Significant Accounting Policies, included in Part II, Item 8 of this Annual Report on Form 10-K for more information about the impact of certain recent accounting pronouncements on our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cash and cash equivalents primarily consist of cash on hand and highly liquid investments in money market funds, U.S. Treasury bills, and time deposits. Our short-term investments consist of U.S. Treasury bills and time deposits. Our investments do not have significant interest rate risk, as the yields on our investments are fixed rates. As of January 31, 2025, we had cash and cash equivalents of $4.3 billion. As of January 31, 2024, we had cash and cash equivalents of $3.4 billion and short-term investments of $99.6 million. The primary objectives of our investment activities are the preservation of capital, the fulfillment of liquidity needs, and the fiduciary control of cash and investments. We do not enter into investments for trading or speculative purposes. The effect of a hypothetical 100 basis point change in interest rates would not have had a material effect on the fair market value of our portfolio as of January 31, 2025 or January 31, 2024. We therefore do not expect our results of operations or cash flows to be materially affected by a sudden change in market interest rates.</w:t>
      </w:r>
    </w:p>
    <w:p>
      <w:pPr>
        <w:spacing w:after="0" w:line="190"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Our debt obligations consist of a variety of financial instruments that expose us to interest rate risk, including, but not limited to our revolving credit facility and the Senior Notes. The interest on the revolving credit facility is tied to short-term interest rate benchmarks including the Term SOFR. The interest rate on the Senior Notes is fixed.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currencies of our foreign subsidiaries are generally the country’s local currency. Foreign currency transaction gains and losses are recorded to other income (expense), net. A hypothetical 10% adverse change in the U.S. dollar against other currencies would have resulted in an increase in operating loss of approximately $108.3 million, $75.8 million and $55.5 million for the fiscal years ended January 31, 2025, January 31, 2024 and January 31, 2023 respectively. We have not entered into derivative or hedging transactions, but we may do so in the future if our exposure to foreign currency becomes more significant.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Rate Risk</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or results of operations during the fiscal years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31, 2025, January 31, 2024, or January 31, 2023. If our costs were to become subject to significant inflationary pressures, we may not be able to fully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30"/>
        </w:trPr>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440" w:type="dxa"/>
            <w:vAlign w:val="bottom"/>
            <w:gridSpan w:val="7"/>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7"/>
              </w:rPr>
              <w:t>Index to Consolidated Financial Statements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6"/>
        </w:trPr>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9"/>
        </w:trPr>
        <w:tc>
          <w:tcPr>
            <w:tcW w:w="60" w:type="dxa"/>
            <w:vAlign w:val="bottom"/>
          </w:tcPr>
          <w:p>
            <w:pPr>
              <w:spacing w:after="0"/>
              <w:rPr>
                <w:sz w:val="15"/>
                <w:szCs w:val="15"/>
                <w:color w:val="auto"/>
              </w:rPr>
            </w:pPr>
          </w:p>
        </w:tc>
        <w:tc>
          <w:tcPr>
            <w:tcW w:w="10500" w:type="dxa"/>
            <w:vAlign w:val="bottom"/>
            <w:gridSpan w:val="8"/>
          </w:tcPr>
          <w:p>
            <w:pPr>
              <w:spacing w:after="0" w:line="17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660" w:type="dxa"/>
            <w:vAlign w:val="bottom"/>
            <w:tcBorders>
              <w:top w:val="single" w:sz="8" w:color="auto"/>
            </w:tcBorders>
            <w:gridSpan w:val="2"/>
          </w:tcPr>
          <w:p>
            <w:pPr>
              <w:jc w:val="right"/>
              <w:spacing w:after="0" w:line="17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10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60" w:type="dxa"/>
            <w:vAlign w:val="bottom"/>
          </w:tcPr>
          <w:p>
            <w:pPr>
              <w:spacing w:after="0"/>
              <w:rPr>
                <w:sz w:val="16"/>
                <w:szCs w:val="16"/>
                <w:color w:val="auto"/>
              </w:rPr>
            </w:pPr>
          </w:p>
        </w:tc>
        <w:tc>
          <w:tcPr>
            <w:tcW w:w="1050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color w:val="0000FF"/>
              </w:rPr>
              <w:t>Consolidated Balance Sheets as of January 31, 2025 and 2024</w:t>
            </w:r>
          </w:p>
        </w:tc>
        <w:tc>
          <w:tcPr>
            <w:tcW w:w="6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6"/>
                <w:szCs w:val="16"/>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105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January 31, 2025, 2024 and 2023</w:t>
            </w:r>
          </w:p>
        </w:tc>
        <w:tc>
          <w:tcPr>
            <w:tcW w:w="6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7"/>
                <w:szCs w:val="17"/>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105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January 31, 2025, 2024 and 2023</w:t>
            </w:r>
          </w:p>
        </w:tc>
        <w:tc>
          <w:tcPr>
            <w:tcW w:w="6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7"/>
                <w:szCs w:val="17"/>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792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January 31, 2025, 2024 and 2023</w:t>
            </w:r>
          </w:p>
        </w:tc>
        <w:tc>
          <w:tcPr>
            <w:tcW w:w="2580" w:type="dxa"/>
            <w:vAlign w:val="bottom"/>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7"/>
                <w:szCs w:val="17"/>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65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years ended January 31, 2025, 2024 and 2023</w:t>
            </w:r>
          </w:p>
        </w:tc>
        <w:tc>
          <w:tcPr>
            <w:tcW w:w="660" w:type="dxa"/>
            <w:vAlign w:val="bottom"/>
          </w:tcPr>
          <w:p>
            <w:pPr>
              <w:spacing w:after="0"/>
              <w:rPr>
                <w:sz w:val="17"/>
                <w:szCs w:val="17"/>
                <w:color w:val="auto"/>
              </w:rPr>
            </w:pPr>
          </w:p>
        </w:tc>
        <w:tc>
          <w:tcPr>
            <w:tcW w:w="3260" w:type="dxa"/>
            <w:vAlign w:val="bottom"/>
            <w:gridSpan w:val="2"/>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7"/>
                <w:szCs w:val="17"/>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65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920" w:type="dxa"/>
            <w:vAlign w:val="bottom"/>
            <w:gridSpan w:val="3"/>
          </w:tcPr>
          <w:p>
            <w:pPr>
              <w:spacing w:after="0"/>
              <w:rPr>
                <w:sz w:val="17"/>
                <w:szCs w:val="17"/>
                <w:color w:val="auto"/>
              </w:rPr>
            </w:pPr>
          </w:p>
        </w:tc>
        <w:tc>
          <w:tcPr>
            <w:tcW w:w="66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7"/>
                <w:szCs w:val="17"/>
                <w:color w:val="auto"/>
              </w:rPr>
            </w:pPr>
          </w:p>
        </w:tc>
      </w:tr>
      <w:tr>
        <w:trPr>
          <w:trHeight w:val="908"/>
        </w:trPr>
        <w:tc>
          <w:tcPr>
            <w:tcW w:w="60" w:type="dxa"/>
            <w:vAlign w:val="bottom"/>
          </w:tcPr>
          <w:p>
            <w:pPr>
              <w:spacing w:after="0"/>
              <w:rPr>
                <w:sz w:val="24"/>
                <w:szCs w:val="24"/>
                <w:color w:val="auto"/>
              </w:rPr>
            </w:pPr>
          </w:p>
        </w:tc>
        <w:tc>
          <w:tcPr>
            <w:tcW w:w="3060" w:type="dxa"/>
            <w:vAlign w:val="bottom"/>
            <w:tcBorders>
              <w:top w:val="single" w:sz="8" w:color="0000FF"/>
            </w:tcBorders>
          </w:tcPr>
          <w:p>
            <w:pPr>
              <w:spacing w:after="0"/>
              <w:rPr>
                <w:sz w:val="24"/>
                <w:szCs w:val="24"/>
                <w:color w:val="auto"/>
              </w:rPr>
            </w:pPr>
          </w:p>
        </w:tc>
        <w:tc>
          <w:tcPr>
            <w:tcW w:w="34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6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the Board of Directors and Stockholders of CrowdStrike Holdings, Inc.</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1"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CrowdStrike Holdings, Inc. and its subsidiaries (the "Company") as of January 31, 2025 and 2024, and the related consolidated statements of operations, of comprehensive income (loss), of stockholders’ equity and of cash flows for each of the three years in the period ended January 31, 2025, including the related notes (collectively referred to as the "consolidated financial statements"). We also have audited the Company's internal control over financial reporting as of January 31, 2025, based on criteria established in Internal Control - Integrated Framework (2013) issued by the Committee of Sponsoring Organizations of the Treadway Commission (COSO).</w:t>
      </w:r>
    </w:p>
    <w:p>
      <w:pPr>
        <w:spacing w:after="0" w:line="18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January 31, 2025 and 2024, and the results of its operations and its cash flows for each of the three years in the period ended January 31, 2025 in conformity with accounting principles generally accepted in the United States of America. Also in our opinion, the Company maintained, in all material respects, effective internal control over financial reporting as of January 31, 2025, based on criteria established in Internal Control - Integrated Framework (2013) issued by the COSO.</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right="600" w:firstLine="318"/>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8" w:lineRule="exact"/>
        <w:rPr>
          <w:sz w:val="20"/>
          <w:szCs w:val="20"/>
          <w:color w:val="auto"/>
        </w:rPr>
      </w:pPr>
    </w:p>
    <w:p>
      <w:pPr>
        <w:ind w:right="180" w:firstLine="318"/>
        <w:spacing w:after="0" w:line="267"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1" w:lineRule="exact"/>
        <w:rPr>
          <w:sz w:val="20"/>
          <w:szCs w:val="20"/>
          <w:color w:val="auto"/>
        </w:rPr>
      </w:pPr>
    </w:p>
    <w:p>
      <w:pPr>
        <w:ind w:right="60" w:firstLine="318"/>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1"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 Recognition – Subscription Revenue</w:t>
      </w:r>
    </w:p>
    <w:p>
      <w:pPr>
        <w:spacing w:after="0" w:line="21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subscription revenues are primarily comprised of fees that give customers access to the ordered service, related support and updates, if any, during the subscription term. The Company initially records the subscription fees as deferred revenue and recognizes revenue on a straight-line basis over the term of the agreement. The Company recognized consolidated subscription revenue of $3,761.5 million for the year ended January 31, 2025.</w:t>
      </w:r>
    </w:p>
    <w:p>
      <w:pPr>
        <w:spacing w:after="0" w:line="180"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subscription revenue is a critical audit matter is a high degree of auditor effort in performing procedures relating to the Company’s subscription revenue recognition.</w:t>
      </w:r>
    </w:p>
    <w:p>
      <w:pPr>
        <w:spacing w:after="0" w:line="163"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subscription revenue recognition process. These procedures also included, among others (i) testing subscription revenue recognized for a sample of revenue transactions by obtaining and inspecting source documents, such as agreements, evidence of delivery of the service, invoices, and receipt of payment and (ii) confirming a sample of outstanding customer invoice balances as of January 31, 2025 and, for confirmations not returned, obtaining and inspecting source documents, such as agreements, evidence of delivery of the service, invoices, and subsequent receipt of payment.</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March 10, 2025</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4,323,295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3,375,069</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99,591</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$2.8 million and $2.2 million as of January 31, 2025 and January 31, 2024, respectively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1,128,564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853,105</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347,042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246,370</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314,444</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183,172</w:t>
            </w:r>
          </w:p>
        </w:tc>
        <w:tc>
          <w:tcPr>
            <w:tcW w:w="0" w:type="dxa"/>
            <w:vAlign w:val="bottom"/>
          </w:tcPr>
          <w:p>
            <w:pPr>
              <w:spacing w:after="0"/>
              <w:rPr>
                <w:sz w:val="1"/>
                <w:szCs w:val="1"/>
                <w:color w:val="auto"/>
              </w:rPr>
            </w:pPr>
          </w:p>
        </w:tc>
      </w:tr>
      <w:tr>
        <w:trPr>
          <w:trHeight w:val="185"/>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6,113,345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4,757,307</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56,244</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788,640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620,172</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48,211</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500,908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335,933</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912,805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638,041</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133,114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114,518</w:t>
            </w:r>
          </w:p>
        </w:tc>
        <w:tc>
          <w:tcPr>
            <w:tcW w:w="0" w:type="dxa"/>
            <w:vAlign w:val="bottom"/>
          </w:tcPr>
          <w:p>
            <w:pPr>
              <w:spacing w:after="0"/>
              <w:rPr>
                <w:sz w:val="1"/>
                <w:szCs w:val="1"/>
                <w:color w:val="auto"/>
              </w:rPr>
            </w:pPr>
          </w:p>
        </w:tc>
      </w:tr>
      <w:tr>
        <w:trPr>
          <w:trHeight w:val="19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137,459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76,094</w:t>
            </w:r>
          </w:p>
        </w:tc>
        <w:tc>
          <w:tcPr>
            <w:tcW w:w="0" w:type="dxa"/>
            <w:vAlign w:val="bottom"/>
          </w:tcPr>
          <w:p>
            <w:pPr>
              <w:spacing w:after="0"/>
              <w:rPr>
                <w:sz w:val="1"/>
                <w:szCs w:val="1"/>
                <w:color w:val="auto"/>
              </w:rPr>
            </w:pPr>
          </w:p>
        </w:tc>
      </w:tr>
      <w:tr>
        <w:trPr>
          <w:trHeight w:val="199"/>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8,701,578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6,646,520</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52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130,887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28,180</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191,349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125,896</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319,243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234,624</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14,150</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2,733,005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2,270,757</w:t>
            </w:r>
          </w:p>
        </w:tc>
        <w:tc>
          <w:tcPr>
            <w:tcW w:w="0" w:type="dxa"/>
            <w:vAlign w:val="bottom"/>
          </w:tcPr>
          <w:p>
            <w:pPr>
              <w:spacing w:after="0"/>
              <w:rPr>
                <w:sz w:val="1"/>
                <w:szCs w:val="1"/>
                <w:color w:val="auto"/>
              </w:rPr>
            </w:pPr>
          </w:p>
        </w:tc>
      </w:tr>
      <w:tr>
        <w:trPr>
          <w:trHeight w:val="192"/>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23,672</w:t>
            </w:r>
          </w:p>
        </w:tc>
        <w:tc>
          <w:tcPr>
            <w:tcW w:w="0" w:type="dxa"/>
            <w:vAlign w:val="bottom"/>
          </w:tcPr>
          <w:p>
            <w:pPr>
              <w:spacing w:after="0"/>
              <w:rPr>
                <w:sz w:val="1"/>
                <w:szCs w:val="1"/>
                <w:color w:val="auto"/>
              </w:rPr>
            </w:pPr>
          </w:p>
        </w:tc>
      </w:tr>
      <w:tr>
        <w:trPr>
          <w:trHeight w:val="19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3,461,050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2,697,279</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743,983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742,494</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995,672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783,342</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36,230</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150,849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50,086</w:t>
            </w:r>
          </w:p>
        </w:tc>
        <w:tc>
          <w:tcPr>
            <w:tcW w:w="0" w:type="dxa"/>
            <w:vAlign w:val="bottom"/>
          </w:tcPr>
          <w:p>
            <w:pPr>
              <w:spacing w:after="0"/>
              <w:rPr>
                <w:sz w:val="1"/>
                <w:szCs w:val="1"/>
                <w:color w:val="auto"/>
              </w:rPr>
            </w:pPr>
          </w:p>
        </w:tc>
      </w:tr>
      <w:tr>
        <w:trPr>
          <w:trHeight w:val="185"/>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5,382,661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4,309,431</w:t>
            </w:r>
          </w:p>
        </w:tc>
        <w:tc>
          <w:tcPr>
            <w:tcW w:w="0" w:type="dxa"/>
            <w:vAlign w:val="bottom"/>
          </w:tcPr>
          <w:p>
            <w:pPr>
              <w:spacing w:after="0"/>
              <w:rPr>
                <w:sz w:val="1"/>
                <w:szCs w:val="1"/>
                <w:color w:val="auto"/>
              </w:rPr>
            </w:pPr>
          </w:p>
        </w:tc>
      </w:tr>
      <w:tr>
        <w:trPr>
          <w:trHeight w:val="18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85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Preferred stock, $0.0005 par value; 100,000 shares authorized as of January 31, 2025 and January 31, 2024; no shares issued and outstanding as of</w:t>
            </w:r>
          </w:p>
        </w:tc>
        <w:tc>
          <w:tcPr>
            <w:tcW w:w="3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31, 2025 and January 31, 2024.</w:t>
            </w:r>
          </w:p>
        </w:tc>
        <w:tc>
          <w:tcPr>
            <w:tcW w:w="3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5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Class A common stock, $0.0005 par value; 2,000,000 shares authorized as of January 31, 2025 and January 31, 2024; 247,872 shares, and 229,380</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issued and outstanding as of January 31, 2025 and January 31, 2024, respectively; Class B common stock, $0.0005 par value; 92,364 shares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5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and 300,000 shares authorized as of January 31, 2025 and January 31, 2024, respectively; 0 shares, and 12,485 shares issued and outstanding as of</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4"/>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31, 2025 and January 31, 2024, respectively.</w:t>
            </w: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4,367,070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3,364,328</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(1,078,107)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(1,058,836)</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185"/>
        </w:trPr>
        <w:tc>
          <w:tcPr>
            <w:tcW w:w="8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CrowdStrike Holdings, Inc. stockholders’ equity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3,279,494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2,303,950</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33,139</w:t>
            </w:r>
          </w:p>
        </w:tc>
        <w:tc>
          <w:tcPr>
            <w:tcW w:w="0" w:type="dxa"/>
            <w:vAlign w:val="bottom"/>
          </w:tcPr>
          <w:p>
            <w:pPr>
              <w:spacing w:after="0"/>
              <w:rPr>
                <w:sz w:val="1"/>
                <w:szCs w:val="1"/>
                <w:color w:val="auto"/>
              </w:rPr>
            </w:pPr>
          </w:p>
        </w:tc>
      </w:tr>
      <w:tr>
        <w:trPr>
          <w:trHeight w:val="185"/>
        </w:trPr>
        <w:tc>
          <w:tcPr>
            <w:tcW w:w="8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3,318,917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2,337,089</w:t>
            </w:r>
          </w:p>
        </w:tc>
        <w:tc>
          <w:tcPr>
            <w:tcW w:w="0" w:type="dxa"/>
            <w:vAlign w:val="bottom"/>
          </w:tcPr>
          <w:p>
            <w:pPr>
              <w:spacing w:after="0"/>
              <w:rPr>
                <w:sz w:val="1"/>
                <w:szCs w:val="1"/>
                <w:color w:val="auto"/>
              </w:rPr>
            </w:pPr>
          </w:p>
        </w:tc>
      </w:tr>
      <w:tr>
        <w:trPr>
          <w:trHeight w:val="224"/>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8,701,578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6,646,520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18"/>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71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3,761,480</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2,870,557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2,111,660</w:t>
            </w:r>
          </w:p>
        </w:tc>
      </w:tr>
      <w:tr>
        <w:trPr>
          <w:trHeight w:val="22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129,576</w:t>
            </w:r>
          </w:p>
        </w:tc>
      </w:tr>
      <w:tr>
        <w:trPr>
          <w:trHeight w:val="218"/>
        </w:trPr>
        <w:tc>
          <w:tcPr>
            <w:tcW w:w="7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3,055,555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2,241,236</w:t>
            </w:r>
          </w:p>
        </w:tc>
      </w:tr>
      <w:tr>
        <w:trPr>
          <w:trHeight w:val="245"/>
        </w:trPr>
        <w:tc>
          <w:tcPr>
            <w:tcW w:w="7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511,684</w:t>
            </w:r>
          </w:p>
        </w:tc>
      </w:tr>
      <w:tr>
        <w:trPr>
          <w:trHeight w:val="225"/>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89,547</w:t>
            </w:r>
          </w:p>
        </w:tc>
      </w:tr>
      <w:tr>
        <w:trPr>
          <w:trHeight w:val="219"/>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601,231</w:t>
            </w:r>
          </w:p>
        </w:tc>
      </w:tr>
      <w:tr>
        <w:trPr>
          <w:trHeight w:val="245"/>
        </w:trPr>
        <w:tc>
          <w:tcPr>
            <w:tcW w:w="7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1,640,005</w:t>
            </w:r>
          </w:p>
        </w:tc>
      </w:tr>
      <w:tr>
        <w:trPr>
          <w:trHeight w:val="265"/>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904,409</w:t>
            </w:r>
          </w:p>
        </w:tc>
      </w:tr>
      <w:tr>
        <w:trPr>
          <w:trHeight w:val="22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608,364</w:t>
            </w:r>
          </w:p>
        </w:tc>
      </w:tr>
      <w:tr>
        <w:trPr>
          <w:trHeight w:val="225"/>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317,344</w:t>
            </w:r>
          </w:p>
        </w:tc>
      </w:tr>
      <w:tr>
        <w:trPr>
          <w:trHeight w:val="219"/>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3,082,573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1,830,117</w:t>
            </w:r>
          </w:p>
        </w:tc>
      </w:tr>
      <w:tr>
        <w:trPr>
          <w:trHeight w:val="245"/>
        </w:trPr>
        <w:tc>
          <w:tcPr>
            <w:tcW w:w="7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(190,112)</w:t>
            </w:r>
          </w:p>
        </w:tc>
      </w:tr>
      <w:tr>
        <w:trPr>
          <w:trHeight w:val="22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w:t>
            </w: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52,495</w:t>
            </w:r>
          </w:p>
        </w:tc>
      </w:tr>
      <w:tr>
        <w:trPr>
          <w:trHeight w:val="225"/>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45"/>
        </w:trPr>
        <w:tc>
          <w:tcPr>
            <w:tcW w:w="7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(159,883)</w:t>
            </w:r>
          </w:p>
        </w:tc>
      </w:tr>
      <w:tr>
        <w:trPr>
          <w:trHeight w:val="265"/>
        </w:trPr>
        <w:tc>
          <w:tcPr>
            <w:tcW w:w="7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5"/>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22,402</w:t>
            </w:r>
          </w:p>
        </w:tc>
      </w:tr>
      <w:tr>
        <w:trPr>
          <w:trHeight w:val="245"/>
        </w:trPr>
        <w:tc>
          <w:tcPr>
            <w:tcW w:w="7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(182,285)</w:t>
            </w: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1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(183,245)</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1"/>
        </w:trPr>
        <w:tc>
          <w:tcPr>
            <w:tcW w:w="7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3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CrowdStrike common stockholders: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70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w w:val="97"/>
              </w:rPr>
              <w:t>Weighted-average shares used in computing net income (loss) per share attributable to CrowdStrike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34860" cy="176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-597535</wp:posOffset>
            </wp:positionV>
            <wp:extent cx="7134860" cy="260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-934085</wp:posOffset>
            </wp:positionV>
            <wp:extent cx="7134860" cy="160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244,750</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238,637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233,139</w:t>
            </w: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95"/>
              </w:rPr>
              <w:t>244,750</w:t>
            </w: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-7620</wp:posOffset>
            </wp:positionV>
            <wp:extent cx="8331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-209550</wp:posOffset>
            </wp:positionV>
            <wp:extent cx="8331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-630555</wp:posOffset>
            </wp:positionV>
            <wp:extent cx="8331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-781685</wp:posOffset>
            </wp:positionV>
            <wp:extent cx="8331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560"/>
            <w:col w:w="3480"/>
          </w:cols>
          <w:pgMar w:left="320" w:top="121" w:right="339" w:bottom="1440" w:gutter="0" w:footer="0" w:header="0"/>
          <w:type w:val="continuous"/>
        </w:sectPr>
      </w:pPr>
    </w:p>
    <w:p>
      <w:pPr>
        <w:spacing w:after="0" w:line="8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100" w:type="dxa"/>
            <w:vAlign w:val="bottom"/>
            <w:tcBorders>
              <w:bottom w:val="single" w:sz="8" w:color="auto"/>
            </w:tcBorders>
          </w:tcPr>
          <w:p>
            <w:pPr>
              <w:spacing w:after="0"/>
              <w:rPr>
                <w:sz w:val="20"/>
                <w:szCs w:val="20"/>
                <w:color w:val="auto"/>
              </w:rPr>
            </w:pPr>
          </w:p>
        </w:tc>
      </w:tr>
      <w:tr>
        <w:trPr>
          <w:trHeight w:val="218"/>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(182,285)</w:t>
            </w: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5"/>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gain (loss) on cash equivalents and short-term investments, net of tax</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5"/>
        </w:trPr>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attributable to CrowdStrike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b w:val="1"/>
          <w:bCs w:val="1"/>
          <w:color w:val="auto"/>
        </w:rPr>
        <w:t>CrowdStrike Holdings, Inc.</w:t>
      </w:r>
    </w:p>
    <w:p>
      <w:pPr>
        <w:spacing w:after="0" w:line="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78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8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40" w:type="dxa"/>
            <w:vAlign w:val="bottom"/>
            <w:gridSpan w:val="3"/>
            <w:vMerge w:val="restart"/>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vMerge w:val="restart"/>
          </w:tcPr>
          <w:p>
            <w:pPr>
              <w:jc w:val="center"/>
              <w:ind w:right="38"/>
              <w:spacing w:after="0" w:line="10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2"/>
                <w:szCs w:val="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8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71"/>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Balances at January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230,706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1,991,807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(964,918)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(1,240)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11,879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1,037,643</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of common stock upon exercise of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8,655</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Issuance of common stock under RSU and PSU release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59,419</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Issuance of common stock for restricted stock awards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Vesting of early exercised options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2,204</w:t>
            </w:r>
          </w:p>
        </w:tc>
        <w:tc>
          <w:tcPr>
            <w:tcW w:w="0" w:type="dxa"/>
            <w:vAlign w:val="bottom"/>
          </w:tcPr>
          <w:p>
            <w:pPr>
              <w:spacing w:after="0"/>
              <w:rPr>
                <w:sz w:val="1"/>
                <w:szCs w:val="1"/>
                <w:color w:val="auto"/>
              </w:rPr>
            </w:pPr>
          </w:p>
        </w:tc>
      </w:tr>
      <w:tr>
        <w:trPr>
          <w:trHeight w:val="134"/>
        </w:trPr>
        <w:tc>
          <w:tcPr>
            <w:tcW w:w="3800" w:type="dxa"/>
            <w:vAlign w:val="bottom"/>
            <w:shd w:val="clear" w:color="auto" w:fill="CCEEFF"/>
          </w:tcPr>
          <w:p>
            <w:pPr>
              <w:ind w:left="280"/>
              <w:spacing w:after="0" w:line="134" w:lineRule="exact"/>
              <w:rPr>
                <w:sz w:val="20"/>
                <w:szCs w:val="20"/>
                <w:color w:val="auto"/>
              </w:rPr>
            </w:pPr>
            <w:r>
              <w:rPr>
                <w:rFonts w:ascii="Times New Roman" w:cs="Times New Roman" w:eastAsia="Times New Roman" w:hAnsi="Times New Roman"/>
                <w:sz w:val="12"/>
                <w:szCs w:val="12"/>
                <w:color w:val="auto"/>
              </w:rPr>
              <w:t>Issuance of common stock for founders holdbacks related to</w:t>
            </w:r>
          </w:p>
        </w:tc>
        <w:tc>
          <w:tcPr>
            <w:tcW w:w="8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10,645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10,645</w:t>
            </w:r>
          </w:p>
        </w:tc>
        <w:tc>
          <w:tcPr>
            <w:tcW w:w="0" w:type="dxa"/>
            <w:vAlign w:val="bottom"/>
          </w:tcPr>
          <w:p>
            <w:pPr>
              <w:spacing w:after="0"/>
              <w:rPr>
                <w:sz w:val="1"/>
                <w:szCs w:val="1"/>
                <w:color w:val="auto"/>
              </w:rPr>
            </w:pPr>
          </w:p>
        </w:tc>
      </w:tr>
      <w:tr>
        <w:trPr>
          <w:trHeight w:val="177"/>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acquisitions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Stock-based compensation expense, net of founder revest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519,735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519,735</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Capitalized stock-based compensation</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20,193</w:t>
            </w:r>
          </w:p>
        </w:tc>
        <w:tc>
          <w:tcPr>
            <w:tcW w:w="0" w:type="dxa"/>
            <w:vAlign w:val="bottom"/>
          </w:tcPr>
          <w:p>
            <w:pPr>
              <w:spacing w:after="0"/>
              <w:rPr>
                <w:sz w:val="1"/>
                <w:szCs w:val="1"/>
                <w:color w:val="auto"/>
              </w:rPr>
            </w:pPr>
          </w:p>
        </w:tc>
      </w:tr>
      <w:tr>
        <w:trPr>
          <w:trHeight w:val="128"/>
        </w:trPr>
        <w:tc>
          <w:tcPr>
            <w:tcW w:w="3800" w:type="dxa"/>
            <w:vAlign w:val="bottom"/>
          </w:tcPr>
          <w:p>
            <w:pPr>
              <w:ind w:left="280"/>
              <w:spacing w:after="0" w:line="128" w:lineRule="exact"/>
              <w:rPr>
                <w:sz w:val="20"/>
                <w:szCs w:val="20"/>
                <w:color w:val="auto"/>
              </w:rPr>
            </w:pPr>
            <w:r>
              <w:rPr>
                <w:rFonts w:ascii="Times New Roman" w:cs="Times New Roman" w:eastAsia="Times New Roman" w:hAnsi="Times New Roman"/>
                <w:sz w:val="12"/>
                <w:szCs w:val="12"/>
                <w:color w:val="auto"/>
              </w:rPr>
              <w:t>Fair value of replacement equity awards attributable to pre-acquisition</w:t>
            </w:r>
          </w:p>
        </w:tc>
        <w:tc>
          <w:tcPr>
            <w:tcW w:w="90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80" w:type="dxa"/>
            <w:vAlign w:val="bottom"/>
          </w:tcPr>
          <w:p>
            <w:pPr>
              <w:jc w:val="right"/>
              <w:ind w:right="18"/>
              <w:spacing w:after="0" w:line="128" w:lineRule="exact"/>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69"/>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service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income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(183,245)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(182,285)</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Non-controlling interest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10,954</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221</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Balances at January 31, 2023</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235,777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118</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2,612,705</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(1,148,163)</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(1,019)</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23,793</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1,487,434</w:t>
            </w:r>
          </w:p>
        </w:tc>
        <w:tc>
          <w:tcPr>
            <w:tcW w:w="0" w:type="dxa"/>
            <w:vAlign w:val="bottom"/>
          </w:tcPr>
          <w:p>
            <w:pPr>
              <w:spacing w:after="0"/>
              <w:rPr>
                <w:sz w:val="1"/>
                <w:szCs w:val="1"/>
                <w:color w:val="auto"/>
              </w:rPr>
            </w:pPr>
          </w:p>
        </w:tc>
      </w:tr>
      <w:tr>
        <w:trPr>
          <w:trHeight w:val="177"/>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Issuance of common stock upon exercise of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8,695</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of common stock under RSU and PSU release</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76,375</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of common stock for restricted stock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4"/>
        </w:trPr>
        <w:tc>
          <w:tcPr>
            <w:tcW w:w="3800" w:type="dxa"/>
            <w:vAlign w:val="bottom"/>
            <w:shd w:val="clear" w:color="auto" w:fill="CCEEFF"/>
          </w:tcPr>
          <w:p>
            <w:pPr>
              <w:ind w:left="280"/>
              <w:spacing w:after="0" w:line="134" w:lineRule="exact"/>
              <w:rPr>
                <w:sz w:val="20"/>
                <w:szCs w:val="20"/>
                <w:color w:val="auto"/>
              </w:rPr>
            </w:pPr>
            <w:r>
              <w:rPr>
                <w:rFonts w:ascii="Times New Roman" w:cs="Times New Roman" w:eastAsia="Times New Roman" w:hAnsi="Times New Roman"/>
                <w:sz w:val="12"/>
                <w:szCs w:val="12"/>
                <w:color w:val="auto"/>
              </w:rPr>
              <w:t>Issuance of common stock for founders holdbacks related to</w:t>
            </w:r>
          </w:p>
        </w:tc>
        <w:tc>
          <w:tcPr>
            <w:tcW w:w="8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4,314</w:t>
            </w:r>
          </w:p>
        </w:tc>
        <w:tc>
          <w:tcPr>
            <w:tcW w:w="0" w:type="dxa"/>
            <w:vAlign w:val="bottom"/>
          </w:tcPr>
          <w:p>
            <w:pPr>
              <w:spacing w:after="0"/>
              <w:rPr>
                <w:sz w:val="1"/>
                <w:szCs w:val="1"/>
                <w:color w:val="auto"/>
              </w:rPr>
            </w:pPr>
          </w:p>
        </w:tc>
      </w:tr>
      <w:tr>
        <w:trPr>
          <w:trHeight w:val="177"/>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acquisitions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of common stock for payment of board of director fees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344</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Stock-based compensation expense, net of founder revest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626,861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626,861</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Capitalized 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34,385</w:t>
            </w:r>
          </w:p>
        </w:tc>
        <w:tc>
          <w:tcPr>
            <w:tcW w:w="0" w:type="dxa"/>
            <w:vAlign w:val="bottom"/>
          </w:tcPr>
          <w:p>
            <w:pPr>
              <w:spacing w:after="0"/>
              <w:rPr>
                <w:sz w:val="1"/>
                <w:szCs w:val="1"/>
                <w:color w:val="auto"/>
              </w:rPr>
            </w:pPr>
          </w:p>
        </w:tc>
      </w:tr>
      <w:tr>
        <w:trPr>
          <w:trHeight w:val="134"/>
        </w:trPr>
        <w:tc>
          <w:tcPr>
            <w:tcW w:w="3800" w:type="dxa"/>
            <w:vAlign w:val="bottom"/>
            <w:shd w:val="clear" w:color="auto" w:fill="CCEEFF"/>
          </w:tcPr>
          <w:p>
            <w:pPr>
              <w:ind w:left="280"/>
              <w:spacing w:after="0" w:line="134" w:lineRule="exact"/>
              <w:rPr>
                <w:sz w:val="20"/>
                <w:szCs w:val="20"/>
                <w:color w:val="auto"/>
              </w:rPr>
            </w:pPr>
            <w:r>
              <w:rPr>
                <w:rFonts w:ascii="Times New Roman" w:cs="Times New Roman" w:eastAsia="Times New Roman" w:hAnsi="Times New Roman"/>
                <w:sz w:val="12"/>
                <w:szCs w:val="12"/>
                <w:color w:val="auto"/>
              </w:rPr>
              <w:t>Fair value of replacement equity awards attributable to pre-acquisition</w:t>
            </w:r>
          </w:p>
        </w:tc>
        <w:tc>
          <w:tcPr>
            <w:tcW w:w="90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652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2"/>
                <w:szCs w:val="12"/>
                <w:color w:val="auto"/>
              </w:rPr>
              <w:t>652</w:t>
            </w:r>
          </w:p>
        </w:tc>
        <w:tc>
          <w:tcPr>
            <w:tcW w:w="0" w:type="dxa"/>
            <w:vAlign w:val="bottom"/>
          </w:tcPr>
          <w:p>
            <w:pPr>
              <w:spacing w:after="0"/>
              <w:rPr>
                <w:sz w:val="1"/>
                <w:szCs w:val="1"/>
                <w:color w:val="auto"/>
              </w:rPr>
            </w:pPr>
          </w:p>
        </w:tc>
      </w:tr>
      <w:tr>
        <w:trPr>
          <w:trHeight w:val="177"/>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service</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90,585</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Non-controlling interest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8,088</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Other comprehensive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(644)</w:t>
            </w:r>
          </w:p>
        </w:tc>
        <w:tc>
          <w:tcPr>
            <w:tcW w:w="0" w:type="dxa"/>
            <w:vAlign w:val="bottom"/>
          </w:tcPr>
          <w:p>
            <w:pPr>
              <w:spacing w:after="0"/>
              <w:rPr>
                <w:sz w:val="1"/>
                <w:szCs w:val="1"/>
                <w:color w:val="auto"/>
              </w:rPr>
            </w:pPr>
          </w:p>
        </w:tc>
      </w:tr>
      <w:tr>
        <w:trPr>
          <w:trHeight w:val="172"/>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Balances at January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241,865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3,364,328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(1,058,836)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(1,663)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33,139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2,337,089</w:t>
            </w:r>
          </w:p>
        </w:tc>
        <w:tc>
          <w:tcPr>
            <w:tcW w:w="0" w:type="dxa"/>
            <w:vAlign w:val="bottom"/>
          </w:tcPr>
          <w:p>
            <w:pPr>
              <w:spacing w:after="0"/>
              <w:rPr>
                <w:sz w:val="1"/>
                <w:szCs w:val="1"/>
                <w:color w:val="auto"/>
              </w:rPr>
            </w:pPr>
          </w:p>
        </w:tc>
      </w:tr>
      <w:tr>
        <w:trPr>
          <w:trHeight w:val="168"/>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of common stock upon exercise of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3,983</w:t>
            </w: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Issuance of common stock under RSU and PSU release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99,616</w:t>
            </w: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Issuance of common stock for restricted stock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Issuance of common stock for founders holdbacks related to</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3,555</w:t>
            </w:r>
          </w:p>
        </w:tc>
        <w:tc>
          <w:tcPr>
            <w:tcW w:w="0" w:type="dxa"/>
            <w:vAlign w:val="bottom"/>
          </w:tcPr>
          <w:p>
            <w:pPr>
              <w:spacing w:after="0"/>
              <w:rPr>
                <w:sz w:val="1"/>
                <w:szCs w:val="1"/>
                <w:color w:val="auto"/>
              </w:rPr>
            </w:pPr>
          </w:p>
        </w:tc>
      </w:tr>
      <w:tr>
        <w:trPr>
          <w:trHeight w:val="160"/>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acquisitions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Issuance of common stock for payment of board of director fees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348</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Stock-based compensation expense, net of founder revest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857,129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857,129</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Capitalized stock-based compensation</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36,959</w:t>
            </w:r>
          </w:p>
        </w:tc>
        <w:tc>
          <w:tcPr>
            <w:tcW w:w="0" w:type="dxa"/>
            <w:vAlign w:val="bottom"/>
          </w:tcPr>
          <w:p>
            <w:pPr>
              <w:spacing w:after="0"/>
              <w:rPr>
                <w:sz w:val="1"/>
                <w:szCs w:val="1"/>
                <w:color w:val="auto"/>
              </w:rPr>
            </w:pPr>
          </w:p>
        </w:tc>
      </w:tr>
      <w:tr>
        <w:trPr>
          <w:trHeight w:val="128"/>
        </w:trPr>
        <w:tc>
          <w:tcPr>
            <w:tcW w:w="3800" w:type="dxa"/>
            <w:vAlign w:val="bottom"/>
          </w:tcPr>
          <w:p>
            <w:pPr>
              <w:ind w:left="280"/>
              <w:spacing w:after="0" w:line="128" w:lineRule="exact"/>
              <w:rPr>
                <w:sz w:val="20"/>
                <w:szCs w:val="20"/>
                <w:color w:val="auto"/>
              </w:rPr>
            </w:pPr>
            <w:r>
              <w:rPr>
                <w:rFonts w:ascii="Times New Roman" w:cs="Times New Roman" w:eastAsia="Times New Roman" w:hAnsi="Times New Roman"/>
                <w:sz w:val="12"/>
                <w:szCs w:val="12"/>
                <w:color w:val="auto"/>
              </w:rPr>
              <w:t>Fair value of replacement equity awards attributable to pre-acquisition</w:t>
            </w:r>
          </w:p>
        </w:tc>
        <w:tc>
          <w:tcPr>
            <w:tcW w:w="90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80" w:type="dxa"/>
            <w:vAlign w:val="bottom"/>
          </w:tcPr>
          <w:p>
            <w:pPr>
              <w:jc w:val="right"/>
              <w:ind w:right="18"/>
              <w:spacing w:after="0" w:line="128" w:lineRule="exact"/>
              <w:rPr>
                <w:sz w:val="20"/>
                <w:szCs w:val="20"/>
                <w:color w:val="auto"/>
              </w:rPr>
            </w:pPr>
            <w:r>
              <w:rPr>
                <w:rFonts w:ascii="Times New Roman" w:cs="Times New Roman" w:eastAsia="Times New Roman" w:hAnsi="Times New Roman"/>
                <w:sz w:val="12"/>
                <w:szCs w:val="12"/>
                <w:color w:val="auto"/>
              </w:rPr>
              <w:t>1,155</w:t>
            </w:r>
          </w:p>
        </w:tc>
        <w:tc>
          <w:tcPr>
            <w:tcW w:w="0" w:type="dxa"/>
            <w:vAlign w:val="bottom"/>
          </w:tcPr>
          <w:p>
            <w:pPr>
              <w:spacing w:after="0"/>
              <w:rPr>
                <w:sz w:val="1"/>
                <w:szCs w:val="1"/>
                <w:color w:val="auto"/>
              </w:rPr>
            </w:pPr>
          </w:p>
        </w:tc>
      </w:tr>
      <w:tr>
        <w:trPr>
          <w:trHeight w:val="169"/>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service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income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(16,596)</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Non-controlling interest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3,609</w:t>
            </w:r>
          </w:p>
        </w:tc>
        <w:tc>
          <w:tcPr>
            <w:tcW w:w="0" w:type="dxa"/>
            <w:vAlign w:val="bottom"/>
          </w:tcPr>
          <w:p>
            <w:pPr>
              <w:spacing w:after="0"/>
              <w:rPr>
                <w:sz w:val="1"/>
                <w:szCs w:val="1"/>
                <w:color w:val="auto"/>
              </w:rPr>
            </w:pPr>
          </w:p>
        </w:tc>
      </w:tr>
      <w:tr>
        <w:trPr>
          <w:trHeight w:val="17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comprehensive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(7,930)</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Balances at January 31,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247,872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4,367,070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(1,078,107)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(9,593)</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39,423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3,318,917</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4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(16,596)</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90,585</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(182,285)</w:t>
            </w:r>
          </w:p>
        </w:tc>
      </w:tr>
      <w:tr>
        <w:trPr>
          <w:trHeight w:val="20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187,952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77,245</w:t>
            </w:r>
          </w:p>
        </w:tc>
      </w:tr>
      <w:tr>
        <w:trPr>
          <w:trHeight w:val="20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26,004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16,565</w:t>
            </w:r>
          </w:p>
        </w:tc>
      </w:tr>
      <w:tr>
        <w:trPr>
          <w:trHeight w:val="191"/>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318,837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170,808</w:t>
            </w:r>
          </w:p>
        </w:tc>
      </w:tr>
      <w:tr>
        <w:trPr>
          <w:trHeight w:val="20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9,440</w:t>
            </w:r>
          </w:p>
        </w:tc>
      </w:tr>
      <w:tr>
        <w:trPr>
          <w:trHeight w:val="191"/>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865,421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631,519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526,504</w:t>
            </w:r>
          </w:p>
        </w:tc>
      </w:tr>
      <w:tr>
        <w:trPr>
          <w:trHeight w:val="20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r>
      <w:tr>
        <w:trPr>
          <w:trHeight w:val="191"/>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Realized gains on strategic investments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Accretion of short-term investments purchased at a discount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r>
      <w:tr>
        <w:trPr>
          <w:trHeight w:val="20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fair value of strategic investments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r>
      <w:tr>
        <w:trPr>
          <w:trHeight w:val="191"/>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acquisitions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(258,109)</w:t>
            </w:r>
          </w:p>
        </w:tc>
      </w:tr>
      <w:tr>
        <w:trPr>
          <w:trHeight w:val="191"/>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(584,484)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(298,716)</w:t>
            </w:r>
          </w:p>
        </w:tc>
      </w:tr>
      <w:tr>
        <w:trPr>
          <w:trHeight w:val="206"/>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(46,807)</w:t>
            </w:r>
          </w:p>
        </w:tc>
      </w:tr>
      <w:tr>
        <w:trPr>
          <w:trHeight w:val="191"/>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84,939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(15,463)</w:t>
            </w:r>
          </w:p>
        </w:tc>
      </w:tr>
      <w:tr>
        <w:trPr>
          <w:trHeight w:val="206"/>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218,518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58,923</w:t>
            </w:r>
          </w:p>
        </w:tc>
      </w:tr>
      <w:tr>
        <w:trPr>
          <w:trHeight w:val="191"/>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85,873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65,226</w:t>
            </w:r>
          </w:p>
        </w:tc>
      </w:tr>
      <w:tr>
        <w:trPr>
          <w:trHeight w:val="206"/>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(10,364)</w:t>
            </w:r>
          </w:p>
        </w:tc>
      </w:tr>
      <w:tr>
        <w:trPr>
          <w:trHeight w:val="192"/>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669,264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696,639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825,751</w:t>
            </w:r>
          </w:p>
        </w:tc>
      </w:tr>
      <w:tr>
        <w:trPr>
          <w:trHeight w:val="199"/>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1,381,727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1,166,207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941,007</w:t>
            </w:r>
          </w:p>
        </w:tc>
      </w:t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(235,019)</w:t>
            </w: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internal-use software and website development costs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(29,095)</w:t>
            </w:r>
          </w:p>
        </w:tc>
      </w:tr>
      <w:tr>
        <w:trPr>
          <w:trHeight w:val="20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(21,808)</w:t>
            </w: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sales of strategic investments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(18,349)</w:t>
            </w: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w:t>
            </w:r>
          </w:p>
        </w:tc>
      </w:tr>
      <w:tr>
        <w:trPr>
          <w:trHeight w:val="20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maturities and sales of short-term investments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97,300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deferred compensation investments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2"/>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sale of deferred compensation investments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7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(536,588)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(340,650)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(556,658)</w:t>
            </w:r>
          </w:p>
        </w:tc>
      </w:t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loan payable</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upon exercise of stock options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8,655</w:t>
            </w:r>
          </w:p>
        </w:tc>
      </w:tr>
      <w:tr>
        <w:trPr>
          <w:trHeight w:val="20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under the employee stock purchase plan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99,616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59,419</w:t>
            </w: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non-controlling interest holders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8,500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r>
      <w:tr>
        <w:trPr>
          <w:trHeight w:val="18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107,208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77,437</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cash equivalents and 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18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947,069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920,673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460,291</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3,377,597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2,456,924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1,996,633</w:t>
            </w:r>
          </w:p>
        </w:tc>
      </w:tr>
      <w:tr>
        <w:trPr>
          <w:trHeight w:val="185"/>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4,324,666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3,377,597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2,456,924</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period: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4,323,295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3,375,069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2,455,369</w:t>
            </w:r>
          </w:p>
        </w:tc>
      </w:tr>
      <w:tr>
        <w:trPr>
          <w:trHeight w:val="20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 included in prepaid expenses and other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r>
      <w:tr>
        <w:trPr>
          <w:trHeight w:val="191"/>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consolidated statements of cash flows</w:t>
            </w:r>
          </w:p>
        </w:tc>
        <w:tc>
          <w:tcPr>
            <w:tcW w:w="2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4,324,666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3,377,597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2,456,924</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paid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22,500</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22,551</w:t>
            </w:r>
          </w:p>
        </w:tc>
      </w:tr>
      <w:tr>
        <w:trPr>
          <w:trHeight w:val="206"/>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paid, net of refunds received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19,022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11,943</w:t>
            </w:r>
          </w:p>
        </w:tc>
      </w:t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increase (decrease) in property and equipment included in accounts payable and accrued expenses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9,452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22,421</w:t>
            </w:r>
          </w:p>
        </w:tc>
      </w:tr>
      <w:tr>
        <w:trPr>
          <w:trHeight w:val="191"/>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w:t>
            </w:r>
          </w:p>
        </w:tc>
      </w:tr>
      <w:tr>
        <w:trPr>
          <w:trHeight w:val="206"/>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 consideration for acquisitions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1"/>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 arising from obtaining operating right of-use assets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6,821</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16,445</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18,464</w:t>
            </w:r>
          </w:p>
        </w:tc>
      </w:tr>
      <w:tr>
        <w:trPr>
          <w:trHeight w:val="206"/>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sales of strategic investments not yet received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 and fixed assets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36,959</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31,919</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20,193</w:t>
            </w:r>
          </w:p>
        </w:tc>
      </w:tr>
      <w:tr>
        <w:trPr>
          <w:trHeight w:val="206"/>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consideration for the purchase of strategic investments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consideration received from sales of strategic investments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3,319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240"/>
          </w:cols>
          <w:pgMar w:left="320" w:top="121" w:right="339" w:bottom="257"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257"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right="6620" w:hanging="314"/>
        <w:spacing w:after="0" w:line="493" w:lineRule="auto"/>
        <w:tabs>
          <w:tab w:leader="none" w:pos="179"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 and Significant Accounting Policies Business</w:t>
      </w:r>
    </w:p>
    <w:p>
      <w:pPr>
        <w:spacing w:after="0" w:line="2"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CrowdStrike Holdings, Inc. (and/or its subsidiaries, as applicable, the “Company”) was formed on November 7, 2011. The Company is a global cybersecurity leader that delivers cybersecurity’s AI-native platform for the XDR era, purpose-built to stop breaches. The Company’s unified platform provides cloud-delivered protection of endpoints, cloud workloads, identity, and data via a software as a service (“SaaS”) subscription-based model that spans multiple large security markets, including corporate endpoint security, security and IT operations, managed security services, next-gen SIEM, cloud security, identity protection, threat intelligence, data protection, exposure management and cybersecurity generative AI. The Company conducts its business in the United States, as well as locations internationally, including in Australia, Germany, India, Israel, Japan, Romania, and the United Kingdom.</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(“U.S. GAAP”). Certain prior year information has been reclassified to conform to the current year presentation. These reclassifications had no effect on previously reported results of operations or accumulated deficit.</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1" w:lineRule="exact"/>
        <w:rPr>
          <w:sz w:val="20"/>
          <w:szCs w:val="20"/>
          <w:color w:val="auto"/>
        </w:rPr>
      </w:pPr>
    </w:p>
    <w:p>
      <w:pPr>
        <w:ind w:right="820"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balances and transactions have been eliminated in consolidation.</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1"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differences could be material to the Company’s consolidated financial statements.</w:t>
      </w:r>
    </w:p>
    <w:p>
      <w:pPr>
        <w:spacing w:after="0" w:line="180"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Geographic Information</w:t>
      </w:r>
    </w:p>
    <w:p>
      <w:pPr>
        <w:spacing w:after="0" w:line="221"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7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accounts receivable, financing receivables, and strategic investments. The Company’s cash is placed with high-credit-quality financial institutions and issuers, and at times exceeds federally insured limits. The Company has not experienced any credit loss relating to its cash, cash equivalents, short-term investments, or strategic investments. The Company performs periodic credit evaluations of its customers and generally does not require collateral.</w:t>
      </w:r>
    </w:p>
    <w:p>
      <w:pPr>
        <w:spacing w:after="0" w:line="180"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accounts receivable as of January 31, 2025 and January 31, 2024.</w:t>
      </w:r>
    </w:p>
    <w:p>
      <w:pPr>
        <w:spacing w:after="0" w:line="163"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There were two end users who represented 10% or more of the Company’s financing receivables as of January 31, 2025 representing 41% and 37%, respectively.</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720" w:firstLine="318"/>
        <w:spacing w:after="0" w:line="274"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total revenue during the fiscal years ended January 31, 2025, January 31, 2024, and January 31, 2023.</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1"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short-term investments, strategic investments, accounts receivable, financing receivables, accounts payable, accrued expenses, the Senior Notes, and investments for the Company’s deferred compensation plan. The carrying values of cash equivalents, short-term investments, accounts receivable, financing receivables, accounts payable, and accrued expenses approximate fair value. If these financial instruments were measured at fair value in the consolidated financial statements, money market funds, accounts receivable, accounts payable, accrued expenses, and investments for the Company’s deferred compensation plan would be classified as Level 1, U.S. treasury securities included in cash equivalents and short-term investments would be classified as Level 2, and financing receivables would be classified as Level 3. The Senior Notes are carried at the initially allocated liability value less unamortized debt discount and issuance costs on the Company’s consolidated balance sheets. The Company discloses the fair value of the Senior Notes at each reporting period for disclosure purposes only. The Company's investments related to the deferred compensation plan are invested within a Rabbi Trust. Participants in the deferred compensation plan may select the securities in which their compensation deferrals are invested within the confines of the Rabbi Trust. These securities are marked-to-market each reporting period. Refer to Note 2, Investments and Fair Value Measurements, regarding the fair value of the Company’s financial instruments, and Note 5, Debt, for the fair value of the Company’s Senior Notes.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Short-term Investments</w:t>
      </w:r>
    </w:p>
    <w:p>
      <w:pPr>
        <w:spacing w:after="0" w:line="221"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Cash equivalents are mainly comprised of money market funds, U.S. Treasury bills, and time deposits. The Company had $4.0 billion and $3.1 billion of cash equivalents as of January 31, 2025 and January 31, 2024, respectively.</w:t>
      </w:r>
    </w:p>
    <w:p>
      <w:pPr>
        <w:spacing w:after="0" w:line="178"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Short-term investments consist of U.S. Treasury bills and time deposits with original maturities greater than three months but less than one year. The Company had no short-term investments as of January 31, 2025, and $99.6 million of short-term investments as of January 31, 2024. The Company classifies investments in U.S. Treasury bills as available-for-sale securities at the time of purchase and re-evaluates the designations as of each balance sheet date. The Company classifies its available-for-sale securities as short-term investments based on their nature and their availability for use in current operations.</w:t>
      </w:r>
    </w:p>
    <w:p>
      <w:pPr>
        <w:spacing w:after="0" w:line="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Available-for-sale securities are carried at fair value with unrealized gains and losses, if any, included in accumulated other comprehensive income (loss). Unrealized losses are recorded in other income, net, for declines in fair value below the cost of an individual investment that is deemed to be other-than-temporary. The Company did not identify any available-for-sale securities as other-than-temporarily impaired as of January 31, 2025 and January 31, 2024. Realized gains and losses from the sale of available-for-sale securities are determined based on a specific identification method and are recorded in other income, net.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are non-interest bearing. Accounts receivable are stated at their net realizable value, net of the allowance for credit losses.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credit losses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credit losses.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Receivables</w:t>
      </w:r>
    </w:p>
    <w:p>
      <w:pPr>
        <w:spacing w:after="0" w:line="221"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Company provides financing arrangements for certain qualified end-users to purchase its products and services. Payment terms on these financing arrangements are generally up to five years. Financing receivables are recorded at amortized cost, which approximates fair value. Financing receivables, with contractual maturities of one year or less, are included in prepaid expenses and other current assets, while those with contractual terms exceeding one year are included in other long-term assets on the consolidated balance sheets.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Company evaluates the allowance for credit losses by assessing the risks and losses inherent in the financing receivables on either an individual or a collective basis. The Company's assessment considers various factors, including lifetime expected losses determined using customer risk profile, current economic conditions that may affect a customer's ability to pay, and forward-looking economic considerations. Financing receivables deemed uncollectible are charged against the allowance for credit losses.</w:t>
      </w:r>
    </w:p>
    <w:p>
      <w:pPr>
        <w:spacing w:after="0" w:line="180"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on off-balance sheet credit exposure is estimated at each reporting period based on the contractual period over which the Company is exposed to credit risk via a contractual obligation to extend credit, unless that obligation is unconditionally cancellable by the Company. The portion of the allowance for credit losses related to future disbursements is shown as a liability on the consolidated balance sheets, and the related expense for credit losses is reflected in the consolidated statements of operations.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July 2019, the Company agreed to commit up to $10.0 million to a newly formed entity, CrowdStrike Falcon Fund LLC (the “Original Falcon Fund”) in exchange for 50% of the sharing percentage of any distributions by the Original Falcon Fund. In December 2021, the Company agreed to commit an additional $50.0 million to a newly formed entity, CrowdStrike Falcon Fund II LLC (“Falcon Fund II”) in exchange for 50% of the sharing percentage of any distributions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CrowdStrike and its platform. The Company is the manager of the Falcon Funds and controls the investment decisions and day-to-day operations and accordingly has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93"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Company elected the measurement alternative for the non-marketable equity investments of the Falcon Funds where eligible. Under the measurement alternative, the non-marketable equity investments are measured at cost, less any impairment, plus or minus adjustments resulting from price changes from observable transactions of identical or similar securities of the same issuer. All gains and losses on strategic investments, realized and unrealized, are recognized in other income (expense), net. Strategic investments are classified within Level 3 in the fair value hierarchy as these investments do not have readily determinable market values. The carrying amount of strategic investments is adjusted based on observable price changes from observable transactions of identical or similar securities of the same issuer and other unobservable inputs including volatility, rights, and obligations of the investments, or by impairments when identified events and circumstances indicate a decline in value has occurred. The Company classifies the investments in the Falcon Funds as a non-current asset called strategic investments on the consolidated balance sheets.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1" w:lineRule="exact"/>
        <w:rPr>
          <w:sz w:val="20"/>
          <w:szCs w:val="20"/>
          <w:color w:val="auto"/>
        </w:rPr>
      </w:pPr>
    </w:p>
    <w:p>
      <w:pPr>
        <w:ind w:right="180" w:firstLine="318"/>
        <w:spacing w:after="0" w:line="248" w:lineRule="auto"/>
        <w:rPr>
          <w:sz w:val="20"/>
          <w:szCs w:val="20"/>
          <w:color w:val="auto"/>
        </w:rPr>
      </w:pPr>
      <w:r>
        <w:rPr>
          <w:rFonts w:ascii="Times New Roman" w:cs="Times New Roman" w:eastAsia="Times New Roman" w:hAnsi="Times New Roman"/>
          <w:sz w:val="18"/>
          <w:szCs w:val="18"/>
          <w:color w:val="auto"/>
        </w:rPr>
        <w:t>The Company allocates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the Company believes the assumptions and estimates it has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statements of operations.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Company evaluates and tests goodwill for impairment at least annually, on January 31, or more frequently if circumstances indicate that goodwill may not be recoverable. A qualitative assessment is performed to determine whether the existence of events or circumstances leads to a determination that it is more likely than not that the fair value of its one reporting unit is less than its carrying value.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If the Company determines it is more likely than not that the fair value of its one reporting unit is less than its carrying value, a quantitative test is performed by estimating the fair value of its reporting unit, including goodwill, and comparing it to its carrying value. If the fair value is lower than the carrying value, the excess is recognized as an impairment loss. No impairment losses were recorded during the fiscal years ended January 31, 2025, January 31, 2024, or January 31, 2023. See Note 4, Balance Sheet Components, and Note 12, Acquisitions, to the consolidated financial statements for more information.</w:t>
      </w:r>
    </w:p>
    <w:p>
      <w:pPr>
        <w:spacing w:after="0" w:line="187"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Acquired intangible assets mainly consisting of developed technology, customer relationships, intellectual property and other acquired intangible assets are stated at fair value at the acquisition date and are amortized on a straight-line basis over their estimated economic lives, which are generally one to 20 years. The Company reviews the carrying amounts of intangible assets for impairment whenever events or changes in circumstances indicate that the carrying amount of the assets may not be recoverable. The impairment to be recognized equals the amount by which the carrying value of the asset exceeds its fair value. No impairment indicators were identified by the Company, and no impairment losses were recorded by the Company during the fiscal years ended January 31, 2025, January 31, 2024, and January 31, 2023.</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1"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Property and equipment, net, is stated at historical cost less accumulated depreciation and amortization. Depreciation and amortization are calculated using the straight-line method over the estimated useful lives of the assets as follows:</w:t>
      </w:r>
    </w:p>
    <w:p>
      <w:pPr>
        <w:sectPr>
          <w:pgSz w:w="11900" w:h="16838" w:orient="portrait"/>
          <w:cols w:equalWidth="0" w:num="1">
            <w:col w:w="11220"/>
          </w:cols>
          <w:pgMar w:left="320" w:top="121" w:right="359" w:bottom="1440" w:gutter="0" w:footer="0" w:header="0"/>
        </w:sect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Data center and other computer equipment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Furniture and equipment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Purchased software</w:t>
      </w:r>
    </w:p>
    <w:p>
      <w:pPr>
        <w:spacing w:after="0" w:line="24" w:lineRule="exact"/>
        <w:rPr>
          <w:sz w:val="20"/>
          <w:szCs w:val="20"/>
          <w:color w:val="auto"/>
        </w:rPr>
      </w:pPr>
    </w:p>
    <w:p>
      <w:pPr>
        <w:ind w:left="20" w:right="1920"/>
        <w:spacing w:after="0" w:line="282" w:lineRule="auto"/>
        <w:rPr>
          <w:sz w:val="20"/>
          <w:szCs w:val="20"/>
          <w:color w:val="auto"/>
        </w:rPr>
      </w:pPr>
      <w:r>
        <w:rPr>
          <w:rFonts w:ascii="Times New Roman" w:cs="Times New Roman" w:eastAsia="Times New Roman" w:hAnsi="Times New Roman"/>
          <w:sz w:val="18"/>
          <w:szCs w:val="18"/>
          <w:color w:val="auto"/>
        </w:rPr>
        <w:t>Capitalized internal-use software and website development Leasehold improvements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 –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-127635</wp:posOffset>
            </wp:positionV>
            <wp:extent cx="7134860" cy="160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14605</wp:posOffset>
            </wp:positionV>
            <wp:extent cx="7134860" cy="160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3 – 5 years</w:t>
      </w:r>
    </w:p>
    <w:p>
      <w:pPr>
        <w:spacing w:after="0" w:line="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22225</wp:posOffset>
            </wp:positionV>
            <wp:extent cx="7134860" cy="142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useful life or term of the lease, whichever is shorter</w:t>
      </w:r>
    </w:p>
    <w:p>
      <w:pPr>
        <w:spacing w:after="0" w:line="265" w:lineRule="exact"/>
        <w:rPr>
          <w:sz w:val="20"/>
          <w:szCs w:val="20"/>
          <w:color w:val="auto"/>
        </w:rPr>
      </w:pPr>
    </w:p>
    <w:p>
      <w:pPr>
        <w:sectPr>
          <w:pgSz w:w="11900" w:h="16838" w:orient="portrait"/>
          <w:cols w:equalWidth="0" w:num="2">
            <w:col w:w="6120" w:space="720"/>
            <w:col w:w="4380"/>
          </w:cols>
          <w:pgMar w:left="320" w:top="121" w:right="359" w:bottom="1440" w:gutter="0" w:footer="0" w:header="0"/>
          <w:type w:val="continuous"/>
        </w:sectPr>
      </w:pPr>
    </w:p>
    <w:p>
      <w:pPr>
        <w:spacing w:after="0" w:line="49"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Expenditures for routine maintenance and repairs are charged to operating expense as incurred. Major renewals and improvements are capitalized and depreciated over their estimated useful lives.</w:t>
      </w:r>
    </w:p>
    <w:p>
      <w:pPr>
        <w:spacing w:after="0" w:line="163"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are less than its carrying amount. No impairment indicators were identified by the Company, and no impairment losses were recorded by the Company during the fiscal years ended January 31, 2025, January 31, 2024, and January 31, 2023.</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and Website Development Costs</w:t>
      </w:r>
    </w:p>
    <w:p>
      <w:pPr>
        <w:spacing w:after="0" w:line="221" w:lineRule="exact"/>
        <w:rPr>
          <w:sz w:val="20"/>
          <w:szCs w:val="20"/>
          <w:color w:val="auto"/>
        </w:rPr>
      </w:pPr>
    </w:p>
    <w:p>
      <w:pPr>
        <w:ind w:right="100" w:firstLine="318"/>
        <w:spacing w:after="0" w:line="266" w:lineRule="auto"/>
        <w:rPr>
          <w:sz w:val="20"/>
          <w:szCs w:val="20"/>
          <w:color w:val="auto"/>
        </w:rPr>
      </w:pPr>
      <w:r>
        <w:rPr>
          <w:rFonts w:ascii="Times New Roman" w:cs="Times New Roman" w:eastAsia="Times New Roman" w:hAnsi="Times New Roman"/>
          <w:sz w:val="17"/>
          <w:szCs w:val="17"/>
          <w:color w:val="auto"/>
        </w:rPr>
        <w:t>The Company capitalizes certain development costs incurred in connection with its internal-use software and website development. These capitalized costs are primarily related to the Company’s cybersecurity platform, as well as redefining, redesigning, and rebuilding crowdstrike.com. Costs incurred in the preliminary stages of development are expensed as incurred. Once an application has reached the development stage, internal and external costs, if direct, are capitalized until the internal-use software and website are substantially complete and ready for their intended use. The Company contracts with third party information technology providers for various service arrangements including software, platform, and information technology infrastructure. The Company capitalizes the implementation costs incurred to develop or obtain internal-use software in such arrangements, which are recorded as part of property and equipment, net in the consolidated balance sheets. All capitalized implementation costs are amortized over the term of the arrangement, which includes reasonably certain renewals. Costs incurred during the preliminary project and post-implementation stages are expensed as the activities are performed.</w:t>
      </w:r>
    </w:p>
    <w:p>
      <w:pPr>
        <w:spacing w:after="0" w:line="175"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and website development costs are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w:t>
      </w:r>
    </w:p>
    <w:p>
      <w:pPr>
        <w:spacing w:after="0" w:line="221"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Under ASC 340-40, Other Assets and Deferred Costs - Contracts with Customers, 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1"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The deferred revenue balance consists of subscription and professional services, which have been invoiced upfront, and are recognized as revenue only when the revenue recognition criteria are met. The Company’s subscription contracts are typically invoiced to its customers at the beginning of the term, or in some instances, such as in multi-year arrangements, in installments. Professional services are invoiced upfront, invoiced in installments, or invoiced as the services are performed. Accordingly, the Company’s deferred revenue balance does not include revenue for future years of multi-year non-cancellable contracts that have not yet been billed.</w:t>
      </w:r>
    </w:p>
    <w:p>
      <w:pPr>
        <w:spacing w:after="0" w:line="18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recognizes subscription revenue ratably over the contract term beginning on the commencement date of each contract, the date that services are made available to customers. The Company recognizes professional services revenue as services are delivered.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1" w:lineRule="exact"/>
        <w:rPr>
          <w:sz w:val="20"/>
          <w:szCs w:val="20"/>
          <w:color w:val="auto"/>
        </w:rPr>
      </w:pPr>
    </w:p>
    <w:p>
      <w:pPr>
        <w:jc w:val="both"/>
        <w:ind w:right="440" w:firstLine="318"/>
        <w:spacing w:after="0" w:line="259" w:lineRule="auto"/>
        <w:rPr>
          <w:sz w:val="20"/>
          <w:szCs w:val="20"/>
          <w:color w:val="auto"/>
        </w:rPr>
      </w:pPr>
      <w:r>
        <w:rPr>
          <w:rFonts w:ascii="Times New Roman" w:cs="Times New Roman" w:eastAsia="Times New Roman" w:hAnsi="Times New Roman"/>
          <w:sz w:val="18"/>
          <w:szCs w:val="18"/>
          <w:color w:val="auto"/>
        </w:rPr>
        <w:t>In accordance with ASU 2014-09, Revenue from Contracts with Customers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Identify the contract with a customer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considers the terms and conditions of contracts with customers and its customary business practices in identifying contracts under ASC</w:t>
      </w:r>
    </w:p>
    <w:p>
      <w:pPr>
        <w:spacing w:after="0" w:line="24" w:lineRule="exact"/>
        <w:rPr>
          <w:sz w:val="20"/>
          <w:szCs w:val="20"/>
          <w:color w:val="auto"/>
        </w:rPr>
      </w:pPr>
    </w:p>
    <w:p>
      <w:pPr>
        <w:ind w:firstLine="6"/>
        <w:spacing w:after="0" w:line="267" w:lineRule="auto"/>
        <w:tabs>
          <w:tab w:leader="none" w:pos="35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70"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1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 Determine the transaction price</w:t>
      </w:r>
    </w:p>
    <w:p>
      <w:pPr>
        <w:spacing w:after="0" w:line="21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is expected to be entitled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 Allocate the transaction price to performance obligations in the contract</w:t>
      </w:r>
    </w:p>
    <w:p>
      <w:pPr>
        <w:spacing w:after="0" w:line="217"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 Recognize revenue when or as performance obligations are satisfied</w:t>
      </w:r>
    </w:p>
    <w:p>
      <w:pPr>
        <w:spacing w:after="0" w:line="217"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Company’s Falcon Platform technology solutions are subscription SaaS offerings designed to continuously monitor, share, and mitigate risks from determined attackers. Subscription revenues are primarily comprised of fees that give customers access to the ordered service, related support, and updates, if any, during the subscription term.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85"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typical subscription term is one to three years. The Company’s contracts with customers typically include a fixed amount of consideration and are generally non-cancellable and without any refund-type provisions.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the Company’s SSP.</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1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Company’s professional services are available through time and material and fixed fee agreements. Revenue for time and material agreements is recognized as services are performed. Fixed fee contracts account for an immaterial portion of the Company’s revenue.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19"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19"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Revenue from sales is recorded at the net sales price, which is the transaction price, and may include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78" w:lineRule="exact"/>
        <w:rPr>
          <w:sz w:val="20"/>
          <w:szCs w:val="20"/>
          <w:color w:val="auto"/>
        </w:rPr>
      </w:pPr>
    </w:p>
    <w:p>
      <w:pPr>
        <w:ind w:right="400" w:firstLine="318"/>
        <w:spacing w:after="0" w:line="255" w:lineRule="auto"/>
        <w:rPr>
          <w:sz w:val="20"/>
          <w:szCs w:val="20"/>
          <w:color w:val="auto"/>
        </w:rPr>
      </w:pPr>
      <w:r>
        <w:rPr>
          <w:rFonts w:ascii="Times New Roman" w:cs="Times New Roman" w:eastAsia="Times New Roman" w:hAnsi="Times New Roman"/>
          <w:sz w:val="18"/>
          <w:szCs w:val="18"/>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consolidated financial statements is not material during the periods presented.</w:t>
      </w:r>
    </w:p>
    <w:p>
      <w:pPr>
        <w:spacing w:after="0" w:line="180"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The Company provides rebates and other credits within its contracts with certain resellers, which are estimated based on the expected value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1" w:lineRule="exact"/>
        <w:rPr>
          <w:sz w:val="20"/>
          <w:szCs w:val="20"/>
          <w:color w:val="auto"/>
        </w:rPr>
      </w:pPr>
    </w:p>
    <w:p>
      <w:pPr>
        <w:jc w:val="both"/>
        <w:ind w:right="280" w:firstLine="318"/>
        <w:spacing w:after="0" w:line="259" w:lineRule="auto"/>
        <w:rPr>
          <w:sz w:val="20"/>
          <w:szCs w:val="20"/>
          <w:color w:val="auto"/>
        </w:rPr>
      </w:pPr>
      <w:r>
        <w:rPr>
          <w:rFonts w:ascii="Times New Roman" w:cs="Times New Roman" w:eastAsia="Times New Roman" w:hAnsi="Times New Roman"/>
          <w:sz w:val="18"/>
          <w:szCs w:val="18"/>
          <w:color w:val="auto"/>
        </w:rPr>
        <w:t>Research and development costs are expensed when incurred, except for certain internal-use software development costs, which may be capitalized as noted above. Research and development expenses consist primarily of personnel and related headcount costs, stock-based compensation expenses, costs of professional services associated with the ongoing development of the Company’s technology, and allocated overhead.</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1"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Most advertising costs are expensed as incurred, except for certain production costs that are deferred and expensed at the time the advertising first takes place. The Company incurred $118.1 million, $79.9 million, and $53.8 million of advertising costs during the fiscal years ended January 31, 2025, January 31, 2024, and January 31, 2023, respectively.</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Compensation related to stock-based awards to employees and directors is measured and recognized in the Company’s consolidated statements of operations based on the fair value of the awards granted. The Company estimates the fair value of its stock options using the Black-Scholes option-pricing model. The stock-based compensation expense relating to stock options is recognized on a straight-line basis over the period during which the employee or director is required to provide service in exchange for the award, usually the vesting period, which is generally four years.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Restricted stock units (“RSUs”) are generally subject to a service-based vesting condition. The service-based vesting condition is generally four years. The valuation of these RSUs is based solely on the Company’s stock price on the date of grant, and the corresponding compensation expense is amortized on a straight-line basis.</w:t>
      </w:r>
    </w:p>
    <w:p>
      <w:pPr>
        <w:spacing w:after="0" w:line="178"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Performance-based stock units (“PSUs”) are generally subject to both a service-based vesting condition and a performance-based vesting condition. The fair value of the award is equal to the Company’s stock price on the date of grant. PSUs generally vest over a four-year period,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80" w:lineRule="exact"/>
        <w:rPr>
          <w:sz w:val="20"/>
          <w:szCs w:val="20"/>
          <w:color w:val="auto"/>
        </w:rPr>
      </w:pPr>
    </w:p>
    <w:p>
      <w:pPr>
        <w:ind w:right="60" w:firstLine="318"/>
        <w:spacing w:after="0" w:line="282" w:lineRule="auto"/>
        <w:rPr>
          <w:sz w:val="20"/>
          <w:szCs w:val="20"/>
          <w:color w:val="auto"/>
        </w:rPr>
      </w:pPr>
      <w:r>
        <w:rPr>
          <w:rFonts w:ascii="Times New Roman" w:cs="Times New Roman" w:eastAsia="Times New Roman" w:hAnsi="Times New Roman"/>
          <w:sz w:val="17"/>
          <w:szCs w:val="17"/>
          <w:color w:val="auto"/>
        </w:rPr>
        <w:t>The Special PSU Awards are subject to the Company’s achievement of specified stock price hurdles and a service-based vesting condition. The Company measured the fair value of the Special PSU Awards using a Monte Carlo simulation valuation model. The stock-based compensation expense relating to the Special PSU Awards is recognized using the accelerated attribution method over the longer of the derived service period and the explicit service period.</w:t>
      </w:r>
    </w:p>
    <w:p>
      <w:pPr>
        <w:spacing w:after="0" w:line="159"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Employee Stock Purchase Plan (“ESPP”) grants are measured based on the fair value at grant date using the Black-Scholes option-pricing model. The resulting stock-based compensation expense is recognized using the accelerated attribution method over a two-year offering period and is accounted for as having four separate tranches starting on the same initial enrollment date. The requisite service periods for the four tranches are approximately 6, 12, 18, and 24 months.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forfeitures as they occur for all stock-based awards.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221" w:lineRule="exact"/>
        <w:rPr>
          <w:sz w:val="20"/>
          <w:szCs w:val="20"/>
          <w:color w:val="auto"/>
        </w:rPr>
      </w:pPr>
    </w:p>
    <w:p>
      <w:pPr>
        <w:jc w:val="both"/>
        <w:ind w:right="40" w:firstLine="318"/>
        <w:spacing w:after="0" w:line="259" w:lineRule="auto"/>
        <w:rPr>
          <w:sz w:val="20"/>
          <w:szCs w:val="20"/>
          <w:color w:val="auto"/>
        </w:rPr>
      </w:pPr>
      <w:r>
        <w:rPr>
          <w:rFonts w:ascii="Times New Roman" w:cs="Times New Roman" w:eastAsia="Times New Roman" w:hAnsi="Times New Roman"/>
          <w:sz w:val="18"/>
          <w:szCs w:val="18"/>
          <w:color w:val="auto"/>
        </w:rPr>
        <w:t>In December 2022, the board of directors approved the CrowdStrike Inc. Deferred Compensation Plan (the “Plan”), effective January 1, 2023. The Plan is a non-qualified, deferred compensation arrangement that permits eligible employees to make 100% vested salary and incentive compensation deferrals within established limits. The Company does not make contributions to the Plan.</w:t>
      </w:r>
    </w:p>
    <w:p>
      <w:pPr>
        <w:spacing w:after="0" w:line="17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Plan’s assets consist of marketable securities held in a Rabbi Trust and are included in other long-term assets in the consolidated balance sheets because they are intended to fund the Plan’s long-term liabilities. They are not available for use in the Company’s daily operations and are not intended to be sold within a short period of time after purchase. The marketable securities were recorded at fair value based on quoted market prices and were $5.5 million and $2.3 million as of January 31, 2025 and January 31, 2024, respectively. The deferred compensation liability was $5.5 million and $2.3 million as of January 31, 2025 and January 31, 2024, respectively, and is included in other liabilities, noncurrent in the consolidated balance sheets. Gains and losses on deferred compensation investments are included in other income (expense), net, and corresponding changes in the deferred compensation liability are included in operating expenses and cost of revenue. Changes in the fair value of the deferred compensation asset and liability were immaterial for the fiscal years ended January 31, 2025 and January 31, 2024.</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1" w:lineRule="exact"/>
        <w:rPr>
          <w:sz w:val="20"/>
          <w:szCs w:val="20"/>
          <w:color w:val="auto"/>
        </w:rPr>
      </w:pPr>
    </w:p>
    <w:p>
      <w:pPr>
        <w:ind w:right="240" w:firstLine="318"/>
        <w:spacing w:after="0" w:line="252" w:lineRule="auto"/>
        <w:rPr>
          <w:sz w:val="20"/>
          <w:szCs w:val="20"/>
          <w:color w:val="auto"/>
        </w:rPr>
      </w:pPr>
      <w:r>
        <w:rPr>
          <w:rFonts w:ascii="Times New Roman" w:cs="Times New Roman" w:eastAsia="Times New Roman" w:hAnsi="Times New Roman"/>
          <w:sz w:val="18"/>
          <w:szCs w:val="18"/>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consolidated balance sheets. The Company did not have any financing leases in any of the periods presented.</w:t>
      </w:r>
    </w:p>
    <w:p>
      <w:pPr>
        <w:spacing w:after="0" w:line="18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(“ROU”)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Company uses the non-cancellable lease term when recognizing the ROU assets and lease liabilities, unless it is reasonably certain that a renewal or termination option will be exercised. The Company accounts for the lease and non-lease components as a single lease component.</w:t>
      </w:r>
    </w:p>
    <w:p>
      <w:pPr>
        <w:spacing w:after="0" w:line="163"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Leases with a term of twelve months or less are not recognized on the consolidated balance sheets but are recognized as expense on a straight-line basis over the term of the lease.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Debt issuance costs incurred in connection with securing the Company’s financing arrangements are generally presented in the consolidated balance sheets as a direct deduction from the carrying amount of the outstanding borrowings, consistent with debt discounts. However, the Company has chosen to present debt issuance costs under other long-term assets for its revolving credit facility on the consolidated balance sheets regardless of whether the Company has any outstanding borrowings on the revolving credit facility. Debt issuance costs, net of accumulated amortization, were $2.9 million and $4.0 million as of January 31, 2025 and January 31, 2024, respectively. Debt issuance costs associated with the Senior Notes are recorded as a reduction to the carrying value of the Senior Notes on the consolidated balance sheets. The unamortized issuance costs relating to the Senior Notes were $1.3 million and $1.6 million as of January 31, 2025 and January 31, 2024, respectively.</w:t>
      </w:r>
    </w:p>
    <w:p>
      <w:pPr>
        <w:spacing w:after="0" w:line="187"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All deferred financing costs are amortized to interest expense. The effective interest method is used for debt issuance costs related to the Senior Notes. Debt issuance costs related to the revolving credit facility are amortized over the term of the financing arrangement under the straight-line method. The Company’s amortization of these costs was $2.2 million, $1.6 million, and $1.3 million for the fiscal years ended January 31, 2025, January 31, 2024, and January 31, 2023, respectively.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1"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The functional currencies of the Company’s foreign subsidiaries are generally the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consolidated statements of operations within other income (expense), net, and have not been material for all periods presented.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1"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80"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Company’s assumptions, judgments, and estimates relative to the current provision for income taxes take into account current tax laws, the Company’s interpretation of current tax laws, and possible outcomes of current and future audits conducted by foreign and domestic tax authorities. The Company has established reserves for income taxes to address potential exposures involving tax positions that could be challenged by tax authorities. In addition, the Company is subject to the continual examination of its income tax returns by the U.S. Internal Revenue Service (“IRS”) and other domestic and foreign tax authorities. The Company regularly assesses the likelihood of outcomes resulting from these examinations to determine the adequacy of its provision for income taxes and have reserved for potential adjustments that may result from such examinations. The Company believes such estimates to be reasonable; however, the final determination of any of these examinations could significantly impact the amounts provided for income taxes in the Company’s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1"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Company computes basic and diluted net income (loss) per share attributable to common stockholders for Class A and Class B common stock using the two-class method required for participating securities. Under the two-class method, basic net income (loss) per share attributable to common stockholders is computed by dividing the net income (loss) attributable to common stockholders by the weighted-average number of shares of common stock outstanding during the period. On December 11, 2024, all of the Company’s outstanding shares of Class B common stock were automatically converted into an equal number of shares of Class A common stock pursuant to the provisions of the Amended and Restated Certificate of Incorporation.</w:t>
      </w:r>
    </w:p>
    <w:p>
      <w:pPr>
        <w:spacing w:after="0" w:line="185"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Diluted earnings per share attributable to common stockholders adjusts basic earnings per share for the potentially dilutive impact of outstanding stock options, RSUs, PSUs, Special PSUs, ESPP obligations, and founder holdbacks. The dilutive potential shares are computed using the treasury stock method. The effects of the outstanding stock options, RSUs, PSUs, Special PSUs, ESPP obligations, and founders holdbacks are excluded from the computation of the diluted earnings per share in periods in which the effect would be anti-dilutive.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1" w:lineRule="exact"/>
        <w:rPr>
          <w:sz w:val="20"/>
          <w:szCs w:val="20"/>
          <w:color w:val="auto"/>
        </w:rPr>
      </w:pPr>
    </w:p>
    <w:p>
      <w:pPr>
        <w:ind w:right="220" w:firstLine="318"/>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standard requires disclosure of significant segment expenses that are regularly provided to the Chief Operating Decision Maker (“CODM”) and included within each reported measure of segment profit or loss, an amount for other segment items required to reconcile the difference between segment revenue and segment expenses to segment profit or loss along with a description of their composition, and the title and position of the entity’s CODM. The update also expands interim segment disclosure requirements. The new standard is effective for annual periods beginning after December 15, 2023, and interim periods within fiscal years beginning after December 15, 2024. The Company adopted this guidance during the year ended January 31, 2025. See Note 14, Segment Information for further details.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1"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The standard requires additional disclosure of specific expense categories included in the expense captions presented on the statements of operations. The new standard can be applied either prospectively or retrospectively, and is effective for annual periods beginning after December 15, 2026 and interim reporting periods within annual reporting periods beginning after December 15, 2027. Early adoption is permitted. The Company is currently evaluating the impact of this new guidance on its disclosures within the consolidated financial statements.</w:t>
      </w:r>
    </w:p>
    <w:p>
      <w:pPr>
        <w:spacing w:after="0" w:line="185"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The new standard is effective for annual periods beginning after December 15, 2024. The Company does not expect the adoption of this new guidance to have a material impact on its disclosures within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Investments and Fair Value Measurements</w:t>
      </w:r>
    </w:p>
    <w:p>
      <w:pPr>
        <w:spacing w:after="0" w:line="22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Company follows ASC 820, Fair Value Measurements, with respect to cash equivalents, short-term investments,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hierarchy is broken down into three levels as follows:</w:t>
      </w:r>
    </w:p>
    <w:p>
      <w:pPr>
        <w:spacing w:after="0" w:line="217"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Assets and liabilities whose values are based on unadjusted quoted market prices for identical assets and liabilities in active markets</w:t>
      </w:r>
    </w:p>
    <w:p>
      <w:pPr>
        <w:spacing w:after="0" w:line="217" w:lineRule="exact"/>
        <w:rPr>
          <w:sz w:val="20"/>
          <w:szCs w:val="20"/>
          <w:color w:val="auto"/>
        </w:rPr>
      </w:pPr>
    </w:p>
    <w:p>
      <w:pPr>
        <w:ind w:left="1340" w:right="200" w:hanging="794"/>
        <w:spacing w:after="0" w:line="274" w:lineRule="auto"/>
        <w:tabs>
          <w:tab w:leader="none" w:pos="1320" w:val="left"/>
        </w:tabs>
        <w:rPr>
          <w:sz w:val="20"/>
          <w:szCs w:val="20"/>
          <w:color w:val="auto"/>
        </w:rPr>
      </w:pPr>
      <w:r>
        <w:rPr>
          <w:rFonts w:ascii="Times New Roman" w:cs="Times New Roman" w:eastAsia="Times New Roman" w:hAnsi="Times New Roman"/>
          <w:sz w:val="18"/>
          <w:szCs w:val="18"/>
          <w:color w:val="auto"/>
        </w:rPr>
        <w:t>Level 2</w:t>
        <w:tab/>
        <w:t>Assets and liabilities whose values are based on quoted prices in markets that are not active or inputs that are observable for substantially the full term of the asset or liability</w:t>
      </w:r>
    </w:p>
    <w:p>
      <w:pPr>
        <w:spacing w:after="0" w:line="163" w:lineRule="exact"/>
        <w:rPr>
          <w:sz w:val="20"/>
          <w:szCs w:val="20"/>
          <w:color w:val="auto"/>
        </w:rPr>
      </w:pPr>
    </w:p>
    <w:p>
      <w:pPr>
        <w:ind w:left="1340" w:right="20" w:hanging="794"/>
        <w:spacing w:after="0" w:line="274" w:lineRule="auto"/>
        <w:tabs>
          <w:tab w:leader="none" w:pos="1320" w:val="left"/>
        </w:tabs>
        <w:rPr>
          <w:sz w:val="20"/>
          <w:szCs w:val="20"/>
          <w:color w:val="auto"/>
        </w:rPr>
      </w:pPr>
      <w:r>
        <w:rPr>
          <w:rFonts w:ascii="Times New Roman" w:cs="Times New Roman" w:eastAsia="Times New Roman" w:hAnsi="Times New Roman"/>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Categorization within the valuation hierarchy is based upon the lowest level of input that is significant to the fair value measurement.</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fair value hierarchy for its financial assets and liabilities that are measured at fair value on a recurring basis are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January 31, 2024</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7"/>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1,470,040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2,360,173</w:t>
            </w:r>
          </w:p>
        </w:tc>
      </w:tr>
      <w:tr>
        <w:trPr>
          <w:trHeight w:val="210"/>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693,599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693,599</w:t>
            </w:r>
          </w:p>
        </w:tc>
      </w:tr>
      <w:tr>
        <w:trPr>
          <w:trHeight w:val="21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99,591</w:t>
            </w:r>
          </w:p>
        </w:tc>
      </w:tr>
      <w:tr>
        <w:trPr>
          <w:trHeight w:val="21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compensation investments</w:t>
            </w:r>
          </w:p>
        </w:tc>
        <w:tc>
          <w:tcPr>
            <w:tcW w:w="1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r>
      <w:tr>
        <w:trPr>
          <w:trHeight w:val="232"/>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1,475,536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2,362,444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3,155,634</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transfers between the levels of the fair value hierarchy during the periods presented.</w:t>
      </w:r>
    </w:p>
    <w:p>
      <w:pPr>
        <w:spacing w:after="0" w:line="217"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As of January 31, 2025, and January 31, 2024, the Company’s U.S. Treasury securities are carried at fair value, and there were no material realized or unrealized gains or losses, either individually or in aggregate.</w:t>
      </w:r>
    </w:p>
    <w:p>
      <w:pPr>
        <w:spacing w:after="0" w:line="163"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total estimated fair value of the Company’s financing receivables approximates their carrying amounts as of January 31, 2025. The fair value of the Company's financing receivables is considered to be a Level 3 measurement as unobservable inputs are used in determining discounted cash flows to estimate fair value.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investments in privately held securities as of January 31, 2025, consisted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Privately held equity</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Privately held debt</w:t>
            </w:r>
          </w:p>
        </w:tc>
        <w:tc>
          <w:tcPr>
            <w:tcW w:w="360" w:type="dxa"/>
            <w:vAlign w:val="bottom"/>
          </w:tcPr>
          <w:p>
            <w:pPr>
              <w:spacing w:after="0"/>
              <w:rPr>
                <w:sz w:val="18"/>
                <w:szCs w:val="18"/>
                <w:color w:val="auto"/>
              </w:rPr>
            </w:pPr>
          </w:p>
        </w:tc>
        <w:tc>
          <w:tcPr>
            <w:tcW w:w="126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and other securities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43"/>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investments in privately held securities as of January 31, 2024, consisted of the following (in thousands):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Privately held equity</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Privately held debt</w:t>
            </w:r>
          </w:p>
        </w:tc>
        <w:tc>
          <w:tcPr>
            <w:tcW w:w="360" w:type="dxa"/>
            <w:vAlign w:val="bottom"/>
          </w:tcPr>
          <w:p>
            <w:pPr>
              <w:spacing w:after="0"/>
              <w:rPr>
                <w:sz w:val="17"/>
                <w:szCs w:val="17"/>
                <w:color w:val="auto"/>
              </w:rPr>
            </w:pPr>
          </w:p>
        </w:tc>
        <w:tc>
          <w:tcPr>
            <w:tcW w:w="126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and other securities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50,373</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51,373</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43"/>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As of January 31, 2025, the cumulative net gains of $3.4 million are comprised of upward adjustments of $7.3 million, less downward adjustments and impairment of $3.9 million. As of January 31, 2024, the cumulative net gains of $4.9 million are comprised of upward adjustments of $9.3 million, less downward adjustments and impairment of $4.4 million.</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Strategic Investments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gains and losses on strategic investments were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6"/>
              </w:rPr>
              <w:t>Year Ended January 31,</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19"/>
        </w:trPr>
        <w:tc>
          <w:tcPr>
            <w:tcW w:w="6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recognized on privately held equity securities</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25"/>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Unrealized losses recognized on privately held equity securities including impairment</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18"/>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12"/>
        </w:trPr>
        <w:tc>
          <w:tcPr>
            <w:tcW w:w="6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recognized on sales of privately held equity securities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 recognized on sales of privately held equity securities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gains, net</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on strategic investments, net</w:t>
            </w: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9"/>
        </w:trPr>
        <w:tc>
          <w:tcPr>
            <w:tcW w:w="6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2"/>
        </w:trPr>
        <w:tc>
          <w:tcPr>
            <w:tcW w:w="62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Unrealized gains (losses) recognized during the reporting period on</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privately held equity securities still held at the reporting date</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bl>
    <w:p>
      <w:pPr>
        <w:spacing w:after="0" w:line="272"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Unrealized gains recognized on privately held equity securities includes upward adjustments from equity securities accounted for under the measurement alternative while unrealized losses recognized on privately held equity securities includes downward adjustments and impairment.</w:t>
      </w:r>
    </w:p>
    <w:p>
      <w:pPr>
        <w:spacing w:after="0" w:line="16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Realized gains and losses recognized on sales of privately held equity securities reflects the difference between the sale proceeds and the carrying value of the security at the beginning of the period or the purchase date, if later.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Financing Receivables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short-term and long-term financing receivables were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60" w:type="dxa"/>
            <w:vAlign w:val="bottom"/>
            <w:tcBorders>
              <w:bottom w:val="single" w:sz="8" w:color="CCEEFF"/>
            </w:tcBorders>
          </w:tcPr>
          <w:p>
            <w:pPr>
              <w:spacing w:after="0"/>
              <w:rPr>
                <w:sz w:val="20"/>
                <w:szCs w:val="20"/>
                <w:color w:val="auto"/>
              </w:rPr>
            </w:pPr>
          </w:p>
        </w:tc>
        <w:tc>
          <w:tcPr>
            <w:tcW w:w="5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financing receivables, gross</w:t>
            </w:r>
          </w:p>
        </w:tc>
        <w:tc>
          <w:tcPr>
            <w:tcW w:w="5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53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financing receivables, net</w:t>
            </w:r>
          </w:p>
        </w:tc>
        <w:tc>
          <w:tcPr>
            <w:tcW w:w="5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financing receivables, gross</w:t>
            </w:r>
          </w:p>
        </w:tc>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53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financing receivables, net</w:t>
            </w:r>
          </w:p>
        </w:tc>
        <w:tc>
          <w:tcPr>
            <w:tcW w:w="5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360" w:type="dxa"/>
            <w:vAlign w:val="bottom"/>
            <w:vMerge w:val="restart"/>
          </w:tcPr>
          <w:p>
            <w:pPr>
              <w:jc w:val="right"/>
              <w:ind w:right="3712"/>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16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160" w:type="dxa"/>
            <w:vAlign w:val="bottom"/>
            <w:tcBorders>
              <w:bottom w:val="single" w:sz="8" w:color="9A9A9A"/>
            </w:tcBorders>
          </w:tcPr>
          <w:p>
            <w:pPr>
              <w:spacing w:after="0"/>
              <w:rPr>
                <w:sz w:val="9"/>
                <w:szCs w:val="9"/>
                <w:color w:val="auto"/>
              </w:rPr>
            </w:pPr>
          </w:p>
        </w:tc>
        <w:tc>
          <w:tcPr>
            <w:tcW w:w="5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Company’s amortized cost basis of financing receivables categorized by internal risk rating and year of origination was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Internal Risk Rating</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7"/>
                <w:szCs w:val="17"/>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to 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0" w:type="dxa"/>
            <w:vAlign w:val="bottom"/>
          </w:tcPr>
          <w:p>
            <w:pPr>
              <w:spacing w:after="0"/>
              <w:rPr>
                <w:sz w:val="1"/>
                <w:szCs w:val="1"/>
                <w:color w:val="auto"/>
              </w:rPr>
            </w:pPr>
          </w:p>
        </w:tc>
      </w:tr>
      <w:tr>
        <w:trPr>
          <w:trHeight w:val="225"/>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to 6</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0" w:type="dxa"/>
            <w:vAlign w:val="bottom"/>
          </w:tcPr>
          <w:p>
            <w:pPr>
              <w:spacing w:after="0"/>
              <w:rPr>
                <w:sz w:val="1"/>
                <w:szCs w:val="1"/>
                <w:color w:val="auto"/>
              </w:rPr>
            </w:pPr>
          </w:p>
        </w:tc>
      </w:tr>
      <w:tr>
        <w:trPr>
          <w:trHeight w:val="225"/>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to 9</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Amortized cost basis of financing receivables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180" w:firstLine="324"/>
        <w:spacing w:after="0"/>
        <w:tabs>
          <w:tab w:leader="none" w:pos="480" w:val="left"/>
        </w:tabs>
        <w:numPr>
          <w:ilvl w:val="0"/>
          <w:numId w:val="4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Internal risk ratings are determined based on the end-user’s financial condition and are categorized as 1 through 9, with the lowest rating representing the highest quality.</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financing receivables prior to fiscal year ended January 31, 2025.</w:t>
      </w:r>
    </w:p>
    <w:p>
      <w:pPr>
        <w:spacing w:after="0" w:line="217"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There was no significant activity in allowance for credit losses during the year ended January 31, 2025. Past due amounts on financing receivables were not material as of January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Balance Sheet Components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1"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Prepaid expenses were $247.3 million and $144.9 million as of January 31, 2025 and January 31, 2024, respectively. Other current assets were $67.1 million and $38.3 million as of January 31, 2025 and January 31, 2024,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4"/>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1"/>
        </w:trPr>
        <w:tc>
          <w:tcPr>
            <w:tcW w:w="80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40" w:type="dxa"/>
            <w:vAlign w:val="bottom"/>
            <w:tcBorders>
              <w:bottom w:val="single" w:sz="8" w:color="auto"/>
            </w:tcBorders>
          </w:tcPr>
          <w:p>
            <w:pPr>
              <w:spacing w:after="0"/>
              <w:rPr>
                <w:sz w:val="21"/>
                <w:szCs w:val="21"/>
                <w:color w:val="auto"/>
              </w:rPr>
            </w:pPr>
          </w:p>
        </w:tc>
      </w:tr>
      <w:tr>
        <w:trPr>
          <w:trHeight w:val="218"/>
        </w:trPr>
        <w:tc>
          <w:tcPr>
            <w:tcW w:w="8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and other computer equipment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525,890</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183,117</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39,168</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190,832</w:t>
            </w:r>
          </w:p>
        </w:tc>
      </w:tr>
      <w:tr>
        <w:trPr>
          <w:trHeight w:val="219"/>
        </w:trPr>
        <w:tc>
          <w:tcPr>
            <w:tcW w:w="8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958,438</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(338,266)</w:t>
            </w:r>
          </w:p>
        </w:tc>
      </w:tr>
      <w:tr>
        <w:trPr>
          <w:trHeight w:val="244"/>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788,640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Construction in progress primarily includes data center equipment purchased that has not yet been placed in service. Data center equipment that was purchased but not yet been placed into service was $180.1 million and $167.5 million as of January 31, 2025 and January 31, 2024, respectively.</w:t>
      </w:r>
    </w:p>
    <w:p>
      <w:pPr>
        <w:spacing w:after="0" w:line="163"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$188.0 million, $126.8 million, and $77.2 million, during the fiscal years ended January 31, 2025, January 31, 2024, and January 31, 2023, respectively.</w:t>
      </w:r>
    </w:p>
    <w:p>
      <w:pPr>
        <w:spacing w:after="0" w:line="163"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The Company capitalized $91.9 million, $77.9 million, and $49.3 million in internal-use software and website development costs during the fiscal years ended January 31, 2025, January 31, 2024, and January 31, 2023, respectively. Amortization expense associated with internal-use software and website development costs totaled $54.8 million, $37.3 million, and $21.5 million during the fiscal years ended January 31, 2025, January 31, 2024, and January 31, 2023, respectively. The net book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value of capitalized internal-use software and website development costs was $144.0 million and $106.9 million as of January 31, 2025 and January 31, 2024, respectively.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intangible assets, net consisted of the following (dollars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January 31, 2025</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20" w:type="dxa"/>
            <w:vAlign w:val="bottom"/>
          </w:tcPr>
          <w:p>
            <w:pPr>
              <w:spacing w:after="0"/>
              <w:rPr>
                <w:sz w:val="16"/>
                <w:szCs w:val="16"/>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5"/>
              </w:rPr>
              <w:t>Weighted-Average</w:t>
            </w: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Remaining Useful</w:t>
            </w: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0" w:type="dxa"/>
            <w:vAlign w:val="bottom"/>
          </w:tcPr>
          <w:p>
            <w:pPr>
              <w:spacing w:after="0"/>
              <w:rPr>
                <w:sz w:val="1"/>
                <w:szCs w:val="1"/>
                <w:color w:val="auto"/>
              </w:rPr>
            </w:pPr>
          </w:p>
        </w:tc>
      </w:tr>
      <w:tr>
        <w:trPr>
          <w:trHeight w:val="218"/>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months)</w:t>
            </w:r>
          </w:p>
        </w:tc>
        <w:tc>
          <w:tcPr>
            <w:tcW w:w="0" w:type="dxa"/>
            <w:vAlign w:val="bottom"/>
          </w:tcPr>
          <w:p>
            <w:pPr>
              <w:spacing w:after="0"/>
              <w:rPr>
                <w:sz w:val="1"/>
                <w:szCs w:val="1"/>
                <w:color w:val="auto"/>
              </w:rPr>
            </w:pPr>
          </w:p>
        </w:tc>
      </w:tr>
      <w:tr>
        <w:trPr>
          <w:trHeight w:val="225"/>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63,783</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5"/>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5"/>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8"/>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208,755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75,641</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January 31, 2024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20" w:type="dxa"/>
            <w:vAlign w:val="bottom"/>
          </w:tcPr>
          <w:p>
            <w:pPr>
              <w:spacing w:after="0"/>
              <w:rPr>
                <w:sz w:val="16"/>
                <w:szCs w:val="16"/>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5"/>
              </w:rPr>
              <w:t>Weighted-Average</w:t>
            </w: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Remaining Useful</w:t>
            </w: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0" w:type="dxa"/>
            <w:vAlign w:val="bottom"/>
          </w:tcPr>
          <w:p>
            <w:pPr>
              <w:spacing w:after="0"/>
              <w:rPr>
                <w:sz w:val="1"/>
                <w:szCs w:val="1"/>
                <w:color w:val="auto"/>
              </w:rPr>
            </w:pPr>
          </w:p>
        </w:tc>
      </w:tr>
      <w:tr>
        <w:trPr>
          <w:trHeight w:val="218"/>
        </w:trPr>
        <w:tc>
          <w:tcPr>
            <w:tcW w:w="4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months)</w:t>
            </w:r>
          </w:p>
        </w:tc>
        <w:tc>
          <w:tcPr>
            <w:tcW w:w="0" w:type="dxa"/>
            <w:vAlign w:val="bottom"/>
          </w:tcPr>
          <w:p>
            <w:pPr>
              <w:spacing w:after="0"/>
              <w:rPr>
                <w:sz w:val="1"/>
                <w:szCs w:val="1"/>
                <w:color w:val="auto"/>
              </w:rPr>
            </w:pPr>
          </w:p>
        </w:tc>
      </w:tr>
      <w:tr>
        <w:trPr>
          <w:trHeight w:val="225"/>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41,854</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89,492</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5"/>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20" w:type="dxa"/>
            <w:vAlign w:val="bottom"/>
            <w:tcBorders>
              <w:bottom w:val="single" w:sz="8" w:color="auto"/>
            </w:tcBorders>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9"/>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860" w:firstLine="318"/>
        <w:spacing w:after="0" w:line="274" w:lineRule="auto"/>
        <w:rPr>
          <w:sz w:val="20"/>
          <w:szCs w:val="20"/>
          <w:color w:val="auto"/>
        </w:rPr>
      </w:pPr>
      <w:r>
        <w:rPr>
          <w:rFonts w:ascii="Times New Roman" w:cs="Times New Roman" w:eastAsia="Times New Roman" w:hAnsi="Times New Roman"/>
          <w:sz w:val="18"/>
          <w:szCs w:val="18"/>
          <w:color w:val="auto"/>
        </w:rPr>
        <w:t>Amortization expense of intangible assets was $26.0 million, $18.4 million, and $16.6 million, during the fiscal years ended January 31, 2025, January 31, 2024, and January 31, 2023, respectively.</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estimated aggregate future amortization expense of intangible assets as of January 31, 2025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40" w:type="dxa"/>
            <w:vAlign w:val="bottom"/>
            <w:tcBorders>
              <w:bottom w:val="single" w:sz="8" w:color="CCEEFF"/>
            </w:tcBorders>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9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29,423</w:t>
            </w: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27,248</w:t>
            </w:r>
          </w:p>
        </w:tc>
        <w:tc>
          <w:tcPr>
            <w:tcW w:w="0" w:type="dxa"/>
            <w:vAlign w:val="bottom"/>
          </w:tcPr>
          <w:p>
            <w:pPr>
              <w:spacing w:after="0"/>
              <w:rPr>
                <w:sz w:val="1"/>
                <w:szCs w:val="1"/>
                <w:color w:val="auto"/>
              </w:rPr>
            </w:pPr>
          </w:p>
        </w:tc>
      </w:tr>
      <w:tr>
        <w:trPr>
          <w:trHeight w:val="22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26,735</w:t>
            </w: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0" w:type="dxa"/>
            <w:vAlign w:val="bottom"/>
          </w:tcPr>
          <w:p>
            <w:pPr>
              <w:spacing w:after="0"/>
              <w:rPr>
                <w:sz w:val="1"/>
                <w:szCs w:val="1"/>
                <w:color w:val="auto"/>
              </w:rPr>
            </w:pPr>
          </w:p>
        </w:tc>
      </w:tr>
      <w:tr>
        <w:trPr>
          <w:trHeight w:val="22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5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3912"/>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74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40" w:type="dxa"/>
            <w:vAlign w:val="bottom"/>
            <w:tcBorders>
              <w:bottom w:val="single" w:sz="8" w:color="9A9A9A"/>
            </w:tcBorders>
          </w:tcPr>
          <w:p>
            <w:pPr>
              <w:spacing w:after="0"/>
              <w:rPr>
                <w:sz w:val="9"/>
                <w:szCs w:val="9"/>
                <w:color w:val="auto"/>
              </w:rPr>
            </w:pPr>
          </w:p>
        </w:tc>
        <w:tc>
          <w:tcPr>
            <w:tcW w:w="5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24"/>
        </w:trPr>
        <w:tc>
          <w:tcPr>
            <w:tcW w:w="9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change in goodwill during the fiscal year ended January 31, 2025 consisted of the following (in thousands):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1"/>
        </w:trPr>
        <w:tc>
          <w:tcPr>
            <w:tcW w:w="97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January 31, 2024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638,041</w:t>
            </w:r>
          </w:p>
        </w:tc>
      </w:tr>
      <w:tr>
        <w:trPr>
          <w:trHeight w:val="225"/>
        </w:trPr>
        <w:tc>
          <w:tcPr>
            <w:tcW w:w="972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Goodwill acquired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274,981</w:t>
            </w:r>
          </w:p>
        </w:tc>
      </w:tr>
      <w:tr>
        <w:trPr>
          <w:trHeight w:val="225"/>
        </w:trPr>
        <w:tc>
          <w:tcPr>
            <w:tcW w:w="9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January 31, 2025</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912,805</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Goodwill acquired resulted from the acquisitions of Flow Security and A.S. Adaptive Shield Ltd. Refer to Note 12 for additional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Accrued Payroll and Benefits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4"/>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payroll and benefits consisted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1"/>
        </w:trPr>
        <w:tc>
          <w:tcPr>
            <w:tcW w:w="80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40" w:type="dxa"/>
            <w:vAlign w:val="bottom"/>
            <w:tcBorders>
              <w:bottom w:val="single" w:sz="8" w:color="auto"/>
            </w:tcBorders>
          </w:tcPr>
          <w:p>
            <w:pPr>
              <w:spacing w:after="0"/>
              <w:rPr>
                <w:sz w:val="21"/>
                <w:szCs w:val="21"/>
                <w:color w:val="auto"/>
              </w:rPr>
            </w:pPr>
          </w:p>
        </w:tc>
      </w:tr>
      <w:tr>
        <w:trPr>
          <w:trHeight w:val="218"/>
        </w:trPr>
        <w:tc>
          <w:tcPr>
            <w:tcW w:w="8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116,870</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58,579</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36,860</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22,315</w:t>
            </w:r>
          </w:p>
        </w:tc>
      </w:tr>
      <w:tr>
        <w:trPr>
          <w:trHeight w:val="243"/>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Debt</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Facility</w:t>
      </w:r>
    </w:p>
    <w:p>
      <w:pPr>
        <w:spacing w:after="0" w:line="221" w:lineRule="exact"/>
        <w:rPr>
          <w:sz w:val="20"/>
          <w:szCs w:val="20"/>
          <w:color w:val="auto"/>
        </w:rPr>
      </w:pPr>
    </w:p>
    <w:p>
      <w:pPr>
        <w:ind w:right="340" w:firstLine="318"/>
        <w:spacing w:after="0" w:line="259" w:lineRule="auto"/>
        <w:rPr>
          <w:sz w:val="20"/>
          <w:szCs w:val="20"/>
          <w:color w:val="auto"/>
        </w:rPr>
      </w:pPr>
      <w:r>
        <w:rPr>
          <w:rFonts w:ascii="Times New Roman" w:cs="Times New Roman" w:eastAsia="Times New Roman" w:hAnsi="Times New Roman"/>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January 4, 2021, the Company amended and restated its existing credit agreement (the “A&amp;R Credit Agreement” and the facility thereunder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“Revolving Facility”) among CrowdStrike, Inc., as borrower, CrowdStrike Holdings, Inc., as guarantor, and Silicon Valley Bank and the other lenders party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providing the Company with a revolving line of credit of up to $750.0 million, including a letter of credit sub-facility in the aggregate amount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million, and a swingline sub-facility in the aggregate amount of $50.0 million. The Company also has the option to request an incremental facility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an additional $250.0 million from one or more of the lenders under the A&amp;R Credit Agreement. The A&amp;R Credit Agreement is guaranteed by all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material domestic subsidiaries. The A&amp;R Credit Agreement extended the maturity date of April 19, 2022 to January 2, 2026.</w:t>
      </w:r>
    </w:p>
    <w:p>
      <w:pPr>
        <w:spacing w:after="0" w:line="198"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will be charged a commitment fee of 0.15% to 0.25% per year for committed but unused</w:t>
      </w:r>
    </w:p>
    <w:p>
      <w:pPr>
        <w:spacing w:after="0" w:line="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amounts, depending on the senior 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January 31,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60" w:firstLine="318"/>
        <w:spacing w:after="0" w:line="252" w:lineRule="auto"/>
        <w:rPr>
          <w:sz w:val="20"/>
          <w:szCs w:val="20"/>
          <w:color w:val="auto"/>
        </w:rPr>
      </w:pPr>
      <w:r>
        <w:rPr>
          <w:rFonts w:ascii="Times New Roman" w:cs="Times New Roman" w:eastAsia="Times New Roman" w:hAnsi="Times New Roman"/>
          <w:sz w:val="18"/>
          <w:szCs w:val="18"/>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amounts were outstanding under the Amended A&amp;R Credit Agreement as of January 31, 2025.</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1"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7"/>
          <w:szCs w:val="17"/>
          <w:color w:val="auto"/>
        </w:rPr>
        <w:t>On January 20, 2021, the Company issued $750.0 million in aggregate principal amount of 3.00% Senior Notes maturing in February 2029 (the “Senior Notes”). The Senior Notes are guaranteed by the Company’s subsidiaries, CrowdStrike, Inc. and CrowdStrike Financial Services,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w:t>
      </w:r>
    </w:p>
    <w:p>
      <w:pPr>
        <w:spacing w:after="0" w:line="2" w:lineRule="exact"/>
        <w:rPr>
          <w:sz w:val="20"/>
          <w:szCs w:val="20"/>
          <w:color w:val="auto"/>
        </w:rPr>
      </w:pPr>
    </w:p>
    <w:p>
      <w:pPr>
        <w:ind w:right="60" w:firstLine="6"/>
        <w:spacing w:after="0" w:line="248" w:lineRule="auto"/>
        <w:tabs>
          <w:tab w:leader="none" w:pos="1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87"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$24.0 million during both fiscal years ended January 31, 2025 and January 31, 2024.</w:t>
      </w:r>
    </w:p>
    <w:p>
      <w:pPr>
        <w:spacing w:after="0" w:line="180"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78"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January 31, 2025, the Company was in compliance with all of its financial covenants under the Indenture associated with the Senior Notes.</w:t>
      </w:r>
    </w:p>
    <w:p>
      <w:pPr>
        <w:spacing w:after="0" w:line="217"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Based on the trading prices of the Senior Notes, the fair value of the Senior Notes was approximately $688.4 million and $671.2 million as of January 31, 2025 and January 31, 2024,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Income Taxes</w:t>
      </w:r>
    </w:p>
    <w:p>
      <w:pPr>
        <w:spacing w:after="0" w:line="221" w:lineRule="exact"/>
        <w:rPr>
          <w:sz w:val="20"/>
          <w:szCs w:val="20"/>
          <w:color w:val="auto"/>
        </w:rPr>
      </w:pPr>
    </w:p>
    <w:p>
      <w:pPr>
        <w:ind w:right="200" w:firstLine="318"/>
        <w:spacing w:after="0" w:line="267" w:lineRule="auto"/>
        <w:rPr>
          <w:sz w:val="20"/>
          <w:szCs w:val="20"/>
          <w:color w:val="auto"/>
        </w:rPr>
      </w:pPr>
      <w:r>
        <w:rPr>
          <w:rFonts w:ascii="Times New Roman" w:cs="Times New Roman" w:eastAsia="Times New Roman" w:hAnsi="Times New Roman"/>
          <w:sz w:val="18"/>
          <w:szCs w:val="18"/>
          <w:color w:val="auto"/>
        </w:rPr>
        <w:t>The Company’s geographical breakdown of its income (loss) before provision for income taxes for the fiscal years ended January 31, 2025, January 31, 2024, and January 31, 2023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180" w:type="dxa"/>
            <w:vAlign w:val="bottom"/>
            <w:tcBorders>
              <w:bottom w:val="single" w:sz="8" w:color="auto"/>
            </w:tcBorders>
          </w:tcPr>
          <w:p>
            <w:pPr>
              <w:spacing w:after="0"/>
              <w:rPr>
                <w:sz w:val="20"/>
                <w:szCs w:val="20"/>
                <w:color w:val="auto"/>
              </w:rPr>
            </w:pPr>
          </w:p>
        </w:tc>
      </w:tr>
      <w:tr>
        <w:trPr>
          <w:trHeight w:val="218"/>
        </w:trPr>
        <w:tc>
          <w:tcPr>
            <w:tcW w:w="64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62,385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(195,042)</w:t>
            </w:r>
          </w:p>
        </w:tc>
      </w:tr>
      <w:tr>
        <w:trPr>
          <w:trHeight w:val="225"/>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(7,851)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35,159</w:t>
            </w:r>
          </w:p>
        </w:tc>
      </w:tr>
      <w:tr>
        <w:trPr>
          <w:trHeight w:val="24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54,534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00" w:firstLine="318"/>
        <w:spacing w:after="0" w:line="267" w:lineRule="auto"/>
        <w:rPr>
          <w:sz w:val="20"/>
          <w:szCs w:val="20"/>
          <w:color w:val="auto"/>
        </w:rPr>
      </w:pPr>
      <w:r>
        <w:rPr>
          <w:rFonts w:ascii="Times New Roman" w:cs="Times New Roman" w:eastAsia="Times New Roman" w:hAnsi="Times New Roman"/>
          <w:sz w:val="18"/>
          <w:szCs w:val="18"/>
          <w:color w:val="auto"/>
        </w:rPr>
        <w:t>The components of the provision for income taxes during the fiscal years ended January 31, 2025, January 31, 2024, and January 31, 2023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180" w:type="dxa"/>
            <w:vAlign w:val="bottom"/>
            <w:tcBorders>
              <w:bottom w:val="single" w:sz="8" w:color="auto"/>
            </w:tcBorders>
          </w:tcPr>
          <w:p>
            <w:pPr>
              <w:spacing w:after="0"/>
              <w:rPr>
                <w:sz w:val="20"/>
                <w:szCs w:val="20"/>
                <w:color w:val="auto"/>
              </w:rPr>
            </w:pPr>
          </w:p>
        </w:tc>
      </w:tr>
      <w:tr>
        <w:trPr>
          <w:trHeight w:val="219"/>
        </w:trPr>
        <w:tc>
          <w:tcPr>
            <w:tcW w:w="6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6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Current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5"/>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20,241</w:t>
            </w:r>
          </w:p>
        </w:tc>
      </w:tr>
      <w:tr>
        <w:trPr>
          <w:trHeight w:val="218"/>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r>
      <w:tr>
        <w:trPr>
          <w:trHeight w:val="205"/>
        </w:trPr>
        <w:tc>
          <w:tcPr>
            <w:tcW w:w="6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19"/>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43"/>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200" w:firstLine="318"/>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between income taxes computed at the federal statutory rate and the provision for income taxes during the fiscal years ended January 31, 2025</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January 31, 2024, and January 31, 2023 (in thousands):</w:t>
      </w:r>
    </w:p>
    <w:tbl>
      <w:tblPr>
        <w:tblLayout w:type="fixed"/>
        <w:tblInd w:w="0" w:type="dxa"/>
        <w:tblCellMar>
          <w:top w:w="0" w:type="dxa"/>
          <w:left w:w="0" w:type="dxa"/>
          <w:bottom w:w="0" w:type="dxa"/>
          <w:right w:w="0" w:type="dxa"/>
        </w:tblCellMar>
      </w:tblPr>
      <w:tr>
        <w:trPr>
          <w:trHeight w:val="232"/>
        </w:trPr>
        <w:tc>
          <w:tcPr>
            <w:tcW w:w="4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at statutory rate</w:t>
            </w:r>
          </w:p>
        </w:tc>
        <w:tc>
          <w:tcPr>
            <w:tcW w:w="2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(33,777)</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benefits</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foreign operations</w:t>
            </w:r>
          </w:p>
        </w:tc>
        <w:tc>
          <w:tcPr>
            <w:tcW w:w="2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(47,335)</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102,892</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impact of foreign transactions</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60" w:type="dxa"/>
            <w:vAlign w:val="bottom"/>
            <w:vMerge w:val="restart"/>
          </w:tcPr>
          <w:p>
            <w:pPr>
              <w:jc w:val="right"/>
              <w:ind w:right="592"/>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2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Company recognized income tax expense of $71.1 million, $32.2 million, and $22.4 million for the fiscal years January 31, 2025, January 31, 2024 and January 31, 2023, respectively. The tax expense for the fiscal year ended January 31, 2025 was primarily attributable to pre-tax foreign earnings, withholding taxes related to customer payments in certain foreign jurisdictions, intercompany sale of intellectual property from acquired entities and change in the realizability of deferred tax assets in certain foreign jurisdictions. The Company transferred acquired intellectual property from foreign subsidiaries to the U.S. Although the transfer of the intellectual property between consolidated entities did not result in any gain in the consolidated statement of operations, such transactions were taxable for tax purposes. The tax expense for the fiscal years ended January 31, 2024 and January 31, 2023 was primarily attributable to pre-tax foreign earnings and withholding taxes related to customer payments in certain foreign jurisdictions and intercompany sales of intellectual property from acquisitions.</w:t>
      </w:r>
    </w:p>
    <w:p>
      <w:pPr>
        <w:spacing w:after="0" w:line="190"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January 31, 2025 and January 31, 2024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As of January 31,</w:t>
            </w:r>
          </w:p>
        </w:tc>
      </w:tr>
      <w:tr>
        <w:trPr>
          <w:trHeight w:val="218"/>
        </w:trPr>
        <w:tc>
          <w:tcPr>
            <w:tcW w:w="8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80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400,277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420,803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other credit carryforwards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100,002</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81,551</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169,777</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320,708</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1,171,295</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(1,192,366)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(957,710)</w:t>
            </w: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213,585</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(51,335)</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commissions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(128,302)</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8"/>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(259,699)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(206,359)</w:t>
            </w:r>
          </w:p>
        </w:tc>
      </w:tr>
      <w:tr>
        <w:trPr>
          <w:trHeight w:val="243"/>
        </w:trPr>
        <w:tc>
          <w:tcPr>
            <w:tcW w:w="8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200" w:firstLine="318"/>
        <w:spacing w:after="0" w:line="249" w:lineRule="auto"/>
        <w:rPr>
          <w:sz w:val="20"/>
          <w:szCs w:val="20"/>
          <w:color w:val="auto"/>
        </w:rPr>
      </w:pPr>
      <w:r>
        <w:rPr>
          <w:rFonts w:ascii="Times New Roman" w:cs="Times New Roman" w:eastAsia="Times New Roman" w:hAnsi="Times New Roman"/>
          <w:sz w:val="18"/>
          <w:szCs w:val="18"/>
          <w:color w:val="auto"/>
        </w:rPr>
        <w:t>The Company maintains a full valuation allowance on U.S. federal and state and certain foreign deferred tax assets, including net operating loss carryforwards and tax credits, which the Company has determined are not realizable on a more-likely-than-not basis. In completing the assessment of the continued need for valuation allowance, we analyzed various factors including, but not limited to, cumulative pre-tax losses, excess tax benefits related to stock-based compensation, future reversal of existing temporary differences and tax planning strategies that are prudent and feasible. During the fiscal years ended January 31, 2025, January 31, 2024, and January 31, 2023, the valuation allowance increased by $234.7 million, $47.6 million, and $139.2 million, respectively. The increases in the valuation allowance during the fiscal years ended January 31, 2025 and January 31, 2024 were primarily driven by U.S. operations. As of January 31, 2025, January 31, 2024, and January 31, 2023 the valuation allowance for deferred taxes was $1.2 billion, $957.7 million, and $910.1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As of January 31, 2025, the Company had aggregate federal and California net operating loss carryforwards of $1.4 billion and $307.9 million, respectively, which may be available to offset future taxable income for income tax purposes. The federal net operating losses are carried forward indefinitely, and California net operating loss carryforwards begin to expire in fiscal 2034 through fiscal 2045. As of January 31, 2025, net operating loss carryforwards for other states totaled $716.0 million, which begin to expire in fiscal 2026 through fiscal 2045. As of January 31, 2025, net operating loss carryforwards for the U.K. totaled $78.0 million, which are carried forward indefinitely, and net operating loss carryforwards totaled immaterial amounts in certain foreign jurisdictions.</w:t>
      </w:r>
    </w:p>
    <w:p>
      <w:pPr>
        <w:spacing w:after="0" w:line="185"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As of January 31, 2025, the Company had federal and California research and development (“R&amp;D”) credit carryforwards of $165.1 million and $39.6 million, respectively. The federal R&amp;D credit carryforwards begin to expire in fiscal 2037 though fiscal 2045. The California R&amp;D credits are carried forward indefinitely.</w:t>
      </w:r>
    </w:p>
    <w:p>
      <w:pPr>
        <w:spacing w:after="0" w:line="17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The Internal Revenue Code imposes limitations on a corporation’s ability to utilize net operating loss (“NOLs”) and credit carryovers if it experiences an ownership change as defined in Section 382. In general terms, an ownership change may result from transactions increasing the ownership of certain stockholders in the stock of a corporation by more than 50% over a three-year period. If an ownership change has occurred, or were to occur, utilization of the Company’s NOLs and credit carryovers could be restricted. The Company’s net operating losses and credit carryovers are not currently subject to a limitation due to an ownership change.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gross unrecognized tax benefits as of January 31, 2025, January 31, 2024, and January 31, 2023 were $117.5 million, $58.9 million,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$36.9 million, respectively. As of January 31, 2025, the Company had $54.8 million of unrecognized tax benefits, which, if recognized, would affect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tax rate due to the full valuation allowance. The Company’s policy is to classify interest and penalties related to unrecognized tax</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benefits as part of the income tax provision in the consolidated statements of operations. Cumulatively, the Company had incurred $3.0 million of interest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 related to unrecognized tax benefits as of January 31, 2025, and $1.4 million and an insignificant amount of interest and penalties related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as of January 31, 2024, and January 31, 2023, respectively. During the fiscal year ended January 31, 2025, the net increase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unrecognized tax benefits was a result of certain taxable foreign transactions and R&amp;D credits. During the fiscal year ended January 31, 2024, and January 31,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 the net increase in unrecognized tax benefits was a result of R&amp;D credits. The potential change in unrecognized tax benefits during the next 12 months 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expected to be material.</w:t>
      </w:r>
    </w:p>
    <w:p>
      <w:pPr>
        <w:spacing w:after="0" w:line="19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following is a rollforward of the total gross unrecognized tax benefits for the fiscal years ended January 31, 2025, January 31, 2024, and January 31, 2023 (in thousands):</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February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Increases in current period tax positions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42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Increases in prior period tax positions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Increases in current period tax positions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42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Increases in current period tax positions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Decreases in prior period tax positions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Statute of limitations expirations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from currency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31, 2025</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1183" w:hanging="1183"/>
        <w:spacing w:after="0"/>
        <w:tabs>
          <w:tab w:leader="none" w:pos="11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26,324</w:t>
      </w:r>
    </w:p>
    <w:p>
      <w:pPr>
        <w:spacing w:after="0" w:line="24" w:lineRule="exact"/>
        <w:rPr>
          <w:rFonts w:ascii="Times New Roman" w:cs="Times New Roman" w:eastAsia="Times New Roman" w:hAnsi="Times New Roman"/>
          <w:sz w:val="18"/>
          <w:szCs w:val="18"/>
          <w:color w:val="auto"/>
        </w:rPr>
      </w:pPr>
    </w:p>
    <w:p>
      <w:pPr>
        <w:ind w:left="12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(2,122)</w:t>
      </w:r>
    </w:p>
    <w:p>
      <w:pPr>
        <w:spacing w:after="0" w:line="29" w:lineRule="exact"/>
        <w:rPr>
          <w:rFonts w:ascii="Times New Roman" w:cs="Times New Roman" w:eastAsia="Times New Roman" w:hAnsi="Times New Roman"/>
          <w:sz w:val="18"/>
          <w:szCs w:val="18"/>
          <w:color w:val="auto"/>
        </w:rPr>
      </w:pPr>
    </w:p>
    <w:p>
      <w:pPr>
        <w:ind w:left="11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12,699</w:t>
      </w:r>
    </w:p>
    <w:p>
      <w:pPr>
        <w:spacing w:after="0" w:line="25" w:lineRule="exact"/>
        <w:rPr>
          <w:rFonts w:ascii="Times New Roman" w:cs="Times New Roman" w:eastAsia="Times New Roman" w:hAnsi="Times New Roman"/>
          <w:sz w:val="18"/>
          <w:szCs w:val="18"/>
          <w:color w:val="auto"/>
        </w:rPr>
      </w:pPr>
    </w:p>
    <w:p>
      <w:pPr>
        <w:ind w:left="11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36,901</w:t>
      </w:r>
    </w:p>
    <w:p>
      <w:pPr>
        <w:spacing w:after="0" w:line="24" w:lineRule="exact"/>
        <w:rPr>
          <w:rFonts w:ascii="Times New Roman" w:cs="Times New Roman" w:eastAsia="Times New Roman" w:hAnsi="Times New Roman"/>
          <w:sz w:val="18"/>
          <w:szCs w:val="18"/>
          <w:color w:val="auto"/>
        </w:rPr>
      </w:pPr>
    </w:p>
    <w:p>
      <w:pPr>
        <w:ind w:left="12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4,757</w:t>
      </w:r>
    </w:p>
    <w:p>
      <w:pPr>
        <w:spacing w:after="0" w:line="18" w:lineRule="exact"/>
        <w:rPr>
          <w:rFonts w:ascii="Times New Roman" w:cs="Times New Roman" w:eastAsia="Times New Roman" w:hAnsi="Times New Roman"/>
          <w:sz w:val="18"/>
          <w:szCs w:val="18"/>
          <w:color w:val="auto"/>
        </w:rPr>
      </w:pPr>
    </w:p>
    <w:p>
      <w:pPr>
        <w:ind w:left="12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(1,321)</w:t>
      </w:r>
    </w:p>
    <w:p>
      <w:pPr>
        <w:spacing w:after="0" w:line="29" w:lineRule="exact"/>
        <w:rPr>
          <w:rFonts w:ascii="Times New Roman" w:cs="Times New Roman" w:eastAsia="Times New Roman" w:hAnsi="Times New Roman"/>
          <w:sz w:val="18"/>
          <w:szCs w:val="18"/>
          <w:color w:val="auto"/>
        </w:rPr>
      </w:pPr>
    </w:p>
    <w:p>
      <w:pPr>
        <w:ind w:left="11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18,538</w:t>
      </w:r>
    </w:p>
    <w:p>
      <w:pPr>
        <w:spacing w:after="0" w:line="25" w:lineRule="exact"/>
        <w:rPr>
          <w:rFonts w:ascii="Times New Roman" w:cs="Times New Roman" w:eastAsia="Times New Roman" w:hAnsi="Times New Roman"/>
          <w:sz w:val="18"/>
          <w:szCs w:val="18"/>
          <w:color w:val="auto"/>
        </w:rPr>
      </w:pPr>
    </w:p>
    <w:p>
      <w:pPr>
        <w:ind w:left="11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58,875</w:t>
      </w:r>
    </w:p>
    <w:p>
      <w:pPr>
        <w:spacing w:after="0" w:line="24" w:lineRule="exact"/>
        <w:rPr>
          <w:rFonts w:ascii="Times New Roman" w:cs="Times New Roman" w:eastAsia="Times New Roman" w:hAnsi="Times New Roman"/>
          <w:sz w:val="18"/>
          <w:szCs w:val="18"/>
          <w:color w:val="auto"/>
        </w:rPr>
      </w:pPr>
    </w:p>
    <w:p>
      <w:pPr>
        <w:ind w:left="11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66,354</w:t>
      </w:r>
    </w:p>
    <w:p>
      <w:pPr>
        <w:spacing w:after="0" w:line="18" w:lineRule="exact"/>
        <w:rPr>
          <w:rFonts w:ascii="Times New Roman" w:cs="Times New Roman" w:eastAsia="Times New Roman" w:hAnsi="Times New Roman"/>
          <w:sz w:val="18"/>
          <w:szCs w:val="18"/>
          <w:color w:val="auto"/>
        </w:rPr>
      </w:pPr>
    </w:p>
    <w:p>
      <w:pPr>
        <w:ind w:left="14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890</w:t>
      </w:r>
    </w:p>
    <w:p>
      <w:pPr>
        <w:spacing w:after="0" w:line="18" w:lineRule="exact"/>
        <w:rPr>
          <w:rFonts w:ascii="Times New Roman" w:cs="Times New Roman" w:eastAsia="Times New Roman" w:hAnsi="Times New Roman"/>
          <w:sz w:val="18"/>
          <w:szCs w:val="18"/>
          <w:color w:val="auto"/>
        </w:rPr>
      </w:pPr>
    </w:p>
    <w:p>
      <w:pPr>
        <w:ind w:left="12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(5,285)</w:t>
      </w:r>
    </w:p>
    <w:p>
      <w:pPr>
        <w:spacing w:after="0" w:line="29" w:lineRule="exact"/>
        <w:rPr>
          <w:rFonts w:ascii="Times New Roman" w:cs="Times New Roman" w:eastAsia="Times New Roman" w:hAnsi="Times New Roman"/>
          <w:sz w:val="18"/>
          <w:szCs w:val="18"/>
          <w:color w:val="auto"/>
        </w:rPr>
      </w:pPr>
    </w:p>
    <w:p>
      <w:pPr>
        <w:ind w:left="12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(2,882)</w:t>
      </w:r>
    </w:p>
    <w:p>
      <w:pPr>
        <w:spacing w:after="0" w:line="29" w:lineRule="exact"/>
        <w:rPr>
          <w:rFonts w:ascii="Times New Roman" w:cs="Times New Roman" w:eastAsia="Times New Roman" w:hAnsi="Times New Roman"/>
          <w:sz w:val="18"/>
          <w:szCs w:val="18"/>
          <w:color w:val="auto"/>
        </w:rPr>
      </w:pPr>
    </w:p>
    <w:p>
      <w:pPr>
        <w:ind w:left="13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(151)</w:t>
      </w:r>
    </w:p>
    <w:p>
      <w:pPr>
        <w:spacing w:after="0" w:line="29" w:lineRule="exact"/>
        <w:rPr>
          <w:rFonts w:ascii="Times New Roman" w:cs="Times New Roman" w:eastAsia="Times New Roman" w:hAnsi="Times New Roman"/>
          <w:sz w:val="18"/>
          <w:szCs w:val="18"/>
          <w:color w:val="auto"/>
        </w:rPr>
      </w:pPr>
    </w:p>
    <w:p>
      <w:pPr>
        <w:ind w:left="13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-990600</wp:posOffset>
            </wp:positionV>
            <wp:extent cx="1118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88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-1570990</wp:posOffset>
            </wp:positionV>
            <wp:extent cx="1118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17" w:lineRule="exact"/>
        <w:rPr>
          <w:sz w:val="20"/>
          <w:szCs w:val="20"/>
          <w:color w:val="auto"/>
        </w:rPr>
      </w:pPr>
    </w:p>
    <w:p>
      <w:pPr>
        <w:ind w:left="1103" w:hanging="1103"/>
        <w:spacing w:after="0"/>
        <w:tabs>
          <w:tab w:leader="none" w:pos="11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40005</wp:posOffset>
            </wp:positionV>
            <wp:extent cx="1118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77" w:space="720"/>
            <w:col w:w="1723"/>
          </w:cols>
          <w:pgMar w:left="320" w:top="121" w:right="359" w:bottom="1440" w:gutter="0" w:footer="0" w:header="0"/>
          <w:type w:val="continuous"/>
        </w:sectPr>
      </w:pPr>
    </w:p>
    <w:p>
      <w:pPr>
        <w:spacing w:after="0" w:line="136" w:lineRule="exact"/>
        <w:rPr>
          <w:sz w:val="20"/>
          <w:szCs w:val="20"/>
          <w:color w:val="auto"/>
        </w:rPr>
      </w:pPr>
    </w:p>
    <w:p>
      <w:pPr>
        <w:ind w:right="700" w:firstLine="318"/>
        <w:spacing w:after="0" w:line="274" w:lineRule="auto"/>
        <w:rPr>
          <w:sz w:val="20"/>
          <w:szCs w:val="20"/>
          <w:color w:val="auto"/>
        </w:rPr>
      </w:pPr>
      <w:r>
        <w:rPr>
          <w:rFonts w:ascii="Times New Roman" w:cs="Times New Roman" w:eastAsia="Times New Roman" w:hAnsi="Times New Roman"/>
          <w:sz w:val="18"/>
          <w:szCs w:val="18"/>
          <w:color w:val="auto"/>
        </w:rPr>
        <w:t>The Company files income tax returns in the U.S. federal, foreign, and various state jurisdictions. Tax years 2011 and onwards remain subject to examination by taxing authorities.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80" w:firstLine="318"/>
        <w:spacing w:after="0" w:line="259" w:lineRule="auto"/>
        <w:rPr>
          <w:sz w:val="20"/>
          <w:szCs w:val="20"/>
          <w:color w:val="auto"/>
        </w:rPr>
      </w:pPr>
      <w:r>
        <w:rPr>
          <w:rFonts w:ascii="Times New Roman" w:cs="Times New Roman" w:eastAsia="Times New Roman" w:hAnsi="Times New Roman"/>
          <w:sz w:val="18"/>
          <w:szCs w:val="18"/>
          <w:color w:val="auto"/>
        </w:rPr>
        <w:t>The Company does not provide for federal and state income taxes on the undistributed earnings of its foreign subsidiaries as such earnings are to be reinvested offshore indefinitely. If the Company repatriated these earnings, the tax impact of future distributions of foreign earnings would generally be limited to withholding tax from foreign jurisdictions, and the resulting income tax liability would be insignificant.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Leases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1"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The Company has entered into non-cancellable operating lease agreements with various expiration dates through fiscal 2033. Certain lease agreements include options to renew or terminate the lease, which are not reasonably certain to be exercised and therefore are not factored into the determination of lease payments.</w:t>
      </w:r>
    </w:p>
    <w:p>
      <w:pPr>
        <w:spacing w:after="0" w:line="178"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$19.5 million, $15.4 million, and $12.0 million for the fiscal years ended January 31, 2025, January 31, 2024, and January 31, 2023, respectively. Operating lease liabilities arising from obtaining operating right of-use assets were $6.8 million and $16.4 million for the fiscal years ended January 31, 2025 and January 31, 2024, respectively.</w:t>
      </w:r>
    </w:p>
    <w:p>
      <w:pPr>
        <w:spacing w:after="0" w:line="178"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The weighted-average remaining lease terms were 2.9 years and 3.7 years as of January 31, 2025 and January 31, 2024, respectively. The weighted-average discount rates were 5.5% and 5.7% as of January 31, 2025 and January 31, 2024,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1"/>
        </w:trPr>
        <w:tc>
          <w:tcPr>
            <w:tcW w:w="57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Year Ended January 31,</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19"/>
        </w:trPr>
        <w:tc>
          <w:tcPr>
            <w:tcW w:w="57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5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Lease cost</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4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25"/>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Sublease income for the fiscal years ended January 31, 2025 and January 31, 2024 was immaterial. There was no sublease income for the fiscal year ended January 31, 2023. As of January 31, 2025, the Company has not entered into non-cancellable operating leases with terms greater than 12 months that have not yet commenced.</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maturities of the Company’s non-cancellable operating lease liabilities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tcBorders>
              <w:bottom w:val="single" w:sz="8" w:color="CCEEFF"/>
            </w:tcBorders>
          </w:tcPr>
          <w:p>
            <w:pPr>
              <w:spacing w:after="0"/>
              <w:rPr>
                <w:sz w:val="20"/>
                <w:szCs w:val="20"/>
                <w:color w:val="auto"/>
              </w:rPr>
            </w:pPr>
          </w:p>
        </w:tc>
        <w:tc>
          <w:tcPr>
            <w:tcW w:w="5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632"/>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428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right="9060" w:hanging="314"/>
        <w:spacing w:after="0" w:line="523" w:lineRule="auto"/>
        <w:tabs>
          <w:tab w:leader="none" w:pos="179" w:val="left"/>
        </w:tabs>
        <w:numPr>
          <w:ilvl w:val="0"/>
          <w:numId w:val="5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Stock-Based Compensation Stock Incentive Plan</w:t>
      </w:r>
    </w:p>
    <w:p>
      <w:pPr>
        <w:ind w:right="160" w:firstLine="318"/>
        <w:spacing w:after="0" w:line="250" w:lineRule="auto"/>
        <w:rPr>
          <w:sz w:val="20"/>
          <w:szCs w:val="20"/>
          <w:color w:val="auto"/>
        </w:rPr>
      </w:pPr>
      <w:r>
        <w:rPr>
          <w:rFonts w:ascii="Times New Roman" w:cs="Times New Roman" w:eastAsia="Times New Roman" w:hAnsi="Times New Roman"/>
          <w:sz w:val="18"/>
          <w:szCs w:val="18"/>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spacing w:after="0" w:line="187"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1"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 options granted during both fiscal years ended January 31, 2025 and January 31, 2024 were immaterial.</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is a summary of stock option activity for the fiscal year ended January 31,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w w:val="95"/>
              </w:rPr>
              <w:t>Weighted-</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3"/>
              <w:spacing w:after="0" w:line="172"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3"/>
              <w:spacing w:after="0" w:line="172" w:lineRule="exact"/>
              <w:rPr>
                <w:sz w:val="20"/>
                <w:szCs w:val="20"/>
                <w:color w:val="auto"/>
              </w:rPr>
            </w:pPr>
            <w:r>
              <w:rPr>
                <w:rFonts w:ascii="Times New Roman" w:cs="Times New Roman" w:eastAsia="Times New Roman" w:hAnsi="Times New Roman"/>
                <w:sz w:val="17"/>
                <w:szCs w:val="17"/>
                <w:b w:val="1"/>
                <w:bCs w:val="1"/>
                <w:color w:val="auto"/>
                <w:w w:val="96"/>
              </w:rPr>
              <w:t>Exercise Price</w:t>
            </w:r>
          </w:p>
        </w:tc>
        <w:tc>
          <w:tcPr>
            <w:tcW w:w="0" w:type="dxa"/>
            <w:vAlign w:val="bottom"/>
          </w:tcPr>
          <w:p>
            <w:pPr>
              <w:spacing w:after="0"/>
              <w:rPr>
                <w:sz w:val="1"/>
                <w:szCs w:val="1"/>
                <w:color w:val="auto"/>
              </w:rPr>
            </w:pPr>
          </w:p>
        </w:tc>
      </w:tr>
      <w:tr>
        <w:trPr>
          <w:trHeight w:val="224"/>
        </w:trPr>
        <w:tc>
          <w:tcPr>
            <w:tcW w:w="808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0" w:type="dxa"/>
            <w:vAlign w:val="bottom"/>
          </w:tcPr>
          <w:p>
            <w:pPr>
              <w:spacing w:after="0"/>
              <w:rPr>
                <w:sz w:val="1"/>
                <w:szCs w:val="1"/>
                <w:color w:val="auto"/>
              </w:rPr>
            </w:pPr>
          </w:p>
        </w:tc>
      </w:tr>
      <w:tr>
        <w:trPr>
          <w:trHeight w:val="206"/>
        </w:trPr>
        <w:tc>
          <w:tcPr>
            <w:tcW w:w="80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31,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Options vested and expected to vest at January 31, 2025</w:t>
            </w:r>
          </w:p>
        </w:tc>
        <w:tc>
          <w:tcPr>
            <w:tcW w:w="15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1,251</w:t>
            </w:r>
          </w:p>
        </w:tc>
        <w:tc>
          <w:tcPr>
            <w:tcW w:w="2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January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options that were unvested and exercisable as of January 31, 2025.</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aggregate intrinsic value of options vested and exercisable was $472.3 million, $451.0 million, and $247.2 million as of January 31, 2025,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31, 2024, and January 31, 2023, respectively. The weighted-average remaining contractual term of options vested and exercisable was 3.5 years, 4.2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and 4.8 years as of January 31, 2025, January 31, 2024, and January 31, 2023, respectively.</w:t>
      </w:r>
    </w:p>
    <w:p>
      <w:pPr>
        <w:spacing w:after="0" w:line="198"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The weighted-average grant date fair values of all options granted was $321.98, $126.16, and $116.26 per share during the fiscal years ended January 31, 2025, January 31, 2024, and January 31, 2023, respectively. The total intrinsic value of all options exercised was $170.4 million, $190.1 million, and $166.8 million during the fiscal years ended January 31, 2025, January 31, 2024, and January 31, 2023,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as of January 31, 2025, January 31, 2024, and January 31, 2023 was $485.3 million, $496.7 million, and $279.4 million, respectively, which represents the excess of the fair value of the Company’s common stock over the exercise price of the options, multiplied by the number of options outstanding. The weighted-average remaining contractual term of stock options outstanding was 3.6 years, 4.3 years, and 5.0 years as of January 31, 2025, January 31, 2024, and January 31, 2023, respectively.</w:t>
      </w:r>
    </w:p>
    <w:p>
      <w:pPr>
        <w:spacing w:after="0" w:line="180"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$8.0 million as of January 31, 2025. This expense is expected to be amortized over a weighted-average vesting period of 1.8 years.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1"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7"/>
          <w:szCs w:val="17"/>
          <w:color w:val="auto"/>
        </w:rPr>
        <w:t>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or</w:t>
      </w:r>
    </w:p>
    <w:p>
      <w:pPr>
        <w:spacing w:after="0" w:line="1" w:lineRule="exact"/>
        <w:rPr>
          <w:sz w:val="20"/>
          <w:szCs w:val="20"/>
          <w:color w:val="auto"/>
        </w:rPr>
      </w:pPr>
    </w:p>
    <w:p>
      <w:pPr>
        <w:ind w:right="220" w:firstLine="6"/>
        <w:spacing w:after="0" w:line="251" w:lineRule="auto"/>
        <w:tabs>
          <w:tab w:leader="none" w:pos="3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pacing w:after="0" w:line="184"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RSUs was $2.1 billion as of January 31, 2025. This expense is expected to be amortized over a weighted-average vesting period of 2.7 years.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1"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80"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PSUs was $61.0 million as of January 31, 2025, which reflects the Company's updated assessment of the likelihood of satisfying the performance conditions. This expense is expected to be amortized over a weighted-average vesting period of 1.1 years.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Special PSU Awards</w:t>
      </w:r>
    </w:p>
    <w:p>
      <w:pPr>
        <w:spacing w:after="0" w:line="2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In fiscal 2022 the Company’s board of directors granted 655,000 performance stock units (the “Special PSU Awards”) to certain executives under the 2019 Plan. The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(i.e., February 1, 2022, February 1, 2023, February 1, 2024, and February 1, 2025) and (ii) the remaining PSUs with respect to such tranche will thereafter service vest in four equal quarterly installments of 12.5%.</w:t>
      </w:r>
    </w:p>
    <w:p>
      <w:pPr>
        <w:spacing w:after="0" w:line="190"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measured the fair value of the Special PSU Awards on the grant date using a Monte Carlo simulation valuation model. The risk-free interest rates used were 0.85% - 1.51%,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2.21 - 2.58 year look-back from the grant date and 50% weight based on the Company’s implied volatility as of the grant date.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the unvested portion of the Special PSU Awards was $11.2 million as of January 31, 2025. This expense is expected to be amortized over a weighted-average vesting period of 1.1 years.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is a summary of RSUs, PSUs, and the Special PSU Awards activities for the fiscal year ended January 31,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Weighted-Average</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3"/>
              <w:spacing w:after="0" w:line="172" w:lineRule="exact"/>
              <w:rPr>
                <w:sz w:val="20"/>
                <w:szCs w:val="20"/>
                <w:color w:val="auto"/>
              </w:rPr>
            </w:pPr>
            <w:r>
              <w:rPr>
                <w:rFonts w:ascii="Times New Roman" w:cs="Times New Roman" w:eastAsia="Times New Roman" w:hAnsi="Times New Roman"/>
                <w:sz w:val="17"/>
                <w:szCs w:val="17"/>
                <w:b w:val="1"/>
                <w:bCs w:val="1"/>
                <w:color w:val="auto"/>
                <w:w w:val="96"/>
              </w:rPr>
              <w:t>Grant Date</w:t>
            </w:r>
          </w:p>
        </w:tc>
        <w:tc>
          <w:tcPr>
            <w:tcW w:w="0" w:type="dxa"/>
            <w:vAlign w:val="bottom"/>
          </w:tcPr>
          <w:p>
            <w:pPr>
              <w:spacing w:after="0"/>
              <w:rPr>
                <w:sz w:val="1"/>
                <w:szCs w:val="1"/>
                <w:color w:val="auto"/>
              </w:rPr>
            </w:pPr>
          </w:p>
        </w:tc>
      </w:tr>
      <w:tr>
        <w:trPr>
          <w:trHeight w:val="172"/>
        </w:trPr>
        <w:tc>
          <w:tcPr>
            <w:tcW w:w="80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3"/>
              <w:spacing w:after="0" w:line="172" w:lineRule="exact"/>
              <w:rPr>
                <w:sz w:val="20"/>
                <w:szCs w:val="20"/>
                <w:color w:val="auto"/>
              </w:rPr>
            </w:pPr>
            <w:r>
              <w:rPr>
                <w:rFonts w:ascii="Times New Roman" w:cs="Times New Roman" w:eastAsia="Times New Roman" w:hAnsi="Times New Roman"/>
                <w:sz w:val="17"/>
                <w:szCs w:val="17"/>
                <w:b w:val="1"/>
                <w:bCs w:val="1"/>
                <w:color w:val="auto"/>
                <w:w w:val="97"/>
              </w:rPr>
              <w:t>Fair Value</w:t>
            </w:r>
          </w:p>
        </w:tc>
        <w:tc>
          <w:tcPr>
            <w:tcW w:w="0" w:type="dxa"/>
            <w:vAlign w:val="bottom"/>
          </w:tcPr>
          <w:p>
            <w:pPr>
              <w:spacing w:after="0"/>
              <w:rPr>
                <w:sz w:val="1"/>
                <w:szCs w:val="1"/>
                <w:color w:val="auto"/>
              </w:rPr>
            </w:pPr>
          </w:p>
        </w:tc>
      </w:tr>
      <w:tr>
        <w:trPr>
          <w:trHeight w:val="224"/>
        </w:trPr>
        <w:tc>
          <w:tcPr>
            <w:tcW w:w="808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0" w:type="dxa"/>
            <w:vAlign w:val="bottom"/>
          </w:tcPr>
          <w:p>
            <w:pPr>
              <w:spacing w:after="0"/>
              <w:rPr>
                <w:sz w:val="1"/>
                <w:szCs w:val="1"/>
                <w:color w:val="auto"/>
              </w:rPr>
            </w:pPr>
          </w:p>
        </w:tc>
      </w:tr>
      <w:tr>
        <w:trPr>
          <w:trHeight w:val="206"/>
        </w:trPr>
        <w:tc>
          <w:tcPr>
            <w:tcW w:w="80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January 31,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0" w:type="dxa"/>
            <w:vAlign w:val="bottom"/>
          </w:tcPr>
          <w:p>
            <w:pPr>
              <w:spacing w:after="0"/>
              <w:rPr>
                <w:sz w:val="1"/>
                <w:szCs w:val="1"/>
                <w:color w:val="auto"/>
              </w:rPr>
            </w:pPr>
          </w:p>
        </w:tc>
      </w:tr>
      <w:tr>
        <w:trPr>
          <w:trHeight w:val="225"/>
        </w:trPr>
        <w:tc>
          <w:tcPr>
            <w:tcW w:w="80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2"/>
                <w:szCs w:val="22"/>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January 31, 2025</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RSUs and PSUs expected to vest at January 31, 2025</w:t>
            </w:r>
            <w:r>
              <w:rPr>
                <w:rFonts w:ascii="Times New Roman" w:cs="Times New Roman" w:eastAsia="Times New Roman" w:hAnsi="Times New Roman"/>
                <w:sz w:val="22"/>
                <w:szCs w:val="22"/>
                <w:b w:val="1"/>
                <w:bCs w:val="1"/>
                <w:color w:val="auto"/>
                <w:vertAlign w:val="superscript"/>
              </w:rPr>
              <w:t>(2)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3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640" w:right="20" w:hanging="316"/>
        <w:spacing w:after="0" w:line="272" w:lineRule="auto"/>
        <w:tabs>
          <w:tab w:leader="none" w:pos="66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adjustment represents adjustments in shares outstanding due to the actual achievement of performance-based awards, the achievement of which was based upon pre-defined financial performance targets.</w:t>
      </w:r>
    </w:p>
    <w:p>
      <w:pPr>
        <w:spacing w:after="0" w:line="165" w:lineRule="exact"/>
        <w:rPr>
          <w:rFonts w:ascii="Times New Roman" w:cs="Times New Roman" w:eastAsia="Times New Roman" w:hAnsi="Times New Roman"/>
          <w:sz w:val="16"/>
          <w:szCs w:val="16"/>
          <w:color w:val="auto"/>
        </w:rPr>
      </w:pPr>
    </w:p>
    <w:p>
      <w:pPr>
        <w:ind w:left="660" w:hanging="336"/>
        <w:spacing w:after="0"/>
        <w:tabs>
          <w:tab w:leader="none" w:pos="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in progress PSUs and Special PSUs where pre-defined targets have not yet been achieved.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ESPP provides for consecutive offering periods that will typically have a duration of approximately 24 months in length and are comprised</w:t>
      </w:r>
    </w:p>
    <w:p>
      <w:pPr>
        <w:spacing w:after="0" w:line="24"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8"/>
          <w:szCs w:val="18"/>
          <w:color w:val="auto"/>
        </w:rPr>
        <w:t>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8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current offering period. During the fiscal years ended January 31, 2025 and January 31, 2023, there were ESPP rollovers because the Company’s closing stock price on the purchase date was lower than the Company’s closing stock price on the first day of the offering periods. As a result, these offering dates were rolled over to new 24-month offering periods through December 10, 2026, and December 12, 2024, respectively. These rollovers were accounted for as a modification to the original offerings. The total incremental expense as a result of the rollover and contribution modifications was $12.4 million and $58.6 million, respectively, which will be recognized over the new or remaining offering periods. There were no ESPP rollovers during the fiscal year ended January 31, 2024. Total incremental expense as a result of contribution modifications during the fiscal year ended January 31, 2024 was $7.3 million, which will be recognized over the remaining offering periods.</w:t>
      </w:r>
    </w:p>
    <w:p>
      <w:pPr>
        <w:spacing w:after="0" w:line="187"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Employee payroll contributions ultimately used to purchase shares are reclassified to stockholders’ equity on the purchase date. ESPP employee payroll contributions accrued as of January 31, 2025 and January 31, 2024 totaled $33.2 million and $22.3 million, respectively, and are included within accrued payroll and benefits in the consolidated balance sheets.</w:t>
      </w:r>
    </w:p>
    <w:p>
      <w:pPr>
        <w:spacing w:after="0" w:line="178" w:lineRule="exact"/>
        <w:rPr>
          <w:sz w:val="20"/>
          <w:szCs w:val="20"/>
          <w:color w:val="auto"/>
        </w:rPr>
      </w:pPr>
    </w:p>
    <w:p>
      <w:pPr>
        <w:ind w:right="120" w:firstLine="318"/>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option-pricing model to determine the fair value of employee stock purchase rights granted under the Company’s ESPP: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6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360" w:type="dxa"/>
            <w:vAlign w:val="bottom"/>
            <w:tcBorders>
              <w:bottom w:val="single" w:sz="8" w:color="auto"/>
            </w:tcBorders>
          </w:tcPr>
          <w:p>
            <w:pPr>
              <w:spacing w:after="0"/>
              <w:rPr>
                <w:sz w:val="20"/>
                <w:szCs w:val="20"/>
                <w:color w:val="auto"/>
              </w:rPr>
            </w:pPr>
          </w:p>
        </w:tc>
      </w:tr>
      <w:tr>
        <w:trPr>
          <w:trHeight w:val="218"/>
        </w:trPr>
        <w:tc>
          <w:tcPr>
            <w:tcW w:w="6160" w:type="dxa"/>
            <w:vAlign w:val="bottom"/>
          </w:tcPr>
          <w:p>
            <w:pPr>
              <w:spacing w:after="0"/>
              <w:rPr>
                <w:sz w:val="19"/>
                <w:szCs w:val="19"/>
                <w:color w:val="auto"/>
              </w:rPr>
            </w:pPr>
          </w:p>
        </w:tc>
        <w:tc>
          <w:tcPr>
            <w:tcW w:w="16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2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 5.3%</w:t>
            </w:r>
          </w:p>
        </w:tc>
        <w:tc>
          <w:tcPr>
            <w:tcW w:w="100" w:type="dxa"/>
            <w:vAlign w:val="bottom"/>
          </w:tcPr>
          <w:p>
            <w:pPr>
              <w:spacing w:after="0"/>
              <w:rPr>
                <w:sz w:val="19"/>
                <w:szCs w:val="19"/>
                <w:color w:val="auto"/>
              </w:rPr>
            </w:pPr>
          </w:p>
        </w:tc>
        <w:tc>
          <w:tcPr>
            <w:tcW w:w="2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0.2% – 5.3%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 4.7%</w:t>
            </w: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 59.8%</w:t>
            </w:r>
          </w:p>
        </w:tc>
        <w:tc>
          <w:tcPr>
            <w:tcW w:w="10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40.8% – 61.2%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 67.4%</w:t>
            </w:r>
          </w:p>
        </w:tc>
      </w:tr>
      <w:tr>
        <w:trPr>
          <w:trHeight w:val="231"/>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Stock-based compensation expense included in the consolidated statements of operations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6"/>
              </w:rPr>
              <w:t>Year Ended January 31,</w:t>
            </w:r>
          </w:p>
        </w:tc>
        <w:tc>
          <w:tcPr>
            <w:tcW w:w="1180" w:type="dxa"/>
            <w:vAlign w:val="bottom"/>
            <w:tcBorders>
              <w:bottom w:val="single" w:sz="8" w:color="auto"/>
            </w:tcBorders>
          </w:tcPr>
          <w:p>
            <w:pPr>
              <w:spacing w:after="0"/>
              <w:rPr>
                <w:sz w:val="20"/>
                <w:szCs w:val="20"/>
                <w:color w:val="auto"/>
              </w:rPr>
            </w:pPr>
          </w:p>
        </w:tc>
      </w:tr>
      <w:tr>
        <w:trPr>
          <w:trHeight w:val="218"/>
        </w:trPr>
        <w:tc>
          <w:tcPr>
            <w:tcW w:w="6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32,091</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151,919</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174,711</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152,091</w:t>
            </w:r>
          </w:p>
        </w:tc>
      </w:tr>
      <w:tr>
        <w:trPr>
          <w:trHeight w:val="218"/>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865,421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526,504</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Revenue, Deferred Revenue and Remaining Performance Obligations</w:t>
      </w:r>
    </w:p>
    <w:p>
      <w:pPr>
        <w:spacing w:after="0" w:line="221" w:lineRule="exact"/>
        <w:rPr>
          <w:sz w:val="20"/>
          <w:szCs w:val="20"/>
          <w:color w:val="auto"/>
        </w:rPr>
      </w:pPr>
    </w:p>
    <w:p>
      <w:pPr>
        <w:ind w:right="300" w:firstLine="318"/>
        <w:spacing w:after="0" w:line="270" w:lineRule="auto"/>
        <w:rPr>
          <w:sz w:val="20"/>
          <w:szCs w:val="20"/>
          <w:color w:val="auto"/>
        </w:rPr>
      </w:pPr>
      <w:r>
        <w:rPr>
          <w:rFonts w:ascii="Times New Roman" w:cs="Times New Roman" w:eastAsia="Times New Roman" w:hAnsi="Times New Roman"/>
          <w:sz w:val="18"/>
          <w:szCs w:val="18"/>
          <w:color w:val="auto"/>
        </w:rPr>
        <w:t>The following table summarizes revenue by region based on the shipping address of customers who have contracted to use the Company’s platform or service (in thousands, except percentages):</w:t>
      </w:r>
    </w:p>
    <w:tbl>
      <w:tblPr>
        <w:tblLayout w:type="fixed"/>
        <w:tblInd w:w="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Year Ended January 31,</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3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7"/>
                <w:szCs w:val="17"/>
                <w:color w:val="auto"/>
              </w:rPr>
            </w:pPr>
          </w:p>
        </w:tc>
      </w:tr>
      <w:tr>
        <w:trPr>
          <w:trHeight w:val="205"/>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 Revenue</w:t>
            </w:r>
          </w:p>
        </w:tc>
      </w:tr>
      <w:tr>
        <w:trPr>
          <w:trHeight w:val="220"/>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2,682,942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2,088,054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1,563,567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4"/>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3,055,555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total revenue during the fiscal years ended January 31, 2025, January 31, 2024, and January 31, 2023.</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performance under the contract. Such amounts are recognized as revenue over the contractual period. The Company recognized revenue of $2,251.3 million and $1,718.5 million for the fiscal years ended January 31, 2025 and January 31, 2024, respectively, which was included in the corresponding contract liability balance at the beginning of the period.</w:t>
      </w:r>
    </w:p>
    <w:p>
      <w:pPr>
        <w:spacing w:after="0" w:line="178" w:lineRule="exact"/>
        <w:rPr>
          <w:sz w:val="20"/>
          <w:szCs w:val="20"/>
          <w:color w:val="auto"/>
        </w:rPr>
      </w:pPr>
    </w:p>
    <w:p>
      <w:pPr>
        <w:jc w:val="both"/>
        <w:ind w:right="760" w:firstLine="318"/>
        <w:spacing w:after="0" w:line="259"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deferred revenue were as follows (in thousands):</w:t>
      </w:r>
    </w:p>
    <w:p>
      <w:pPr>
        <w:spacing w:after="0" w:line="43"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Year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3,054,099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7"/>
              </w:rPr>
              <w:t>2,355,113</w:t>
            </w:r>
          </w:p>
        </w:tc>
      </w:tr>
      <w:tr>
        <w:trPr>
          <w:trHeight w:val="22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360" w:type="dxa"/>
            <w:vAlign w:val="bottom"/>
          </w:tcPr>
          <w:p>
            <w:pPr>
              <w:spacing w:after="0"/>
              <w:rPr>
                <w:sz w:val="19"/>
                <w:szCs w:val="19"/>
                <w:color w:val="auto"/>
              </w:rPr>
            </w:pPr>
          </w:p>
        </w:tc>
        <w:tc>
          <w:tcPr>
            <w:tcW w:w="11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9"/>
              </w:rPr>
              <w:t>4,628,202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9"/>
              </w:rPr>
              <w:t>3,754,541</w:t>
            </w: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7"/>
              </w:rPr>
              <w:t>(3,953,624)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7"/>
              </w:rPr>
              <w:t>(3,055,555)</w:t>
            </w:r>
          </w:p>
        </w:tc>
      </w:tr>
      <w:tr>
        <w:trPr>
          <w:trHeight w:val="21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8"/>
                <w:szCs w:val="18"/>
                <w:color w:val="auto"/>
                <w:w w:val="99"/>
              </w:rPr>
              <w:t>3,728,677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8"/>
                <w:szCs w:val="18"/>
                <w:color w:val="auto"/>
                <w:w w:val="99"/>
              </w:rPr>
              <w:t>3,054,099</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1"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Company’s subscription contracts with its customers have a typical term of one to three years, and most subscription contracts are non-cancellable. Customers generally have the right to terminate their contracts for cause as a result of the Company’s failure to perform. As of January 31, 2025, the aggregate amount of the transaction price allocated to remaining performance obligations was $6.5 billion. The Company expects to recognize approximately 53% of the remaining performance obligations in the 12 months following January 31, 2025 and 42% of the remaining performance obligations between 13 to 36 months, with the remainder to be recognized thereafter.</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a Contract</w:t>
      </w:r>
    </w:p>
    <w:p>
      <w:pPr>
        <w:spacing w:after="0" w:line="221" w:lineRule="exact"/>
        <w:rPr>
          <w:sz w:val="20"/>
          <w:szCs w:val="20"/>
          <w:color w:val="auto"/>
        </w:rPr>
      </w:pPr>
    </w:p>
    <w:p>
      <w:pPr>
        <w:jc w:val="both"/>
        <w:ind w:right="40" w:firstLine="318"/>
        <w:spacing w:after="0" w:line="282" w:lineRule="auto"/>
        <w:rPr>
          <w:sz w:val="20"/>
          <w:szCs w:val="20"/>
          <w:color w:val="auto"/>
        </w:rPr>
      </w:pPr>
      <w:r>
        <w:rPr>
          <w:rFonts w:ascii="Times New Roman" w:cs="Times New Roman" w:eastAsia="Times New Roman" w:hAnsi="Times New Roman"/>
          <w:sz w:val="17"/>
          <w:szCs w:val="17"/>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consolidated balance sheets.</w:t>
      </w:r>
    </w:p>
    <w:p>
      <w:pPr>
        <w:spacing w:after="0" w:line="159"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 Commissions are included in sales and marketing expense in the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year ended January 31, 2025.</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1"/>
        </w:trPr>
        <w:tc>
          <w:tcPr>
            <w:tcW w:w="80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r>
      <w:tr>
        <w:trPr>
          <w:trHeight w:val="219"/>
        </w:trPr>
        <w:tc>
          <w:tcPr>
            <w:tcW w:w="80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9"/>
              </w:rPr>
              <w:t>582,303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447,088</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360" w:type="dxa"/>
            <w:vAlign w:val="bottom"/>
          </w:tcPr>
          <w:p>
            <w:pPr>
              <w:spacing w:after="0"/>
              <w:rPr>
                <w:sz w:val="19"/>
                <w:szCs w:val="19"/>
                <w:color w:val="auto"/>
              </w:rPr>
            </w:pPr>
          </w:p>
        </w:tc>
        <w:tc>
          <w:tcPr>
            <w:tcW w:w="11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584,484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374,116</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6"/>
              </w:rPr>
              <w:t>(318,837)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9"/>
              </w:rPr>
              <w:t>(238,901)</w:t>
            </w:r>
          </w:p>
        </w:tc>
      </w:tr>
      <w:tr>
        <w:trPr>
          <w:trHeight w:val="21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9"/>
              </w:rPr>
              <w:t>847,950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582,303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1"/>
        </w:trPr>
        <w:tc>
          <w:tcPr>
            <w:tcW w:w="8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9"/>
              </w:rPr>
              <w:t>347,042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246,370</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9"/>
              </w:rPr>
              <w:t>500,908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335,933</w:t>
            </w:r>
          </w:p>
        </w:tc>
      </w:tr>
      <w:tr>
        <w:trPr>
          <w:trHeight w:val="218"/>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w w:val="99"/>
              </w:rPr>
              <w:t>847,950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582,303</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right="8560" w:hanging="314"/>
        <w:spacing w:after="0" w:line="493" w:lineRule="auto"/>
        <w:tabs>
          <w:tab w:leader="none" w:pos="267"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July 19 Incident</w:t>
      </w:r>
    </w:p>
    <w:p>
      <w:pPr>
        <w:spacing w:after="0" w:line="2"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spacing w:after="0" w:line="163" w:lineRule="exact"/>
        <w:rPr>
          <w:sz w:val="20"/>
          <w:szCs w:val="20"/>
          <w:color w:val="auto"/>
        </w:rPr>
      </w:pPr>
    </w:p>
    <w:p>
      <w:pPr>
        <w:ind w:left="1120" w:right="60" w:hanging="319"/>
        <w:spacing w:after="0" w:line="252" w:lineRule="auto"/>
        <w:tabs>
          <w:tab w:leader="none" w:pos="11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2024, a putative class action lawsuit was filed against the Company and certain of the Company’s officers in federal court in the Western District of Texas alleging violations of federal securities laws, including that the defendants made false or misleading statements. The complainants seek certification of a class of all persons who purchased or otherwise acquired the Company’s securities during specified periods of time and are seeking unspecified monetary damages, costs and attorneys’ fees. On January 21, 2025, an amended complaint was filed.</w:t>
      </w:r>
    </w:p>
    <w:p>
      <w:pPr>
        <w:spacing w:after="0" w:line="185" w:lineRule="exact"/>
        <w:rPr>
          <w:rFonts w:ascii="Times New Roman" w:cs="Times New Roman" w:eastAsia="Times New Roman" w:hAnsi="Times New Roman"/>
          <w:sz w:val="18"/>
          <w:szCs w:val="18"/>
          <w:color w:val="auto"/>
        </w:rPr>
      </w:pPr>
    </w:p>
    <w:p>
      <w:pPr>
        <w:ind w:left="1120" w:right="40" w:hanging="319"/>
        <w:spacing w:after="0" w:line="269" w:lineRule="auto"/>
        <w:tabs>
          <w:tab w:leader="none" w:pos="11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5, 2024, a putative class action lawsuit was filed against CrowdStrike, Inc. in federal court in the Western District of Texas alleging, among other things, negligence and violations of the California Unfair Competition Law. The complainants seek certification of a nationwide class, as well as sub-classes of certain California, Ohio, and Pennsylvania citizens, who had a flight delayed or canceled during a specified period of time and are seeking unspecified monetary damages, certain injunctive relief, costs and attorneys’ fees. On November 6, 2024, this lawsuit was consolidated with the August 19, 2024 lawsuit described below, and interim class counsel was appointed. On December 6, 2024, a consolidated class action complaint was filed. On February 4, 2025, CrowdStrike, Inc. filed a motion to dismiss the complaint.</w:t>
      </w:r>
    </w:p>
    <w:p>
      <w:pPr>
        <w:spacing w:after="0" w:line="169" w:lineRule="exact"/>
        <w:rPr>
          <w:rFonts w:ascii="Times New Roman" w:cs="Times New Roman" w:eastAsia="Times New Roman" w:hAnsi="Times New Roman"/>
          <w:sz w:val="17"/>
          <w:szCs w:val="17"/>
          <w:color w:val="auto"/>
        </w:rPr>
      </w:pPr>
    </w:p>
    <w:p>
      <w:pPr>
        <w:ind w:left="1120" w:right="180" w:hanging="319"/>
        <w:spacing w:after="0" w:line="251" w:lineRule="auto"/>
        <w:tabs>
          <w:tab w:leader="none" w:pos="11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2024, a putative class action lawsuit was filed against the Company and CrowdStrike, Inc. in federal court in the Western District of Texas alleging, among other things, negligence in the design and testing of the Falcon sensor and tortious interference between certain airline customers and their airline. The complainants seek certification of a nationwide class (or alternatively a class of Iowa citizens) who had a flight delayed or canceled on a specified airline during a specific period of time and are seeking unspecified monetary damages, costs and attorneys’ fees. On November 6, 2024, this lawsuit was consolidated with the lawsuit filed on August 5, 2024 described above and was administratively closed.</w:t>
      </w:r>
    </w:p>
    <w:p>
      <w:pPr>
        <w:spacing w:after="0" w:line="185" w:lineRule="exact"/>
        <w:rPr>
          <w:rFonts w:ascii="Times New Roman" w:cs="Times New Roman" w:eastAsia="Times New Roman" w:hAnsi="Times New Roman"/>
          <w:sz w:val="18"/>
          <w:szCs w:val="18"/>
          <w:color w:val="auto"/>
        </w:rPr>
      </w:pPr>
    </w:p>
    <w:p>
      <w:pPr>
        <w:ind w:left="1120" w:right="40" w:hanging="319"/>
        <w:spacing w:after="0" w:line="250" w:lineRule="auto"/>
        <w:tabs>
          <w:tab w:leader="none" w:pos="11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4, September 11, and September 20, 2024, three derivative lawsuits were filed against certain of the Company’s officers and directors, and against the Company as nominal defendant, in federal court in the Western District of Texas alleging breach of fiduciary duty under Delaware law and violations of federal securities laws, including that the defendants made false or misleading statements in violation of Sections 10(b) and 14(a) of the Exchange Act and SEC Rules 10b-5 and 14a-9. One of the lawsuits also brings a claim against certain of the defendants for contribution under Sections 10(b) and 21D of the Exchange Act. The complainants seek monetary and non-monetary relief purportedly on behalf of the Company. On November 21, 2024, all three cases were consolidated and stayed pending resolution of the putative securities class action described above.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20" w:right="120" w:hanging="319"/>
        <w:spacing w:after="0" w:line="252" w:lineRule="auto"/>
        <w:tabs>
          <w:tab w:leader="none" w:pos="11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The matter has been transferred to the Metro Atlanta Business Case Division. On December 16, 2024, CrowdStrike, Inc. filed a motion to dismiss.</w:t>
      </w:r>
    </w:p>
    <w:p>
      <w:pPr>
        <w:spacing w:after="0" w:line="185" w:lineRule="exact"/>
        <w:rPr>
          <w:sz w:val="20"/>
          <w:szCs w:val="20"/>
          <w:color w:val="auto"/>
        </w:rPr>
      </w:pPr>
    </w:p>
    <w:p>
      <w:pPr>
        <w:ind w:right="620" w:firstLine="318"/>
        <w:spacing w:after="0" w:line="259" w:lineRule="auto"/>
        <w:rPr>
          <w:sz w:val="20"/>
          <w:szCs w:val="20"/>
          <w:color w:val="auto"/>
        </w:rPr>
      </w:pPr>
      <w:r>
        <w:rPr>
          <w:rFonts w:ascii="Times New Roman" w:cs="Times New Roman" w:eastAsia="Times New Roman" w:hAnsi="Times New Roman"/>
          <w:sz w:val="18"/>
          <w:szCs w:val="18"/>
          <w:color w:val="auto"/>
        </w:rPr>
        <w:t>Additionally, some customers and third parties have asserted claims or publicly threatened litigation against the Company. The Company has also received inquiries from governmental authorities and other third parties related to the July 19 Incident. The Company is cooperating and providing information in connection with these inquiries.</w:t>
      </w:r>
    </w:p>
    <w:p>
      <w:pPr>
        <w:spacing w:after="0" w:line="178"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early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spacing w:after="0" w:line="187"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The Company expects to incur significant legal and professional services and other expenses associated with the July 19 Incident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w:t>
      </w:r>
    </w:p>
    <w:p>
      <w:pPr>
        <w:spacing w:after="0" w:line="17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Amounts accrued and expenses incurred, net of insurance receivable recorded, relating to the July 19 Incident during fiscal years ended January 31, 2025 were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7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2024</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7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Expenses incurred, net of insurance receivable recorded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60,062</w:t>
            </w:r>
          </w:p>
        </w:tc>
      </w:tr>
      <w:tr>
        <w:trPr>
          <w:trHeight w:val="22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 cash received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(38,917)</w:t>
            </w:r>
          </w:p>
        </w:tc>
      </w:tr>
      <w:tr>
        <w:trPr>
          <w:trHeight w:val="218"/>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21,145</w:t>
            </w:r>
          </w:p>
        </w:tc>
      </w:tr>
      <w:tr>
        <w:trPr>
          <w:trHeight w:val="20"/>
        </w:trPr>
        <w:tc>
          <w:tcPr>
            <w:tcW w:w="9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320" w:right="120" w:hanging="314"/>
        <w:spacing w:after="0" w:line="257" w:lineRule="auto"/>
        <w:tabs>
          <w:tab w:leader="none" w:pos="34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expenses were included in the Company’s consolidated statements of operations as sales and marketing expenses, research and development expenses, and general and administrative expenses. Accruals were recorded in accrued expenses in the Company’s consolidated balance sheets. Insurance receivable was recorded in prepaid expenses and other current assets in the Company’s consolidated balance sheets.</w:t>
      </w:r>
    </w:p>
    <w:p>
      <w:pPr>
        <w:spacing w:after="0" w:line="173" w:lineRule="exact"/>
        <w:rPr>
          <w:sz w:val="20"/>
          <w:szCs w:val="20"/>
          <w:color w:val="auto"/>
        </w:rPr>
      </w:pPr>
    </w:p>
    <w:p>
      <w:pPr>
        <w:jc w:val="both"/>
        <w:ind w:right="140" w:firstLine="318"/>
        <w:spacing w:after="0" w:line="258" w:lineRule="auto"/>
        <w:rPr>
          <w:sz w:val="20"/>
          <w:szCs w:val="20"/>
          <w:color w:val="auto"/>
        </w:rPr>
      </w:pPr>
      <w:r>
        <w:rPr>
          <w:rFonts w:ascii="Times New Roman" w:cs="Times New Roman" w:eastAsia="Times New Roman" w:hAnsi="Times New Roman"/>
          <w:sz w:val="17"/>
          <w:szCs w:val="17"/>
          <w:color w:val="auto"/>
        </w:rPr>
        <w:t>In addition to customer commitment packages, the Company has made an immaterial amount of settlement offers to certain customers in response to the July 19 Incident. These amounts are, or will be, entirely offset by recoveries under the Company’s insurance policies. Accordingly, there is no impact on the Company’s consolidated statement of operations for the fiscal year ended January 31, 2025. The customer payables and insurance receivables were recorded as accrued expenses and as prepaid expenses and other current assets in the Company’s consolidated balance sheet as of January 31, 2025, respectively.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1"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 and a permanent injunction. In September 2022, Webroot amended its complaint to assert six additional patents. In November 2023, CrowdStrike, Inc. entered into an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agreement that provided for, among other things, the settlement and dismissal of the parties’ claims and filed for dismissal. The amount attributable to the settlement was not material.</w:t>
      </w:r>
    </w:p>
    <w:p>
      <w:pPr>
        <w:spacing w:after="0" w:line="163"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consolidated financial statements.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non-cancellable purchase commitments with various parties to purchase products and services such as data center capacity, advertising, technology, equipment, office renovations, corporate events, and consulting services. A summary of non-cancellable purchase obligations in excess of one year as of January 31, 2025, with expected date of payment is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9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21"/>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491,027</w:t>
            </w: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541,433</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558,559</w:t>
            </w: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581,474</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432,481</w:t>
            </w:r>
          </w:p>
        </w:tc>
      </w:tr>
      <w:tr>
        <w:trPr>
          <w:trHeight w:val="225"/>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87,058</w:t>
            </w:r>
          </w:p>
        </w:tc>
      </w:tr>
      <w:tr>
        <w:trPr>
          <w:trHeight w:val="243"/>
        </w:trPr>
        <w:tc>
          <w:tcPr>
            <w:tcW w:w="9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2,692,032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Unfunded Loan Commitments</w:t>
      </w:r>
    </w:p>
    <w:p>
      <w:pPr>
        <w:spacing w:after="0" w:line="221"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cancellable by the Company. As of January 31, 2025, the Company had non-cancellable unfunded commitments totaling approximately $94.2 million.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221"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consolidated financial statements as of January 31, 2025 or January 31, 2024</w:t>
      </w:r>
      <w:r>
        <w:rPr>
          <w:rFonts w:ascii="Arial" w:cs="Arial" w:eastAsia="Arial" w:hAnsi="Arial"/>
          <w:sz w:val="18"/>
          <w:szCs w:val="18"/>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2025 or January 31, 2024</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Geographic Information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property and equipment, net and operating lease right-of-use assets, are summarized by geographic area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20" w:type="dxa"/>
            <w:vAlign w:val="bottom"/>
            <w:tcBorders>
              <w:bottom w:val="single" w:sz="8" w:color="auto"/>
            </w:tcBorders>
          </w:tcPr>
          <w:p>
            <w:pPr>
              <w:spacing w:after="0"/>
              <w:rPr>
                <w:sz w:val="20"/>
                <w:szCs w:val="20"/>
                <w:color w:val="auto"/>
              </w:rPr>
            </w:pPr>
          </w:p>
        </w:tc>
      </w:tr>
      <w:tr>
        <w:trPr>
          <w:trHeight w:val="218"/>
        </w:trPr>
        <w:tc>
          <w:tcPr>
            <w:tcW w:w="8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539,580</w:t>
            </w:r>
          </w:p>
        </w:tc>
      </w:tr>
      <w:tr>
        <w:trPr>
          <w:trHeight w:val="225"/>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84,488</w:t>
            </w: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44,315</w:t>
            </w:r>
          </w:p>
        </w:tc>
      </w:tr>
      <w:tr>
        <w:trPr>
          <w:trHeight w:val="219"/>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 and operating lease right-of-use assets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831,403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668,383</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Acquisitions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Adaptive Shield</w:t>
      </w:r>
    </w:p>
    <w:p>
      <w:pPr>
        <w:spacing w:after="0" w:line="221" w:lineRule="exact"/>
        <w:rPr>
          <w:sz w:val="20"/>
          <w:szCs w:val="20"/>
          <w:color w:val="auto"/>
        </w:rPr>
      </w:pPr>
    </w:p>
    <w:p>
      <w:pPr>
        <w:jc w:val="both"/>
        <w:ind w:right="60" w:firstLine="318"/>
        <w:spacing w:after="0" w:line="274" w:lineRule="auto"/>
        <w:rPr>
          <w:sz w:val="20"/>
          <w:szCs w:val="20"/>
          <w:color w:val="auto"/>
        </w:rPr>
      </w:pPr>
      <w:r>
        <w:rPr>
          <w:rFonts w:ascii="Times New Roman" w:cs="Times New Roman" w:eastAsia="Times New Roman" w:hAnsi="Times New Roman"/>
          <w:sz w:val="18"/>
          <w:szCs w:val="18"/>
          <w:color w:val="auto"/>
        </w:rPr>
        <w:t>On November 20, 2024, the Company acquired 100% of the equity interest of A.S. Adaptive Shield Ltd. (“Adaptive Shield”), a SaaS-based cybersecurity company that offers customers comprehensive SaaS security posture management solutions.</w:t>
      </w:r>
    </w:p>
    <w:p>
      <w:pPr>
        <w:spacing w:after="0" w:line="163" w:lineRule="exact"/>
        <w:rPr>
          <w:sz w:val="20"/>
          <w:szCs w:val="20"/>
          <w:color w:val="auto"/>
        </w:rPr>
      </w:pPr>
    </w:p>
    <w:p>
      <w:pPr>
        <w:ind w:right="140" w:firstLine="318"/>
        <w:spacing w:after="0" w:line="249"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$213.7 million in cash, net of $13.7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identifiable intangible assets, which include developed technology and customer relationships of $31.1 million, net tangible liabilities acquired of $7.7 million, and goodwill of $191.0 million, which was allocated to the Company’s one reporting unit and represents the excess of the purchase price over the fair value of net tangible and intangible assets acquired. The goodwill was primarily attributable to the assembled workforce of Adaptive Shield, planned growth in new markets, and synergies expected to be achieved from the integration of Adaptive Shield. Goodwill is not deductible for income tax purposes.</w:t>
      </w:r>
    </w:p>
    <w:p>
      <w:pPr>
        <w:spacing w:after="0" w:line="190"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color w:val="auto"/>
        </w:rPr>
        <w:t>Per the terms of the share purchase agreement with Adaptive Shield, certain unvested stock options held by Adaptive Shield employees were canceled and exchanged for replacement stock options under the 2019 Plan. Additionally, certain shares of Adaptive Shield stock held by Adaptive Shield employees were exchanged for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8"/>
        </w:trPr>
        <w:tc>
          <w:tcPr>
            <w:tcW w:w="8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(in months)</w:t>
            </w: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Acquisition costs incurred during the fiscal year ended January 31, 2025 were $2.7 million and are recorded in general and administrative expenses on the Company’s consolidated statements of operations.</w:t>
      </w:r>
    </w:p>
    <w:p>
      <w:pPr>
        <w:spacing w:after="0" w:line="163" w:lineRule="exact"/>
        <w:rPr>
          <w:sz w:val="20"/>
          <w:szCs w:val="20"/>
          <w:color w:val="auto"/>
        </w:rPr>
      </w:pPr>
    </w:p>
    <w:p>
      <w:pPr>
        <w:jc w:val="both"/>
        <w:ind w:right="400" w:firstLine="318"/>
        <w:spacing w:after="0" w:line="259"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consolidated financial statements from the date of acquisition. The acquisition of Adaptive Shield did not have a material impact on the Company’s consolidated financial statements, and therefore historical and pro forma disclosures have not been presented.</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Flow Security</w:t>
      </w:r>
    </w:p>
    <w:p>
      <w:pPr>
        <w:spacing w:after="0" w:line="221" w:lineRule="exact"/>
        <w:rPr>
          <w:sz w:val="20"/>
          <w:szCs w:val="20"/>
          <w:color w:val="auto"/>
        </w:rPr>
      </w:pPr>
    </w:p>
    <w:p>
      <w:pPr>
        <w:ind w:right="500" w:firstLine="318"/>
        <w:spacing w:after="0" w:line="274" w:lineRule="auto"/>
        <w:rPr>
          <w:sz w:val="20"/>
          <w:szCs w:val="20"/>
          <w:color w:val="auto"/>
        </w:rPr>
      </w:pPr>
      <w:r>
        <w:rPr>
          <w:rFonts w:ascii="Times New Roman" w:cs="Times New Roman" w:eastAsia="Times New Roman" w:hAnsi="Times New Roman"/>
          <w:sz w:val="18"/>
          <w:szCs w:val="18"/>
          <w:color w:val="auto"/>
        </w:rPr>
        <w:t>On March 26, 2024, the Company acquired 100% of the equity interest of Flow Security Ltd. (“Flow Security”), a leading provider of data security solutions.</w:t>
      </w:r>
    </w:p>
    <w:p>
      <w:pPr>
        <w:spacing w:after="0" w:line="163" w:lineRule="exact"/>
        <w:rPr>
          <w:sz w:val="20"/>
          <w:szCs w:val="20"/>
          <w:color w:val="auto"/>
        </w:rPr>
      </w:pPr>
    </w:p>
    <w:p>
      <w:pPr>
        <w:ind w:right="160" w:firstLine="318"/>
        <w:spacing w:after="0" w:line="249"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$96.4 million in cash, net of $0.8 million of cash acquired, and $0.5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developed technology of $13.5 million with a useful life of 72 months, net tangible liabilities acquired of $0.6 million, and goodwill of $84.0 million, which was allocated to the Company’s one reporting unit and represents the excess of the purchase price over the fair value of net tangible and intangible assets acquired. The goodwill was primarily attributable to the assembled workforce of Flow Security, planned growth in new markets, and synergies expected to be achieved from the integration of Flow Security. Goodwill is not deductible for income tax purposes.</w:t>
      </w:r>
    </w:p>
    <w:p>
      <w:pPr>
        <w:spacing w:after="0" w:line="190" w:lineRule="exact"/>
        <w:rPr>
          <w:sz w:val="20"/>
          <w:szCs w:val="20"/>
          <w:color w:val="auto"/>
        </w:rPr>
      </w:pPr>
    </w:p>
    <w:p>
      <w:pPr>
        <w:ind w:right="200" w:firstLine="318"/>
        <w:spacing w:after="0" w:line="251" w:lineRule="auto"/>
        <w:rPr>
          <w:sz w:val="20"/>
          <w:szCs w:val="20"/>
          <w:color w:val="auto"/>
        </w:rPr>
      </w:pPr>
      <w:r>
        <w:rPr>
          <w:rFonts w:ascii="Times New Roman" w:cs="Times New Roman" w:eastAsia="Times New Roman" w:hAnsi="Times New Roman"/>
          <w:sz w:val="18"/>
          <w:szCs w:val="18"/>
          <w:color w:val="auto"/>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5"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Acquisition costs incurred during the fiscal year ended January 31, 2025 were $3.2 million and are primarily recorded in general and administrative expenses on the Company’s consolidated statements of operations.</w:t>
      </w:r>
    </w:p>
    <w:p>
      <w:pPr>
        <w:spacing w:after="0" w:line="163" w:lineRule="exact"/>
        <w:rPr>
          <w:sz w:val="20"/>
          <w:szCs w:val="20"/>
          <w:color w:val="auto"/>
        </w:rPr>
      </w:pPr>
    </w:p>
    <w:p>
      <w:pPr>
        <w:ind w:right="400" w:firstLine="318"/>
        <w:spacing w:after="0" w:line="259"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consolidated financial statements from the date of acquisition. The acquisition of Flow Security did not have a material impact on the Company’s consolidated financial statements, and therefore historical and pro forma disclosures have not been presented.</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Bionic</w:t>
      </w:r>
    </w:p>
    <w:p>
      <w:pPr>
        <w:spacing w:after="0" w:line="221"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On September 28, 2023, the Company acquired 100% of the equity interest of Bionic Stork, Ltd. (“Bionic”), a privately-held company that provides an Application Security Posture Management platform designed to proactively reduce and mitigate security, data privacy, and operational risks by analyzing application architecture and dependencies that run in production.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$239.0 million in cash, net of $25.7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to identified intangible assets, which include developed technology and customer relationships of $34.9 million, net tangible liabilities acquired of $2.7 million, and goodwill of $207.5 million, which was allocated to the Company’s one reporting unit and represents the excess of the purchase price over the fair value of net tangible and intangible assets acquired. The goodwill was primarily attributable to the assembled workforce of Bionic, planned growth in new markets, and synergies expected to be achieved from the integration of Bionic. Goodwill is not deductible for income tax purposes.</w:t>
      </w:r>
    </w:p>
    <w:p>
      <w:pPr>
        <w:spacing w:after="0" w:line="18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Per the terms of the share purchase agreement with Bionic, certain unvested stock options held by Bionic employees were canceled and exchanged for replacement stock options under the 2019 Plan. Additionally, certain shares of Bionic stock held by Bionic employees were exchanged for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expense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5"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8"/>
        </w:trPr>
        <w:tc>
          <w:tcPr>
            <w:tcW w:w="8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(in months)</w:t>
            </w: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Acquisition costs incurred during the fiscal year ended January 31, 2025 were immaterial.</w:t>
      </w:r>
    </w:p>
    <w:p>
      <w:pPr>
        <w:spacing w:after="0" w:line="217"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consolidated financial statements from the date of acquisition. The acquisition of Bionic did not have a material impact on the Company’s consolidated financial statements, and therefore historical and pro forma disclosures have not been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Net Income (Loss) Per Share Attributable to Common Stockholders</w:t>
      </w:r>
    </w:p>
    <w:p>
      <w:pPr>
        <w:spacing w:after="0" w:line="221" w:lineRule="exact"/>
        <w:rPr>
          <w:sz w:val="20"/>
          <w:szCs w:val="20"/>
          <w:color w:val="auto"/>
        </w:rPr>
      </w:pPr>
    </w:p>
    <w:p>
      <w:pPr>
        <w:ind w:right="100" w:firstLine="318"/>
        <w:spacing w:after="0" w:line="248"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PSUs, ESPP obligations, and founders’ holdbacks, and are computed using the treasury stock method. The effects of the outstanding stock options, RSUs, PSUs, Special PSUs, ESPP obligations, and founders holdbacks are excluded from the computation of the diluted net income per share in periods in which the effect would be anti-dilutive. Diluted net loss per share is the same as basic net loss per share for the fiscal year ended January 31, 2025 and January 31, 2023 because the effects of potentially dilutive items were antidilutive given the Company’s net loss position during fiscal year ended January 31, 2025 and January 31, 2023.</w:t>
      </w:r>
    </w:p>
    <w:p>
      <w:pPr>
        <w:spacing w:after="0" w:line="193"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 On December 11, 2024, all of the Company’s outstanding shares of Class B common stock were automatically converted into an equal number of shares of Class A common stock pursuant to the provisions of the Amended and Restated Certificate of Incorporation.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40" w:firstLine="318"/>
        <w:spacing w:after="0" w:line="26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CrowdStrike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180" w:type="dxa"/>
            <w:vAlign w:val="bottom"/>
            <w:tcBorders>
              <w:bottom w:val="single" w:sz="8" w:color="auto"/>
            </w:tcBorders>
          </w:tcPr>
          <w:p>
            <w:pPr>
              <w:spacing w:after="0"/>
              <w:rPr>
                <w:sz w:val="20"/>
                <w:szCs w:val="20"/>
                <w:color w:val="auto"/>
              </w:rPr>
            </w:pPr>
          </w:p>
        </w:tc>
      </w:tr>
      <w:tr>
        <w:trPr>
          <w:trHeight w:val="218"/>
        </w:trPr>
        <w:tc>
          <w:tcPr>
            <w:tcW w:w="6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6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(183,245)</w:t>
            </w: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72"/>
        </w:trPr>
        <w:tc>
          <w:tcPr>
            <w:tcW w:w="64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8"/>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CrowdStrike common stockholders, basic</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233,139</w:t>
            </w:r>
          </w:p>
        </w:tc>
      </w:tr>
      <w:tr>
        <w:trPr>
          <w:trHeight w:val="225"/>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2"/>
        </w:trPr>
        <w:tc>
          <w:tcPr>
            <w:tcW w:w="6440" w:type="dxa"/>
            <w:vAlign w:val="bottom"/>
          </w:tcPr>
          <w:p>
            <w:pPr>
              <w:ind w:left="120"/>
              <w:spacing w:after="0" w:line="152" w:lineRule="exact"/>
              <w:rPr>
                <w:sz w:val="20"/>
                <w:szCs w:val="20"/>
                <w:color w:val="auto"/>
              </w:rPr>
            </w:pPr>
            <w:r>
              <w:rPr>
                <w:rFonts w:ascii="Times New Roman" w:cs="Times New Roman" w:eastAsia="Times New Roman" w:hAnsi="Times New Roman"/>
                <w:sz w:val="17"/>
                <w:szCs w:val="17"/>
                <w:color w:val="auto"/>
              </w:rPr>
              <w:t>Weighted-average shares used in computing net income (loss) per share attributable to</w:t>
            </w: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238"/>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CrowdStrike common stockholders, dilutive</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233,139</w:t>
            </w: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CrowdStrike common stockholders, basic</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CrowdStrike common stockholders, diluted</w:t>
            </w:r>
          </w:p>
        </w:tc>
        <w:tc>
          <w:tcPr>
            <w:tcW w:w="36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(0.79)</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900" w:firstLine="318"/>
        <w:spacing w:after="0" w:line="267"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spacing w:after="0" w:line="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Year Ended January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subject to future vesting</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10,454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w:t>
            </w:r>
          </w:p>
        </w:tc>
      </w:tr>
      <w:tr>
        <w:trPr>
          <w:trHeight w:val="225"/>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of common stock issuable from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purchase rights under the Employee Stock Purchase Plan</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18"/>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Potential common shares excluded from diluted net income (loss) per share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12,413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w:t>
            </w:r>
          </w:p>
        </w:tc>
      </w:tr>
      <w:tr>
        <w:trPr>
          <w:trHeight w:val="20"/>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The above table excludes founder holdbacks related to business combinations where a variable number of shares will be issued upon vesting to settle a fixed monetary amount of $18.4 million, contingent upon continued employment with the Company. The share price will be determined based on the Company’s average stock price or the volume weighted average stock price five days prior to each vesting date. During the fiscal year ended January 31, 2025, 10,780 shares were issued to settle founder holdbacks at a weighted average price of $329.82 per share.</w:t>
      </w:r>
    </w:p>
    <w:p>
      <w:pPr>
        <w:spacing w:after="0" w:line="180"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As of January 31, 2025, the above table also excludes 575,747 outstanding shares of in progress PSUs and Special PSUs where pre-defined targets have not yet been achieved.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Segment Information</w:t>
      </w:r>
    </w:p>
    <w:p>
      <w:pPr>
        <w:spacing w:after="0" w:line="221"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CrowdStrike’s Chief Operating Decision Maker (“CODM”), the Chief Executive Officer, manages the Company’s business activities as a single operating and reportable segment at the consolidated level. Accordingly, the CODM uses consolidated net income (loss) to measure segment profit or loss, evaluate financial performance, and allocate resources. Consolidated net income (loss) is evaluated on a monthly basis by comparing actual results against budgeted or forecasted net income (loss), facilitating the analysis of the Company’s financial trends.</w:t>
      </w:r>
    </w:p>
    <w:p>
      <w:pPr>
        <w:spacing w:after="0" w:line="180" w:lineRule="exact"/>
        <w:rPr>
          <w:sz w:val="20"/>
          <w:szCs w:val="20"/>
          <w:color w:val="auto"/>
        </w:rPr>
      </w:pPr>
    </w:p>
    <w:p>
      <w:pPr>
        <w:jc w:val="both"/>
        <w:ind w:right="140" w:firstLine="318"/>
        <w:spacing w:after="0" w:line="282" w:lineRule="auto"/>
        <w:rPr>
          <w:sz w:val="20"/>
          <w:szCs w:val="20"/>
          <w:color w:val="auto"/>
        </w:rPr>
      </w:pPr>
      <w:r>
        <w:rPr>
          <w:rFonts w:ascii="Times New Roman" w:cs="Times New Roman" w:eastAsia="Times New Roman" w:hAnsi="Times New Roman"/>
          <w:sz w:val="17"/>
          <w:szCs w:val="17"/>
          <w:color w:val="auto"/>
        </w:rPr>
        <w:t>Significant expenses within net income (loss) include cost of revenue for subscription and professional services, sales and marketing expenses, research and development expenses, and general and administrative expenses. Other segment items within net income (loss) include interest expense, interest income, other income, net, and provision for income taxes, which are each separately disclosed and presented in the consolidated statements of operations.</w:t>
      </w:r>
    </w:p>
    <w:p>
      <w:pPr>
        <w:spacing w:after="0" w:line="159"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See Note 9 for additional information about the Company’s revenue by geographic region, and Note 11 for additional information about the Company’s property and equipment, net and operating lease right-of-use assets by geographic region.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January 31, 2025. Based on such evaluation, our Chief Executive Officer and Chief Financial Officer have concluded that, as of such date, our disclosure controls and procedures were effective at the reasonable assurance level.</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221"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2025 based on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w:t>
      </w:r>
    </w:p>
    <w:p>
      <w:pPr>
        <w:spacing w:after="0" w:line="180"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Based on the results of its evaluation, management concluded that our internal control over financial reporting was effective as of January 31, 2025. The effectiveness of our internal control over financial reporting as of January 31, 2025 has been audited by PricewaterhouseCoopers LLP, an independent registered public accounting firm, as stated in its report which is included in Part II, Item 8 of this Annual Report on Form 10-K.</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1"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fiscal quarter ended January 31, 2025 that has materially affected, or is reasonably likely to materially affect, our internal control over financial reporting.</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1"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of changes in conditions, or the degree of compliance with policies or procedures may deteriorate. Because of the inherent limitations in a cost-effective control system, misstatements due to error or fraud may occur and not be detected.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9"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January 31, 2025, certain of our directors and officers (as defined in Rule 16a-1(f) under the Exchange Act) adopted a “Rule 10b5-1 trading arrangement” (as defined in Regulation S-K Item 408) for the sale of shares of our Class A common stock, as set forth below, in amounts and prices determined in accordance with a formula set forth in each such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40" w:type="dxa"/>
            <w:vAlign w:val="bottom"/>
            <w:tcBorders>
              <w:top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06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520" w:type="dxa"/>
            <w:vAlign w:val="bottom"/>
            <w:tcBorders>
              <w:top w:val="single" w:sz="8" w:color="auto"/>
            </w:tcBorders>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20" w:type="dxa"/>
            <w:vAlign w:val="bottom"/>
            <w:tcBorders>
              <w:top w:val="single" w:sz="8" w:color="auto"/>
            </w:tcBorders>
            <w:gridSpan w:val="2"/>
          </w:tcPr>
          <w:p>
            <w:pPr>
              <w:jc w:val="center"/>
              <w:ind w:right="120"/>
              <w:spacing w:after="0" w:line="165" w:lineRule="exact"/>
              <w:rPr>
                <w:sz w:val="20"/>
                <w:szCs w:val="20"/>
                <w:color w:val="auto"/>
              </w:rPr>
            </w:pPr>
            <w:r>
              <w:rPr>
                <w:rFonts w:ascii="Times New Roman" w:cs="Times New Roman" w:eastAsia="Times New Roman" w:hAnsi="Times New Roman"/>
                <w:sz w:val="18"/>
                <w:szCs w:val="18"/>
                <w:b w:val="1"/>
                <w:bCs w:val="1"/>
                <w:color w:val="auto"/>
                <w:w w:val="98"/>
              </w:rPr>
              <w:t>Rule 10b5-</w:t>
            </w:r>
          </w:p>
        </w:tc>
        <w:tc>
          <w:tcPr>
            <w:tcW w:w="1100" w:type="dxa"/>
            <w:vAlign w:val="bottom"/>
            <w:tcBorders>
              <w:top w:val="single" w:sz="8" w:color="auto"/>
            </w:tcBorders>
            <w:gridSpan w:val="2"/>
          </w:tcPr>
          <w:p>
            <w:pPr>
              <w:jc w:val="center"/>
              <w:ind w:right="100"/>
              <w:spacing w:after="0" w:line="165" w:lineRule="exact"/>
              <w:rPr>
                <w:sz w:val="20"/>
                <w:szCs w:val="20"/>
                <w:color w:val="auto"/>
              </w:rPr>
            </w:pPr>
            <w:r>
              <w:rPr>
                <w:rFonts w:ascii="Times New Roman" w:cs="Times New Roman" w:eastAsia="Times New Roman" w:hAnsi="Times New Roman"/>
                <w:sz w:val="18"/>
                <w:szCs w:val="18"/>
                <w:b w:val="1"/>
                <w:bCs w:val="1"/>
                <w:color w:val="auto"/>
                <w:w w:val="97"/>
              </w:rPr>
              <w:t>Non-Rule</w:t>
            </w:r>
          </w:p>
        </w:tc>
        <w:tc>
          <w:tcPr>
            <w:tcW w:w="1600" w:type="dxa"/>
            <w:vAlign w:val="bottom"/>
            <w:tcBorders>
              <w:top w:val="single" w:sz="8" w:color="auto"/>
            </w:tcBorders>
            <w:gridSpan w:val="2"/>
          </w:tcPr>
          <w:p>
            <w:pPr>
              <w:jc w:val="center"/>
              <w:ind w:right="100"/>
              <w:spacing w:after="0" w:line="165"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960" w:type="dxa"/>
            <w:vAlign w:val="bottom"/>
            <w:tcBorders>
              <w:top w:val="single" w:sz="8" w:color="auto"/>
            </w:tcBorders>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22"/>
                <w:szCs w:val="22"/>
                <w:b w:val="1"/>
                <w:bCs w:val="1"/>
                <w:color w:val="auto"/>
                <w:vertAlign w:val="superscript"/>
              </w:rPr>
              <w:t>(4)</w:t>
            </w:r>
          </w:p>
        </w:tc>
        <w:tc>
          <w:tcPr>
            <w:tcW w:w="0" w:type="dxa"/>
            <w:vAlign w:val="bottom"/>
          </w:tcPr>
          <w:p>
            <w:pPr>
              <w:spacing w:after="0"/>
              <w:rPr>
                <w:sz w:val="1"/>
                <w:szCs w:val="1"/>
                <w:color w:val="auto"/>
              </w:rPr>
            </w:pPr>
          </w:p>
        </w:tc>
      </w:tr>
      <w:tr>
        <w:trPr>
          <w:trHeight w:val="239"/>
        </w:trPr>
        <w:tc>
          <w:tcPr>
            <w:tcW w:w="194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92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1</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line="239" w:lineRule="exact"/>
              <w:rPr>
                <w:sz w:val="20"/>
                <w:szCs w:val="20"/>
                <w:color w:val="auto"/>
              </w:rPr>
            </w:pPr>
            <w:r>
              <w:rPr>
                <w:rFonts w:ascii="Times New Roman" w:cs="Times New Roman" w:eastAsia="Times New Roman" w:hAnsi="Times New Roman"/>
                <w:sz w:val="18"/>
                <w:szCs w:val="18"/>
                <w:b w:val="1"/>
                <w:bCs w:val="1"/>
                <w:color w:val="auto"/>
                <w:w w:val="92"/>
              </w:rPr>
              <w:t>10b5-1</w:t>
            </w:r>
            <w:r>
              <w:rPr>
                <w:rFonts w:ascii="Times New Roman" w:cs="Times New Roman" w:eastAsia="Times New Roman" w:hAnsi="Times New Roman"/>
                <w:sz w:val="22"/>
                <w:szCs w:val="22"/>
                <w:b w:val="1"/>
                <w:bCs w:val="1"/>
                <w:color w:val="auto"/>
                <w:w w:val="92"/>
                <w:vertAlign w:val="superscript"/>
              </w:rPr>
              <w:t>(2)</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 be Sold</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184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Gerhard Watzinger,</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Earlier of the date when all shares under</w:t>
            </w:r>
          </w:p>
        </w:tc>
        <w:tc>
          <w:tcPr>
            <w:tcW w:w="0" w:type="dxa"/>
            <w:vAlign w:val="bottom"/>
          </w:tcPr>
          <w:p>
            <w:pPr>
              <w:spacing w:after="0"/>
              <w:rPr>
                <w:sz w:val="1"/>
                <w:szCs w:val="1"/>
                <w:color w:val="auto"/>
              </w:rPr>
            </w:pPr>
          </w:p>
        </w:tc>
      </w:tr>
      <w:tr>
        <w:trPr>
          <w:trHeight w:val="238"/>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6, 2024</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60,500</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plan are sold and April 1, 2026.</w:t>
            </w:r>
          </w:p>
        </w:tc>
        <w:tc>
          <w:tcPr>
            <w:tcW w:w="0" w:type="dxa"/>
            <w:vAlign w:val="bottom"/>
          </w:tcPr>
          <w:p>
            <w:pPr>
              <w:spacing w:after="0"/>
              <w:rPr>
                <w:sz w:val="1"/>
                <w:szCs w:val="1"/>
                <w:color w:val="auto"/>
              </w:rPr>
            </w:pPr>
          </w:p>
        </w:tc>
      </w:tr>
      <w:tr>
        <w:trPr>
          <w:trHeight w:val="172"/>
        </w:trPr>
        <w:tc>
          <w:tcPr>
            <w:tcW w:w="19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Shawn Henry, Chief</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December 18,</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Up to 54,333</w:t>
            </w:r>
            <w:r>
              <w:rPr>
                <w:rFonts w:ascii="Times New Roman" w:cs="Times New Roman" w:eastAsia="Times New Roman" w:hAnsi="Times New Roman"/>
                <w:sz w:val="22"/>
                <w:szCs w:val="22"/>
                <w:color w:val="auto"/>
                <w:vertAlign w:val="superscript"/>
              </w:rPr>
              <w:t>(3)</w:t>
            </w:r>
          </w:p>
        </w:tc>
        <w:tc>
          <w:tcPr>
            <w:tcW w:w="29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Earlier of when all shares under the plan</w:t>
            </w:r>
          </w:p>
        </w:tc>
        <w:tc>
          <w:tcPr>
            <w:tcW w:w="0" w:type="dxa"/>
            <w:vAlign w:val="bottom"/>
          </w:tcPr>
          <w:p>
            <w:pPr>
              <w:spacing w:after="0"/>
              <w:rPr>
                <w:sz w:val="1"/>
                <w:szCs w:val="1"/>
                <w:color w:val="auto"/>
              </w:rPr>
            </w:pPr>
          </w:p>
        </w:tc>
      </w:tr>
      <w:tr>
        <w:trPr>
          <w:trHeight w:val="23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Security Officer</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 sold and March 24, 2026.</w:t>
            </w:r>
          </w:p>
        </w:tc>
        <w:tc>
          <w:tcPr>
            <w:tcW w:w="0" w:type="dxa"/>
            <w:vAlign w:val="bottom"/>
          </w:tcPr>
          <w:p>
            <w:pPr>
              <w:spacing w:after="0"/>
              <w:rPr>
                <w:sz w:val="1"/>
                <w:szCs w:val="1"/>
                <w:color w:val="auto"/>
              </w:rPr>
            </w:pPr>
          </w:p>
        </w:tc>
      </w:tr>
      <w:tr>
        <w:trPr>
          <w:trHeight w:val="172"/>
        </w:trPr>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Earlier of when all shares under the plan</w:t>
            </w:r>
          </w:p>
        </w:tc>
        <w:tc>
          <w:tcPr>
            <w:tcW w:w="0" w:type="dxa"/>
            <w:vAlign w:val="bottom"/>
          </w:tcPr>
          <w:p>
            <w:pPr>
              <w:spacing w:after="0"/>
              <w:rPr>
                <w:sz w:val="1"/>
                <w:szCs w:val="1"/>
                <w:color w:val="auto"/>
              </w:rPr>
            </w:pPr>
          </w:p>
        </w:tc>
      </w:tr>
      <w:tr>
        <w:trPr>
          <w:trHeight w:val="238"/>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Johanna Flower, Director</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16, 2025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10,394</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 sold and April 17, 2026.</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260" w:hanging="254"/>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satisfy the affirmative defense conditions of Rule 10b5-1(c).</w:t>
      </w:r>
    </w:p>
    <w:p>
      <w:pPr>
        <w:spacing w:after="0" w:line="217"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intended to satisfy the affirmative defense conditions of Rule 10b5-1(c).</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permit Mr. Henry to sell (i) 21,330 shares subject to RSUs and (ii) 33,003 shares subject to PSUs. The actual number of shares subject to PSUs that may be sold is subject to the satisfaction of the applicable performance conditions and may be equal to, greater than or less than 33,003 shares.</w:t>
      </w:r>
    </w:p>
    <w:p>
      <w:pPr>
        <w:spacing w:after="0" w:line="163"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 subject to further early termination for certain specified events as set forth therein.</w:t>
      </w:r>
    </w:p>
    <w:p>
      <w:pPr>
        <w:spacing w:after="0" w:line="217"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and/or terminated a “Rule 10b5-1 trading arrangement” or a “non-Rule 10b5-1 trading arrangement,” as defined in Regulation S-K Item 408, during the last fiscal quarter.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all of our employees, executive officers and directors. The full text of the Code of Conduct is available on our website at ir.crowdstrike.com.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Select Market.</w:t>
      </w:r>
    </w:p>
    <w:p>
      <w:pPr>
        <w:spacing w:after="0" w:line="185"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Certain information required by this Item with respect to our executive officers is set forth under Item 1 of Part I of this Annual Report on Form 10-K under the section entitled “Information about our Executive Officers.”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information otherwise required by this Item will be included in our definitive proxy statement for our 2025 annual meeting of stockholders (the “2025 Proxy Statement”), which will be filed with the SEC within 120 days after the end of our fiscal year ended January 31, 2025,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15" w:lineRule="exact"/>
        <w:rPr>
          <w:sz w:val="20"/>
          <w:szCs w:val="20"/>
          <w:color w:val="auto"/>
        </w:rPr>
      </w:pPr>
    </w:p>
    <w:p>
      <w:pPr>
        <w:ind w:right="700"/>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Index to consolidated financial statements in Part II, Item 8 of this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w:t>
      </w:r>
    </w:p>
    <w:p>
      <w:pPr>
        <w:spacing w:after="0" w:line="219"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All financial statement schedules have been omitted as the information is not required under the related instructions or is not applicable or because the information required is already included in the consolidated financial statements or the notes to those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9"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ectPr>
          <w:pgSz w:w="11900" w:h="16838" w:orient="portrait"/>
          <w:cols w:equalWidth="0" w:num="1">
            <w:col w:w="11080"/>
          </w:cols>
          <w:pgMar w:left="320" w:top="121" w:right="499" w:bottom="1440" w:gutter="0" w:footer="0" w:header="0"/>
        </w:sectPr>
      </w:pP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Exhibit</w:t>
      </w:r>
    </w:p>
    <w:p>
      <w:pPr>
        <w:ind w:left="240"/>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13970</wp:posOffset>
            </wp:positionV>
            <wp:extent cx="622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8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4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0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760" w:type="dxa"/>
            <w:vAlign w:val="bottom"/>
          </w:tcPr>
          <w:p>
            <w:pPr>
              <w:jc w:val="center"/>
              <w:ind w:left="61"/>
              <w:spacing w:after="0" w:line="144"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760" w:type="dxa"/>
            <w:vAlign w:val="bottom"/>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1270</wp:posOffset>
            </wp:positionV>
            <wp:extent cx="64109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10960" cy="825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2140" w:space="720"/>
            <w:col w:w="8220"/>
          </w:cols>
          <w:pgMar w:left="320" w:top="121" w:right="499" w:bottom="1440" w:gutter="0" w:footer="0" w:header="0"/>
          <w:type w:val="continuous"/>
        </w:sectPr>
      </w:pPr>
    </w:p>
    <w:p>
      <w:pPr>
        <w:spacing w:after="0" w:line="79" w:lineRule="exact"/>
        <w:rPr>
          <w:sz w:val="20"/>
          <w:szCs w:val="20"/>
          <w:color w:val="auto"/>
        </w:rPr>
      </w:pPr>
    </w:p>
    <w:p>
      <w:pPr>
        <w:ind w:left="420"/>
        <w:spacing w:after="0"/>
        <w:rPr>
          <w:rFonts w:ascii="Times New Roman" w:cs="Times New Roman" w:eastAsia="Times New Roman" w:hAnsi="Times New Roman"/>
          <w:sz w:val="15"/>
          <w:szCs w:val="15"/>
          <w:u w:val="single" w:color="auto"/>
          <w:color w:val="0000FF"/>
        </w:rPr>
      </w:pPr>
      <w:hyperlink r:id="rId161">
        <w:r>
          <w:rPr>
            <w:rFonts w:ascii="Times New Roman" w:cs="Times New Roman" w:eastAsia="Times New Roman" w:hAnsi="Times New Roman"/>
            <w:sz w:val="15"/>
            <w:szCs w:val="15"/>
            <w:u w:val="single" w:color="auto"/>
            <w:color w:val="0000FF"/>
          </w:rPr>
          <w:t>3.1</w:t>
        </w:r>
      </w:hyperlink>
    </w:p>
    <w:p>
      <w:pPr>
        <w:spacing w:after="0" w:line="132" w:lineRule="exact"/>
        <w:rPr>
          <w:sz w:val="20"/>
          <w:szCs w:val="20"/>
          <w:color w:val="auto"/>
        </w:rPr>
      </w:pPr>
    </w:p>
    <w:p>
      <w:pPr>
        <w:ind w:left="420"/>
        <w:spacing w:after="0"/>
        <w:rPr>
          <w:rFonts w:ascii="Times New Roman" w:cs="Times New Roman" w:eastAsia="Times New Roman" w:hAnsi="Times New Roman"/>
          <w:sz w:val="15"/>
          <w:szCs w:val="15"/>
          <w:u w:val="single" w:color="auto"/>
          <w:color w:val="0000FF"/>
        </w:rPr>
      </w:pPr>
      <w:hyperlink r:id="rId162">
        <w:r>
          <w:rPr>
            <w:rFonts w:ascii="Times New Roman" w:cs="Times New Roman" w:eastAsia="Times New Roman" w:hAnsi="Times New Roman"/>
            <w:sz w:val="15"/>
            <w:szCs w:val="15"/>
            <w:u w:val="single" w:color="auto"/>
            <w:color w:val="0000FF"/>
          </w:rPr>
          <w:t>3.2</w:t>
        </w:r>
      </w:hyperlink>
    </w:p>
    <w:p>
      <w:pPr>
        <w:spacing w:after="0" w:line="66" w:lineRule="exact"/>
        <w:rPr>
          <w:sz w:val="20"/>
          <w:szCs w:val="20"/>
          <w:color w:val="auto"/>
        </w:rPr>
      </w:pPr>
    </w:p>
    <w:p>
      <w:pPr>
        <w:ind w:left="420"/>
        <w:spacing w:after="0"/>
        <w:rPr>
          <w:rFonts w:ascii="Times New Roman" w:cs="Times New Roman" w:eastAsia="Times New Roman" w:hAnsi="Times New Roman"/>
          <w:sz w:val="15"/>
          <w:szCs w:val="15"/>
          <w:u w:val="single" w:color="auto"/>
          <w:color w:val="0000FF"/>
        </w:rPr>
      </w:pPr>
      <w:hyperlink r:id="rId163">
        <w:r>
          <w:rPr>
            <w:rFonts w:ascii="Times New Roman" w:cs="Times New Roman" w:eastAsia="Times New Roman" w:hAnsi="Times New Roman"/>
            <w:sz w:val="15"/>
            <w:szCs w:val="15"/>
            <w:u w:val="single" w:color="auto"/>
            <w:color w:val="0000FF"/>
          </w:rPr>
          <w:t>3.3</w:t>
        </w:r>
      </w:hyperlink>
    </w:p>
    <w:p>
      <w:pPr>
        <w:spacing w:after="0" w:line="212" w:lineRule="exact"/>
        <w:rPr>
          <w:sz w:val="20"/>
          <w:szCs w:val="20"/>
          <w:color w:val="auto"/>
        </w:rPr>
      </w:pPr>
    </w:p>
    <w:p>
      <w:pPr>
        <w:ind w:left="420"/>
        <w:spacing w:after="0"/>
        <w:rPr>
          <w:rFonts w:ascii="Times New Roman" w:cs="Times New Roman" w:eastAsia="Times New Roman" w:hAnsi="Times New Roman"/>
          <w:sz w:val="15"/>
          <w:szCs w:val="15"/>
          <w:u w:val="single" w:color="auto"/>
          <w:color w:val="0000FF"/>
        </w:rPr>
      </w:pPr>
      <w:hyperlink r:id="rId164">
        <w:r>
          <w:rPr>
            <w:rFonts w:ascii="Times New Roman" w:cs="Times New Roman" w:eastAsia="Times New Roman" w:hAnsi="Times New Roman"/>
            <w:sz w:val="15"/>
            <w:szCs w:val="15"/>
            <w:u w:val="single" w:color="auto"/>
            <w:color w:val="0000FF"/>
          </w:rPr>
          <w:t>4.1</w:t>
        </w:r>
      </w:hyperlink>
    </w:p>
    <w:p>
      <w:pPr>
        <w:spacing w:after="0" w:line="358" w:lineRule="exact"/>
        <w:rPr>
          <w:sz w:val="20"/>
          <w:szCs w:val="20"/>
          <w:color w:val="auto"/>
        </w:rPr>
      </w:pPr>
    </w:p>
    <w:p>
      <w:pPr>
        <w:ind w:left="420"/>
        <w:spacing w:after="0"/>
        <w:rPr>
          <w:rFonts w:ascii="Times New Roman" w:cs="Times New Roman" w:eastAsia="Times New Roman" w:hAnsi="Times New Roman"/>
          <w:sz w:val="15"/>
          <w:szCs w:val="15"/>
          <w:u w:val="single" w:color="auto"/>
          <w:color w:val="0000FF"/>
        </w:rPr>
      </w:pPr>
      <w:hyperlink r:id="rId165">
        <w:r>
          <w:rPr>
            <w:rFonts w:ascii="Times New Roman" w:cs="Times New Roman" w:eastAsia="Times New Roman" w:hAnsi="Times New Roman"/>
            <w:sz w:val="15"/>
            <w:szCs w:val="15"/>
            <w:u w:val="single" w:color="auto"/>
            <w:color w:val="0000FF"/>
          </w:rPr>
          <w:t>4.2</w:t>
        </w:r>
      </w:hyperlink>
    </w:p>
    <w:p>
      <w:pPr>
        <w:spacing w:after="0" w:line="20" w:lineRule="exact"/>
        <w:rPr>
          <w:sz w:val="20"/>
          <w:szCs w:val="20"/>
          <w:color w:val="auto"/>
        </w:rPr>
      </w:pPr>
      <w:r>
        <w:rPr>
          <w:sz w:val="20"/>
          <w:szCs w:val="20"/>
          <w:color w:val="auto"/>
        </w:rPr>
        <w:br w:type="column"/>
      </w:r>
    </w:p>
    <w:p>
      <w:pPr>
        <w:ind w:right="180"/>
        <w:spacing w:after="0" w:line="239" w:lineRule="auto"/>
        <w:rPr>
          <w:rFonts w:ascii="Times New Roman" w:cs="Times New Roman" w:eastAsia="Times New Roman" w:hAnsi="Times New Roman"/>
          <w:sz w:val="16"/>
          <w:szCs w:val="16"/>
          <w:u w:val="single" w:color="auto"/>
          <w:color w:val="0000FF"/>
        </w:rPr>
      </w:pPr>
      <w:hyperlink r:id="rId161">
        <w:r>
          <w:rPr>
            <w:rFonts w:ascii="Times New Roman" w:cs="Times New Roman" w:eastAsia="Times New Roman" w:hAnsi="Times New Roman"/>
            <w:sz w:val="16"/>
            <w:szCs w:val="16"/>
            <w:u w:val="single" w:color="auto"/>
            <w:color w:val="0000FF"/>
          </w:rPr>
          <w:t>Amended and Restated Certificate of Incorporation of the Registrant, as</w:t>
        </w:r>
      </w:hyperlink>
      <w:r>
        <w:rPr>
          <w:rFonts w:ascii="Times New Roman" w:cs="Times New Roman" w:eastAsia="Times New Roman" w:hAnsi="Times New Roman"/>
          <w:sz w:val="16"/>
          <w:szCs w:val="16"/>
          <w:u w:val="single" w:color="auto"/>
          <w:color w:val="0000FF"/>
        </w:rPr>
        <w:t xml:space="preserve"> </w:t>
      </w:r>
      <w:hyperlink r:id="rId161">
        <w:r>
          <w:rPr>
            <w:rFonts w:ascii="Times New Roman" w:cs="Times New Roman" w:eastAsia="Times New Roman" w:hAnsi="Times New Roman"/>
            <w:sz w:val="16"/>
            <w:szCs w:val="16"/>
            <w:u w:val="single" w:color="auto"/>
            <w:color w:val="0000FF"/>
          </w:rPr>
          <w:t>currently in effect.</w:t>
        </w:r>
      </w:hyperlink>
    </w:p>
    <w:p>
      <w:pPr>
        <w:spacing w:after="0" w:line="5"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62">
        <w:r>
          <w:rPr>
            <w:rFonts w:ascii="Times New Roman" w:cs="Times New Roman" w:eastAsia="Times New Roman" w:hAnsi="Times New Roman"/>
            <w:sz w:val="16"/>
            <w:szCs w:val="16"/>
            <w:u w:val="single" w:color="auto"/>
            <w:color w:val="0000FF"/>
          </w:rPr>
          <w:t>Amended and Restated Bylaws of the Registrant, as currently in effect.</w:t>
        </w:r>
      </w:hyperlink>
    </w:p>
    <w:p>
      <w:pPr>
        <w:spacing w:after="0" w:line="55"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63">
        <w:r>
          <w:rPr>
            <w:rFonts w:ascii="Times New Roman" w:cs="Times New Roman" w:eastAsia="Times New Roman" w:hAnsi="Times New Roman"/>
            <w:sz w:val="16"/>
            <w:szCs w:val="16"/>
            <w:u w:val="single" w:color="auto"/>
            <w:color w:val="0000FF"/>
          </w:rPr>
          <w:t>Certificate of Retirement of Class B common stock.</w:t>
        </w:r>
      </w:hyperlink>
    </w:p>
    <w:p>
      <w:pPr>
        <w:spacing w:after="0" w:line="55" w:lineRule="exact"/>
        <w:rPr>
          <w:sz w:val="20"/>
          <w:szCs w:val="20"/>
          <w:color w:val="auto"/>
        </w:rPr>
      </w:pPr>
    </w:p>
    <w:p>
      <w:pPr>
        <w:spacing w:after="0" w:line="228" w:lineRule="auto"/>
        <w:rPr>
          <w:rFonts w:ascii="Times New Roman" w:cs="Times New Roman" w:eastAsia="Times New Roman" w:hAnsi="Times New Roman"/>
          <w:sz w:val="16"/>
          <w:szCs w:val="16"/>
          <w:u w:val="single" w:color="auto"/>
          <w:color w:val="0000FF"/>
        </w:rPr>
      </w:pPr>
      <w:hyperlink r:id="rId164">
        <w:r>
          <w:rPr>
            <w:rFonts w:ascii="Times New Roman" w:cs="Times New Roman" w:eastAsia="Times New Roman" w:hAnsi="Times New Roman"/>
            <w:sz w:val="16"/>
            <w:szCs w:val="16"/>
            <w:u w:val="single" w:color="auto"/>
            <w:color w:val="0000FF"/>
          </w:rPr>
          <w:t>Amended and Restated Stockholders Agreement among the Registrant and</w:t>
        </w:r>
      </w:hyperlink>
      <w:r>
        <w:rPr>
          <w:rFonts w:ascii="Times New Roman" w:cs="Times New Roman" w:eastAsia="Times New Roman" w:hAnsi="Times New Roman"/>
          <w:sz w:val="16"/>
          <w:szCs w:val="16"/>
          <w:u w:val="single" w:color="auto"/>
          <w:color w:val="0000FF"/>
        </w:rPr>
        <w:t xml:space="preserve"> </w:t>
      </w:r>
      <w:hyperlink r:id="rId164">
        <w:r>
          <w:rPr>
            <w:rFonts w:ascii="Times New Roman" w:cs="Times New Roman" w:eastAsia="Times New Roman" w:hAnsi="Times New Roman"/>
            <w:sz w:val="16"/>
            <w:szCs w:val="16"/>
            <w:u w:val="single" w:color="auto"/>
            <w:color w:val="0000FF"/>
          </w:rPr>
          <w:t>certain holders of its capital stock, dated as of June 21, 2018, as amended</w:t>
        </w:r>
      </w:hyperlink>
      <w:r>
        <w:rPr>
          <w:rFonts w:ascii="Times New Roman" w:cs="Times New Roman" w:eastAsia="Times New Roman" w:hAnsi="Times New Roman"/>
          <w:sz w:val="16"/>
          <w:szCs w:val="16"/>
          <w:u w:val="single" w:color="auto"/>
          <w:color w:val="0000FF"/>
        </w:rPr>
        <w:t xml:space="preserve"> </w:t>
      </w:r>
      <w:hyperlink r:id="rId164">
        <w:r>
          <w:rPr>
            <w:rFonts w:ascii="Times New Roman" w:cs="Times New Roman" w:eastAsia="Times New Roman" w:hAnsi="Times New Roman"/>
            <w:sz w:val="16"/>
            <w:szCs w:val="16"/>
            <w:u w:val="single" w:color="auto"/>
            <w:color w:val="0000FF"/>
          </w:rPr>
          <w:t>on September 25, 2018 and April 17, 2019.</w:t>
        </w:r>
      </w:hyperlink>
    </w:p>
    <w:p>
      <w:pPr>
        <w:spacing w:after="0" w:line="6" w:lineRule="exact"/>
        <w:rPr>
          <w:rFonts w:ascii="Times New Roman" w:cs="Times New Roman" w:eastAsia="Times New Roman" w:hAnsi="Times New Roman"/>
          <w:sz w:val="16"/>
          <w:szCs w:val="16"/>
          <w:u w:val="single" w:color="auto"/>
          <w:color w:val="0000FF"/>
        </w:rPr>
      </w:pPr>
    </w:p>
    <w:p>
      <w:pPr>
        <w:ind w:right="320"/>
        <w:spacing w:after="0" w:line="228" w:lineRule="auto"/>
        <w:rPr>
          <w:rFonts w:ascii="Times New Roman" w:cs="Times New Roman" w:eastAsia="Times New Roman" w:hAnsi="Times New Roman"/>
          <w:sz w:val="16"/>
          <w:szCs w:val="16"/>
          <w:u w:val="single" w:color="auto"/>
          <w:color w:val="0000FF"/>
        </w:rPr>
      </w:pPr>
      <w:hyperlink r:id="rId165">
        <w:r>
          <w:rPr>
            <w:rFonts w:ascii="Times New Roman" w:cs="Times New Roman" w:eastAsia="Times New Roman" w:hAnsi="Times New Roman"/>
            <w:sz w:val="16"/>
            <w:szCs w:val="16"/>
            <w:u w:val="single" w:color="auto"/>
            <w:color w:val="0000FF"/>
          </w:rPr>
          <w:t>Amended and Restated Registration Rights Agreement among the</w:t>
        </w:r>
      </w:hyperlink>
      <w:r>
        <w:rPr>
          <w:rFonts w:ascii="Times New Roman" w:cs="Times New Roman" w:eastAsia="Times New Roman" w:hAnsi="Times New Roman"/>
          <w:sz w:val="16"/>
          <w:szCs w:val="16"/>
          <w:u w:val="single" w:color="auto"/>
          <w:color w:val="0000FF"/>
        </w:rPr>
        <w:t xml:space="preserve"> </w:t>
      </w:r>
      <w:hyperlink r:id="rId165">
        <w:r>
          <w:rPr>
            <w:rFonts w:ascii="Times New Roman" w:cs="Times New Roman" w:eastAsia="Times New Roman" w:hAnsi="Times New Roman"/>
            <w:sz w:val="16"/>
            <w:szCs w:val="16"/>
            <w:u w:val="single" w:color="auto"/>
            <w:color w:val="0000FF"/>
          </w:rPr>
          <w:t>Registrant and certain holders of its capital stock, dated as of June 21,</w:t>
        </w:r>
      </w:hyperlink>
      <w:r>
        <w:rPr>
          <w:rFonts w:ascii="Times New Roman" w:cs="Times New Roman" w:eastAsia="Times New Roman" w:hAnsi="Times New Roman"/>
          <w:sz w:val="16"/>
          <w:szCs w:val="16"/>
          <w:u w:val="single" w:color="auto"/>
          <w:color w:val="0000FF"/>
        </w:rPr>
        <w:t xml:space="preserve"> </w:t>
      </w:r>
      <w:hyperlink r:id="rId165">
        <w:r>
          <w:rPr>
            <w:rFonts w:ascii="Times New Roman" w:cs="Times New Roman" w:eastAsia="Times New Roman" w:hAnsi="Times New Roman"/>
            <w:sz w:val="16"/>
            <w:szCs w:val="16"/>
            <w:u w:val="single" w:color="auto"/>
            <w:color w:val="0000FF"/>
          </w:rPr>
          <w:t>2018.</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46" w:lineRule="exact"/>
        <w:rPr>
          <w:rFonts w:ascii="Times New Roman" w:cs="Times New Roman" w:eastAsia="Times New Roman" w:hAnsi="Times New Roman"/>
          <w:sz w:val="16"/>
          <w:szCs w:val="16"/>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08"/>
        </w:trPr>
        <w:tc>
          <w:tcPr>
            <w:tcW w:w="5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7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3.1</w:t>
            </w:r>
          </w:p>
        </w:tc>
        <w:tc>
          <w:tcPr>
            <w:tcW w:w="152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8"/>
              </w:rPr>
              <w:t>June 14, 2019</w:t>
            </w:r>
          </w:p>
        </w:tc>
      </w:tr>
      <w:tr>
        <w:trPr>
          <w:trHeight w:val="318"/>
        </w:trPr>
        <w:tc>
          <w:tcPr>
            <w:tcW w:w="5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7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3.2</w:t>
            </w:r>
          </w:p>
        </w:tc>
        <w:tc>
          <w:tcPr>
            <w:tcW w:w="152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rPr>
              <w:t>November 27, 2024</w:t>
            </w:r>
          </w:p>
        </w:tc>
      </w:tr>
      <w:tr>
        <w:trPr>
          <w:trHeight w:val="238"/>
        </w:trPr>
        <w:tc>
          <w:tcPr>
            <w:tcW w:w="5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7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3.1</w:t>
            </w:r>
          </w:p>
        </w:tc>
        <w:tc>
          <w:tcPr>
            <w:tcW w:w="152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8"/>
              </w:rPr>
              <w:t>December 13, 2024</w:t>
            </w:r>
          </w:p>
        </w:tc>
      </w:tr>
      <w:tr>
        <w:trPr>
          <w:trHeight w:val="384"/>
        </w:trPr>
        <w:tc>
          <w:tcPr>
            <w:tcW w:w="5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333-231461</w:t>
            </w:r>
          </w:p>
        </w:tc>
        <w:tc>
          <w:tcPr>
            <w:tcW w:w="7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4.1</w:t>
            </w:r>
          </w:p>
        </w:tc>
        <w:tc>
          <w:tcPr>
            <w:tcW w:w="152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8"/>
              </w:rPr>
              <w:t>May 14, 2019</w:t>
            </w:r>
          </w:p>
        </w:tc>
      </w:tr>
      <w:tr>
        <w:trPr>
          <w:trHeight w:val="530"/>
        </w:trPr>
        <w:tc>
          <w:tcPr>
            <w:tcW w:w="54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333-231461</w:t>
            </w:r>
          </w:p>
        </w:tc>
        <w:tc>
          <w:tcPr>
            <w:tcW w:w="7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4.2</w:t>
            </w:r>
          </w:p>
        </w:tc>
        <w:tc>
          <w:tcPr>
            <w:tcW w:w="152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8"/>
              </w:rPr>
              <w:t>May 14, 2019</w:t>
            </w:r>
          </w:p>
        </w:tc>
      </w:tr>
    </w:tbl>
    <w:p>
      <w:pPr>
        <w:spacing w:after="0" w:line="158"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620" w:space="520"/>
            <w:col w:w="4760" w:space="240"/>
            <w:col w:w="4940"/>
          </w:cols>
          <w:pgMar w:left="320" w:top="121" w:right="499" w:bottom="1440" w:gutter="0" w:footer="0" w:header="0"/>
          <w:type w:val="continuous"/>
        </w:sectPr>
      </w:pPr>
    </w:p>
    <w:p>
      <w:pPr>
        <w:spacing w:after="0" w:line="5" w:lineRule="exact"/>
        <w:rPr>
          <w:rFonts w:ascii="Times New Roman" w:cs="Times New Roman" w:eastAsia="Times New Roman" w:hAnsi="Times New Roman"/>
          <w:sz w:val="16"/>
          <w:szCs w:val="16"/>
          <w:u w:val="single" w:color="auto"/>
          <w:color w:val="0000FF"/>
        </w:rPr>
      </w:pPr>
    </w:p>
    <w:p>
      <w:pPr>
        <w:ind w:left="420"/>
        <w:spacing w:after="0"/>
        <w:rPr>
          <w:rFonts w:ascii="Times New Roman" w:cs="Times New Roman" w:eastAsia="Times New Roman" w:hAnsi="Times New Roman"/>
          <w:sz w:val="15"/>
          <w:szCs w:val="15"/>
          <w:u w:val="single" w:color="auto"/>
          <w:color w:val="0000FF"/>
        </w:rPr>
      </w:pPr>
      <w:hyperlink r:id="rId166">
        <w:r>
          <w:rPr>
            <w:rFonts w:ascii="Times New Roman" w:cs="Times New Roman" w:eastAsia="Times New Roman" w:hAnsi="Times New Roman"/>
            <w:sz w:val="15"/>
            <w:szCs w:val="15"/>
            <w:u w:val="single" w:color="auto"/>
            <w:color w:val="0000FF"/>
          </w:rPr>
          <w:t>4.3</w:t>
        </w:r>
      </w:hyperlink>
    </w:p>
    <w:p>
      <w:pPr>
        <w:spacing w:after="0" w:line="40" w:lineRule="exact"/>
        <w:rPr>
          <w:rFonts w:ascii="Times New Roman" w:cs="Times New Roman" w:eastAsia="Times New Roman" w:hAnsi="Times New Roman"/>
          <w:sz w:val="16"/>
          <w:szCs w:val="16"/>
          <w:u w:val="single" w:color="auto"/>
          <w:color w:val="0000FF"/>
        </w:rPr>
      </w:pPr>
    </w:p>
    <w:p>
      <w:pPr>
        <w:ind w:left="420"/>
        <w:spacing w:after="0"/>
        <w:rPr>
          <w:sz w:val="20"/>
          <w:szCs w:val="20"/>
          <w:color w:val="auto"/>
        </w:rPr>
      </w:pPr>
      <w:r>
        <w:rPr>
          <w:rFonts w:ascii="Times New Roman" w:cs="Times New Roman" w:eastAsia="Times New Roman" w:hAnsi="Times New Roman"/>
          <w:sz w:val="16"/>
          <w:szCs w:val="16"/>
          <w:u w:val="single" w:color="auto"/>
          <w:color w:val="0000FF"/>
        </w:rPr>
        <w:t>4.4</w:t>
      </w:r>
    </w:p>
    <w:p>
      <w:pPr>
        <w:spacing w:after="0" w:line="134" w:lineRule="exact"/>
        <w:rPr>
          <w:rFonts w:ascii="Times New Roman" w:cs="Times New Roman" w:eastAsia="Times New Roman" w:hAnsi="Times New Roman"/>
          <w:sz w:val="16"/>
          <w:szCs w:val="16"/>
          <w:u w:val="single" w:color="auto"/>
          <w:color w:val="0000FF"/>
        </w:rPr>
      </w:pPr>
    </w:p>
    <w:p>
      <w:pPr>
        <w:ind w:left="420"/>
        <w:spacing w:after="0"/>
        <w:rPr>
          <w:rFonts w:ascii="Times New Roman" w:cs="Times New Roman" w:eastAsia="Times New Roman" w:hAnsi="Times New Roman"/>
          <w:sz w:val="15"/>
          <w:szCs w:val="15"/>
          <w:u w:val="single" w:color="auto"/>
          <w:color w:val="0000FF"/>
        </w:rPr>
      </w:pPr>
      <w:hyperlink r:id="rId167">
        <w:r>
          <w:rPr>
            <w:rFonts w:ascii="Times New Roman" w:cs="Times New Roman" w:eastAsia="Times New Roman" w:hAnsi="Times New Roman"/>
            <w:sz w:val="15"/>
            <w:szCs w:val="15"/>
            <w:u w:val="single" w:color="auto"/>
            <w:color w:val="0000FF"/>
          </w:rPr>
          <w:t>4.5</w:t>
        </w:r>
      </w:hyperlink>
    </w:p>
    <w:p>
      <w:pPr>
        <w:spacing w:after="0" w:line="331" w:lineRule="exact"/>
        <w:rPr>
          <w:rFonts w:ascii="Times New Roman" w:cs="Times New Roman" w:eastAsia="Times New Roman" w:hAnsi="Times New Roman"/>
          <w:sz w:val="16"/>
          <w:szCs w:val="16"/>
          <w:u w:val="single" w:color="auto"/>
          <w:color w:val="0000FF"/>
        </w:rPr>
      </w:pPr>
    </w:p>
    <w:p>
      <w:pPr>
        <w:ind w:left="420"/>
        <w:spacing w:after="0"/>
        <w:rPr>
          <w:rFonts w:ascii="Times New Roman" w:cs="Times New Roman" w:eastAsia="Times New Roman" w:hAnsi="Times New Roman"/>
          <w:sz w:val="15"/>
          <w:szCs w:val="15"/>
          <w:u w:val="single" w:color="auto"/>
          <w:color w:val="0000FF"/>
        </w:rPr>
      </w:pPr>
      <w:hyperlink r:id="rId168">
        <w:r>
          <w:rPr>
            <w:rFonts w:ascii="Times New Roman" w:cs="Times New Roman" w:eastAsia="Times New Roman" w:hAnsi="Times New Roman"/>
            <w:sz w:val="15"/>
            <w:szCs w:val="15"/>
            <w:u w:val="single" w:color="auto"/>
            <w:color w:val="0000FF"/>
          </w:rPr>
          <w:t>4.6</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79"/>
        </w:trPr>
        <w:tc>
          <w:tcPr>
            <w:tcW w:w="4780" w:type="dxa"/>
            <w:vAlign w:val="bottom"/>
            <w:gridSpan w:val="8"/>
          </w:tcPr>
          <w:p>
            <w:pPr>
              <w:spacing w:after="0" w:line="178"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Class A common stock certificate of the Registrant.</w:t>
              </w:r>
            </w:hyperlink>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S-1/A</w:t>
            </w:r>
          </w:p>
        </w:tc>
        <w:tc>
          <w:tcPr>
            <w:tcW w:w="12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rPr>
              <w:t>333-231461</w:t>
            </w:r>
          </w:p>
        </w:tc>
        <w:tc>
          <w:tcPr>
            <w:tcW w:w="740" w:type="dxa"/>
            <w:vAlign w:val="bottom"/>
          </w:tcPr>
          <w:p>
            <w:pPr>
              <w:jc w:val="right"/>
              <w:ind w:right="201"/>
              <w:spacing w:after="0" w:line="178" w:lineRule="exact"/>
              <w:rPr>
                <w:sz w:val="20"/>
                <w:szCs w:val="20"/>
                <w:color w:val="auto"/>
              </w:rPr>
            </w:pPr>
            <w:r>
              <w:rPr>
                <w:rFonts w:ascii="Times New Roman" w:cs="Times New Roman" w:eastAsia="Times New Roman" w:hAnsi="Times New Roman"/>
                <w:sz w:val="16"/>
                <w:szCs w:val="16"/>
                <w:color w:val="auto"/>
              </w:rPr>
              <w:t>4.3</w:t>
            </w:r>
          </w:p>
        </w:tc>
        <w:tc>
          <w:tcPr>
            <w:tcW w:w="2160" w:type="dxa"/>
            <w:vAlign w:val="bottom"/>
          </w:tcPr>
          <w:p>
            <w:pPr>
              <w:jc w:val="center"/>
              <w:ind w:right="401"/>
              <w:spacing w:after="0" w:line="178" w:lineRule="exact"/>
              <w:rPr>
                <w:sz w:val="20"/>
                <w:szCs w:val="20"/>
                <w:color w:val="auto"/>
              </w:rPr>
            </w:pPr>
            <w:r>
              <w:rPr>
                <w:rFonts w:ascii="Times New Roman" w:cs="Times New Roman" w:eastAsia="Times New Roman" w:hAnsi="Times New Roman"/>
                <w:sz w:val="16"/>
                <w:szCs w:val="16"/>
                <w:color w:val="auto"/>
                <w:w w:val="98"/>
              </w:rPr>
              <w:t>May 29, 2019</w:t>
            </w:r>
          </w:p>
        </w:tc>
        <w:tc>
          <w:tcPr>
            <w:tcW w:w="0" w:type="dxa"/>
            <w:vAlign w:val="bottom"/>
          </w:tcPr>
          <w:p>
            <w:pPr>
              <w:spacing w:after="0"/>
              <w:rPr>
                <w:sz w:val="1"/>
                <w:szCs w:val="1"/>
                <w:color w:val="auto"/>
              </w:rPr>
            </w:pPr>
          </w:p>
        </w:tc>
      </w:tr>
      <w:tr>
        <w:trPr>
          <w:trHeight w:val="192"/>
        </w:trPr>
        <w:tc>
          <w:tcPr>
            <w:tcW w:w="24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8"/>
              </w:rPr>
              <w:t>Description of Registrant’s securities.</w:t>
            </w:r>
          </w:p>
        </w:tc>
        <w:tc>
          <w:tcPr>
            <w:tcW w:w="880" w:type="dxa"/>
            <w:vAlign w:val="bottom"/>
            <w:tcBorders>
              <w:top w:val="single" w:sz="8" w:color="0000FF"/>
            </w:tcBorders>
            <w:gridSpan w:val="2"/>
          </w:tcPr>
          <w:p>
            <w:pPr>
              <w:spacing w:after="0"/>
              <w:rPr>
                <w:sz w:val="16"/>
                <w:szCs w:val="16"/>
                <w:color w:val="auto"/>
              </w:rPr>
            </w:pPr>
          </w:p>
        </w:tc>
        <w:tc>
          <w:tcPr>
            <w:tcW w:w="150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60" w:type="dxa"/>
            <w:vAlign w:val="bottom"/>
          </w:tcPr>
          <w:p>
            <w:pPr>
              <w:ind w:left="20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92"/>
        </w:trPr>
        <w:tc>
          <w:tcPr>
            <w:tcW w:w="4780" w:type="dxa"/>
            <w:vAlign w:val="bottom"/>
            <w:gridSpan w:val="8"/>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Indenture dated as of January 20, 2021, between CrowdStrike Holdings,</w:t>
              </w:r>
            </w:hyperlink>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7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rPr>
              <w:t>4.1</w:t>
            </w:r>
          </w:p>
        </w:tc>
        <w:tc>
          <w:tcPr>
            <w:tcW w:w="2160" w:type="dxa"/>
            <w:vAlign w:val="bottom"/>
            <w:vMerge w:val="restart"/>
          </w:tcPr>
          <w:p>
            <w:pPr>
              <w:jc w:val="center"/>
              <w:ind w:right="401"/>
              <w:spacing w:after="0"/>
              <w:rPr>
                <w:sz w:val="20"/>
                <w:szCs w:val="20"/>
                <w:color w:val="auto"/>
              </w:rPr>
            </w:pPr>
            <w:r>
              <w:rPr>
                <w:rFonts w:ascii="Times New Roman" w:cs="Times New Roman" w:eastAsia="Times New Roman" w:hAnsi="Times New Roman"/>
                <w:sz w:val="16"/>
                <w:szCs w:val="16"/>
                <w:color w:val="auto"/>
                <w:w w:val="98"/>
              </w:rPr>
              <w:t>January 20, 2021</w:t>
            </w:r>
          </w:p>
        </w:tc>
        <w:tc>
          <w:tcPr>
            <w:tcW w:w="0" w:type="dxa"/>
            <w:vAlign w:val="bottom"/>
          </w:tcPr>
          <w:p>
            <w:pPr>
              <w:spacing w:after="0"/>
              <w:rPr>
                <w:sz w:val="1"/>
                <w:szCs w:val="1"/>
                <w:color w:val="auto"/>
              </w:rPr>
            </w:pPr>
          </w:p>
        </w:tc>
      </w:tr>
      <w:tr>
        <w:trPr>
          <w:trHeight w:val="121"/>
        </w:trPr>
        <w:tc>
          <w:tcPr>
            <w:tcW w:w="3260" w:type="dxa"/>
            <w:vAlign w:val="bottom"/>
            <w:tcBorders>
              <w:top w:val="single" w:sz="8" w:color="0000FF"/>
            </w:tcBorders>
            <w:gridSpan w:val="3"/>
            <w:vMerge w:val="restart"/>
          </w:tcPr>
          <w:p>
            <w:pPr>
              <w:spacing w:after="0" w:line="165" w:lineRule="exact"/>
              <w:rPr>
                <w:rFonts w:ascii="Times New Roman" w:cs="Times New Roman" w:eastAsia="Times New Roman" w:hAnsi="Times New Roman"/>
                <w:sz w:val="16"/>
                <w:szCs w:val="16"/>
                <w:color w:val="0000FF"/>
                <w:w w:val="98"/>
              </w:rPr>
            </w:pPr>
            <w:hyperlink r:id="rId167">
              <w:r>
                <w:rPr>
                  <w:rFonts w:ascii="Times New Roman" w:cs="Times New Roman" w:eastAsia="Times New Roman" w:hAnsi="Times New Roman"/>
                  <w:sz w:val="16"/>
                  <w:szCs w:val="16"/>
                  <w:color w:val="0000FF"/>
                  <w:w w:val="98"/>
                </w:rPr>
                <w:t>Inc. and U.S. Bank National Association, as trustee</w:t>
              </w:r>
            </w:hyperlink>
          </w:p>
        </w:tc>
        <w:tc>
          <w:tcPr>
            <w:tcW w:w="1320" w:type="dxa"/>
            <w:vAlign w:val="bottom"/>
            <w:tcBorders>
              <w:top w:val="single" w:sz="8" w:color="0000FF"/>
            </w:tcBorders>
            <w:gridSpan w:val="4"/>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7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260" w:type="dxa"/>
            <w:vAlign w:val="bottom"/>
            <w:tcBorders>
              <w:bottom w:val="single" w:sz="8" w:color="0000FF"/>
            </w:tcBorders>
            <w:gridSpan w:val="3"/>
            <w:vMerge w:val="continue"/>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780" w:type="dxa"/>
            <w:vAlign w:val="bottom"/>
            <w:gridSpan w:val="8"/>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First Supplemental Indenture, dated as of January 20, 2021, between</w:t>
              </w:r>
            </w:hyperlink>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7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rPr>
              <w:t>4.2</w:t>
            </w:r>
          </w:p>
        </w:tc>
        <w:tc>
          <w:tcPr>
            <w:tcW w:w="2160" w:type="dxa"/>
            <w:vAlign w:val="bottom"/>
            <w:vMerge w:val="restart"/>
          </w:tcPr>
          <w:p>
            <w:pPr>
              <w:jc w:val="center"/>
              <w:ind w:right="401"/>
              <w:spacing w:after="0"/>
              <w:rPr>
                <w:sz w:val="20"/>
                <w:szCs w:val="20"/>
                <w:color w:val="auto"/>
              </w:rPr>
            </w:pPr>
            <w:r>
              <w:rPr>
                <w:rFonts w:ascii="Times New Roman" w:cs="Times New Roman" w:eastAsia="Times New Roman" w:hAnsi="Times New Roman"/>
                <w:sz w:val="16"/>
                <w:szCs w:val="16"/>
                <w:color w:val="auto"/>
                <w:w w:val="98"/>
              </w:rPr>
              <w:t>January 20, 2021</w:t>
            </w:r>
          </w:p>
        </w:tc>
        <w:tc>
          <w:tcPr>
            <w:tcW w:w="0" w:type="dxa"/>
            <w:vAlign w:val="bottom"/>
          </w:tcPr>
          <w:p>
            <w:pPr>
              <w:spacing w:after="0"/>
              <w:rPr>
                <w:sz w:val="1"/>
                <w:szCs w:val="1"/>
                <w:color w:val="auto"/>
              </w:rPr>
            </w:pPr>
          </w:p>
        </w:tc>
      </w:tr>
      <w:tr>
        <w:trPr>
          <w:trHeight w:val="166"/>
        </w:trPr>
        <w:tc>
          <w:tcPr>
            <w:tcW w:w="4360" w:type="dxa"/>
            <w:vAlign w:val="bottom"/>
            <w:tcBorders>
              <w:top w:val="single" w:sz="8" w:color="0000FF"/>
            </w:tcBorders>
            <w:gridSpan w:val="6"/>
          </w:tcPr>
          <w:p>
            <w:pPr>
              <w:spacing w:after="0" w:line="165" w:lineRule="exact"/>
              <w:rPr>
                <w:rFonts w:ascii="Times New Roman" w:cs="Times New Roman" w:eastAsia="Times New Roman" w:hAnsi="Times New Roman"/>
                <w:sz w:val="16"/>
                <w:szCs w:val="16"/>
                <w:color w:val="0000FF"/>
                <w:w w:val="99"/>
              </w:rPr>
            </w:pPr>
            <w:hyperlink r:id="rId168">
              <w:r>
                <w:rPr>
                  <w:rFonts w:ascii="Times New Roman" w:cs="Times New Roman" w:eastAsia="Times New Roman" w:hAnsi="Times New Roman"/>
                  <w:sz w:val="16"/>
                  <w:szCs w:val="16"/>
                  <w:color w:val="0000FF"/>
                  <w:w w:val="99"/>
                </w:rPr>
                <w:t>CrowdStrike Holdings, Inc. and U.S. Bank National Association, as</w:t>
              </w:r>
            </w:hyperlink>
          </w:p>
        </w:tc>
        <w:tc>
          <w:tcPr>
            <w:tcW w:w="42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20" w:type="dxa"/>
            <w:vAlign w:val="bottom"/>
            <w:tcBorders>
              <w:top w:val="single" w:sz="8" w:color="0000FF"/>
            </w:tcBorders>
            <w:gridSpan w:val="5"/>
          </w:tcPr>
          <w:p>
            <w:pPr>
              <w:spacing w:after="0" w:line="16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trustee</w:t>
              </w:r>
            </w:hyperlink>
          </w:p>
        </w:tc>
        <w:tc>
          <w:tcPr>
            <w:tcW w:w="46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2">
            <w:col w:w="620" w:space="520"/>
            <w:col w:w="9940"/>
          </w:cols>
          <w:pgMar w:left="320" w:top="121" w:right="499" w:bottom="1440" w:gutter="0" w:footer="0" w:header="0"/>
          <w:type w:val="continuous"/>
        </w:sectPr>
      </w:pPr>
    </w:p>
    <w:tbl>
      <w:tblPr>
        <w:tblLayout w:type="fixed"/>
        <w:tblInd w:w="300" w:type="dxa"/>
        <w:tblCellMar>
          <w:top w:w="0" w:type="dxa"/>
          <w:left w:w="0" w:type="dxa"/>
          <w:bottom w:w="0" w:type="dxa"/>
          <w:right w:w="0" w:type="dxa"/>
        </w:tblCellMar>
      </w:tblPr>
      <w:tr>
        <w:trPr>
          <w:trHeight w:val="204"/>
        </w:trPr>
        <w:tc>
          <w:tcPr>
            <w:tcW w:w="120" w:type="dxa"/>
            <w:vAlign w:val="bottom"/>
            <w:gridSpan w:val="2"/>
          </w:tcPr>
          <w:p>
            <w:pPr>
              <w:spacing w:after="0"/>
              <w:rPr>
                <w:sz w:val="17"/>
                <w:szCs w:val="17"/>
                <w:color w:val="auto"/>
              </w:rPr>
            </w:pPr>
          </w:p>
        </w:tc>
        <w:tc>
          <w:tcPr>
            <w:tcW w:w="280" w:type="dxa"/>
            <w:vAlign w:val="bottom"/>
            <w:gridSpan w:val="2"/>
          </w:tcPr>
          <w:p>
            <w:pPr>
              <w:jc w:val="center"/>
              <w:ind w:right="80"/>
              <w:spacing w:after="0"/>
              <w:rPr>
                <w:rFonts w:ascii="Times New Roman" w:cs="Times New Roman" w:eastAsia="Times New Roman" w:hAnsi="Times New Roman"/>
                <w:sz w:val="16"/>
                <w:szCs w:val="16"/>
                <w:color w:val="0000FF"/>
                <w:w w:val="99"/>
              </w:rPr>
            </w:pPr>
            <w:hyperlink r:id="rId168">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7</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20" w:type="dxa"/>
            <w:vAlign w:val="bottom"/>
            <w:gridSpan w:val="20"/>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Form of 3.000% Senior Notes due 2029 (included in Exhibit 4.9)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Second Supplemental Indenture, dated as of January 10, 2025, by and</w:t>
            </w:r>
          </w:p>
        </w:tc>
        <w:tc>
          <w:tcPr>
            <w:tcW w:w="0" w:type="dxa"/>
            <w:vAlign w:val="bottom"/>
          </w:tcPr>
          <w:p>
            <w:pPr>
              <w:spacing w:after="0"/>
              <w:rPr>
                <w:sz w:val="1"/>
                <w:szCs w:val="1"/>
                <w:color w:val="auto"/>
              </w:rPr>
            </w:pPr>
          </w:p>
        </w:tc>
      </w:tr>
      <w:tr>
        <w:trPr>
          <w:trHeight w:val="139"/>
        </w:trPr>
        <w:tc>
          <w:tcPr>
            <w:tcW w:w="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14"/>
          </w:tcPr>
          <w:p>
            <w:pPr>
              <w:spacing w:after="0" w:line="139" w:lineRule="exact"/>
              <w:rPr>
                <w:sz w:val="20"/>
                <w:szCs w:val="20"/>
                <w:color w:val="auto"/>
              </w:rPr>
            </w:pPr>
            <w:r>
              <w:rPr>
                <w:rFonts w:ascii="Times New Roman" w:cs="Times New Roman" w:eastAsia="Times New Roman" w:hAnsi="Times New Roman"/>
                <w:sz w:val="16"/>
                <w:szCs w:val="16"/>
                <w:color w:val="0000FF"/>
              </w:rPr>
              <w:t>among CrowdStrike Holdings, Inc., CrowdStrike Financial Services,</w:t>
            </w:r>
          </w:p>
        </w:tc>
        <w:tc>
          <w:tcPr>
            <w:tcW w:w="220" w:type="dxa"/>
            <w:vAlign w:val="bottom"/>
            <w:tcBorders>
              <w:bottom w:val="single" w:sz="8" w:color="0000FF"/>
            </w:tcBorders>
            <w:gridSpan w:val="4"/>
          </w:tcPr>
          <w:p>
            <w:pPr>
              <w:spacing w:after="0" w:line="139" w:lineRule="exact"/>
              <w:rPr>
                <w:sz w:val="20"/>
                <w:szCs w:val="20"/>
                <w:color w:val="auto"/>
              </w:rPr>
            </w:pPr>
            <w:r>
              <w:rPr>
                <w:rFonts w:ascii="Times New Roman" w:cs="Times New Roman" w:eastAsia="Times New Roman" w:hAnsi="Times New Roman"/>
                <w:sz w:val="16"/>
                <w:szCs w:val="16"/>
                <w:color w:val="0000FF"/>
                <w:w w:val="81"/>
              </w:rPr>
              <w:t>Inc.</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4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720" w:type="dxa"/>
            <w:vAlign w:val="bottom"/>
            <w:gridSpan w:val="20"/>
            <w:vMerge w:val="restart"/>
          </w:tcPr>
          <w:p>
            <w:pPr>
              <w:spacing w:after="0" w:line="139" w:lineRule="exact"/>
              <w:rPr>
                <w:sz w:val="20"/>
                <w:szCs w:val="20"/>
                <w:color w:val="auto"/>
              </w:rPr>
            </w:pPr>
            <w:r>
              <w:rPr>
                <w:rFonts w:ascii="Times New Roman" w:cs="Times New Roman" w:eastAsia="Times New Roman" w:hAnsi="Times New Roman"/>
                <w:sz w:val="16"/>
                <w:szCs w:val="16"/>
                <w:color w:val="0000FF"/>
                <w:w w:val="98"/>
              </w:rPr>
              <w:t>and U.S. Bank Trust Company, National Association, as successor to U.S.</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72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00" w:type="dxa"/>
            <w:vAlign w:val="bottom"/>
            <w:tcBorders>
              <w:top w:val="single" w:sz="8" w:color="0000FF"/>
            </w:tcBorders>
            <w:gridSpan w:val="19"/>
          </w:tcPr>
          <w:p>
            <w:pPr>
              <w:spacing w:after="0" w:line="139" w:lineRule="exact"/>
              <w:rPr>
                <w:sz w:val="20"/>
                <w:szCs w:val="20"/>
                <w:color w:val="auto"/>
              </w:rPr>
            </w:pPr>
            <w:r>
              <w:rPr>
                <w:rFonts w:ascii="Times New Roman" w:cs="Times New Roman" w:eastAsia="Times New Roman" w:hAnsi="Times New Roman"/>
                <w:sz w:val="16"/>
                <w:szCs w:val="16"/>
                <w:color w:val="0000FF"/>
              </w:rPr>
              <w:t>Bank National Association, as trustee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vMerge w:val="restart"/>
          </w:tcPr>
          <w:p>
            <w:pPr>
              <w:jc w:val="center"/>
              <w:ind w:right="440"/>
              <w:spacing w:after="0"/>
              <w:rPr>
                <w:rFonts w:ascii="Times New Roman" w:cs="Times New Roman" w:eastAsia="Times New Roman" w:hAnsi="Times New Roman"/>
                <w:sz w:val="16"/>
                <w:szCs w:val="16"/>
                <w:color w:val="0000FF"/>
                <w:w w:val="99"/>
              </w:rPr>
            </w:pPr>
            <w:hyperlink r:id="rId169">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w:t>
            </w:r>
          </w:p>
        </w:tc>
        <w:tc>
          <w:tcPr>
            <w:tcW w:w="4720" w:type="dxa"/>
            <w:vAlign w:val="bottom"/>
            <w:gridSpan w:val="20"/>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Form of Indemnification Agreement between the Registrant and each of</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800" w:type="dxa"/>
            <w:vAlign w:val="bottom"/>
            <w:gridSpan w:val="5"/>
            <w:vMerge w:val="continue"/>
          </w:tcPr>
          <w:p>
            <w:pPr>
              <w:spacing w:after="0"/>
              <w:rPr>
                <w:sz w:val="5"/>
                <w:szCs w:val="5"/>
                <w:color w:val="auto"/>
              </w:rPr>
            </w:pPr>
          </w:p>
        </w:tc>
        <w:tc>
          <w:tcPr>
            <w:tcW w:w="4580" w:type="dxa"/>
            <w:vAlign w:val="bottom"/>
            <w:tcBorders>
              <w:top w:val="single" w:sz="8" w:color="0000FF"/>
            </w:tcBorders>
            <w:gridSpan w:val="16"/>
            <w:vMerge w:val="restart"/>
          </w:tcPr>
          <w:p>
            <w:pPr>
              <w:spacing w:after="0" w:line="139"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its directors and executive officers.</w:t>
              </w:r>
            </w:hyperlink>
          </w:p>
        </w:tc>
        <w:tc>
          <w:tcPr>
            <w:tcW w:w="140" w:type="dxa"/>
            <w:vAlign w:val="bottom"/>
            <w:gridSpan w:val="4"/>
            <w:vMerge w:val="restart"/>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580" w:type="dxa"/>
            <w:vAlign w:val="bottom"/>
            <w:tcBorders>
              <w:top w:val="single" w:sz="8" w:color="0000FF"/>
            </w:tcBorders>
            <w:gridSpan w:val="16"/>
            <w:vMerge w:val="continue"/>
          </w:tcPr>
          <w:p>
            <w:pPr>
              <w:spacing w:after="0"/>
              <w:rPr>
                <w:sz w:val="5"/>
                <w:szCs w:val="5"/>
                <w:color w:val="auto"/>
              </w:rPr>
            </w:pPr>
          </w:p>
        </w:tc>
        <w:tc>
          <w:tcPr>
            <w:tcW w:w="1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tcPr>
          <w:p>
            <w:pPr>
              <w:jc w:val="center"/>
              <w:ind w:right="440"/>
              <w:spacing w:after="0"/>
              <w:rPr>
                <w:rFonts w:ascii="Times New Roman" w:cs="Times New Roman" w:eastAsia="Times New Roman" w:hAnsi="Times New Roman"/>
                <w:sz w:val="16"/>
                <w:szCs w:val="16"/>
                <w:color w:val="0000FF"/>
                <w:w w:val="99"/>
              </w:rPr>
            </w:pPr>
            <w:hyperlink r:id="rId170">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2†</w:t>
            </w:r>
          </w:p>
        </w:tc>
        <w:tc>
          <w:tcPr>
            <w:tcW w:w="4720" w:type="dxa"/>
            <w:vAlign w:val="bottom"/>
            <w:gridSpan w:val="20"/>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2019 Equity Incentive Plan and related form agreement.</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vMerge w:val="restart"/>
          </w:tcPr>
          <w:p>
            <w:pPr>
              <w:jc w:val="center"/>
              <w:ind w:right="440"/>
              <w:spacing w:after="0"/>
              <w:rPr>
                <w:rFonts w:ascii="Times New Roman" w:cs="Times New Roman" w:eastAsia="Times New Roman" w:hAnsi="Times New Roman"/>
                <w:sz w:val="16"/>
                <w:szCs w:val="16"/>
                <w:color w:val="0000FF"/>
                <w:w w:val="99"/>
              </w:rPr>
            </w:pPr>
            <w:hyperlink r:id="rId17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4720" w:type="dxa"/>
            <w:vAlign w:val="bottom"/>
            <w:gridSpan w:val="20"/>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Form of Global Restricted Stock Unit Agreement Outside Directors –</w:t>
              </w:r>
            </w:hyperlink>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800" w:type="dxa"/>
            <w:vAlign w:val="bottom"/>
            <w:gridSpan w:val="5"/>
            <w:vMerge w:val="continue"/>
          </w:tcPr>
          <w:p>
            <w:pPr>
              <w:spacing w:after="0"/>
              <w:rPr>
                <w:sz w:val="5"/>
                <w:szCs w:val="5"/>
                <w:color w:val="auto"/>
              </w:rPr>
            </w:pPr>
          </w:p>
        </w:tc>
        <w:tc>
          <w:tcPr>
            <w:tcW w:w="4420" w:type="dxa"/>
            <w:vAlign w:val="bottom"/>
            <w:tcBorders>
              <w:top w:val="single" w:sz="8" w:color="0000FF"/>
            </w:tcBorders>
            <w:gridSpan w:val="13"/>
            <w:vMerge w:val="restart"/>
          </w:tcPr>
          <w:p>
            <w:pPr>
              <w:spacing w:after="0" w:line="139"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Annual Grant under the Company’s 2019 Equity Incentive Plan</w:t>
              </w:r>
            </w:hyperlink>
          </w:p>
        </w:tc>
        <w:tc>
          <w:tcPr>
            <w:tcW w:w="300" w:type="dxa"/>
            <w:vAlign w:val="bottom"/>
            <w:gridSpan w:val="7"/>
            <w:vMerge w:val="restart"/>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20" w:type="dxa"/>
            <w:vAlign w:val="bottom"/>
            <w:tcBorders>
              <w:top w:val="single" w:sz="8" w:color="0000FF"/>
            </w:tcBorders>
            <w:gridSpan w:val="13"/>
            <w:vMerge w:val="continue"/>
          </w:tcPr>
          <w:p>
            <w:pPr>
              <w:spacing w:after="0"/>
              <w:rPr>
                <w:sz w:val="5"/>
                <w:szCs w:val="5"/>
                <w:color w:val="auto"/>
              </w:rPr>
            </w:pPr>
          </w:p>
        </w:tc>
        <w:tc>
          <w:tcPr>
            <w:tcW w:w="3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vMerge w:val="restart"/>
          </w:tcPr>
          <w:p>
            <w:pPr>
              <w:jc w:val="center"/>
              <w:ind w:right="440"/>
              <w:spacing w:after="0"/>
              <w:rPr>
                <w:rFonts w:ascii="Times New Roman" w:cs="Times New Roman" w:eastAsia="Times New Roman" w:hAnsi="Times New Roman"/>
                <w:sz w:val="16"/>
                <w:szCs w:val="16"/>
                <w:color w:val="0000FF"/>
                <w:w w:val="99"/>
              </w:rPr>
            </w:pPr>
            <w:hyperlink r:id="rId17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hyperlink>
          </w:p>
        </w:tc>
        <w:tc>
          <w:tcPr>
            <w:tcW w:w="4720" w:type="dxa"/>
            <w:vAlign w:val="bottom"/>
            <w:gridSpan w:val="20"/>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Form of Global Restricted Stock Unit Agreement Outside Directors –</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800" w:type="dxa"/>
            <w:vAlign w:val="bottom"/>
            <w:gridSpan w:val="5"/>
            <w:vMerge w:val="continue"/>
          </w:tcPr>
          <w:p>
            <w:pPr>
              <w:spacing w:after="0"/>
              <w:rPr>
                <w:sz w:val="5"/>
                <w:szCs w:val="5"/>
                <w:color w:val="auto"/>
              </w:rPr>
            </w:pPr>
          </w:p>
        </w:tc>
        <w:tc>
          <w:tcPr>
            <w:tcW w:w="3960" w:type="dxa"/>
            <w:vAlign w:val="bottom"/>
            <w:tcBorders>
              <w:top w:val="single" w:sz="8" w:color="0000FF"/>
            </w:tcBorders>
            <w:gridSpan w:val="9"/>
            <w:vMerge w:val="restart"/>
          </w:tcPr>
          <w:p>
            <w:pPr>
              <w:spacing w:after="0" w:line="139" w:lineRule="exact"/>
              <w:rPr>
                <w:rFonts w:ascii="Times New Roman" w:cs="Times New Roman" w:eastAsia="Times New Roman" w:hAnsi="Times New Roman"/>
                <w:sz w:val="16"/>
                <w:szCs w:val="16"/>
                <w:color w:val="0000FF"/>
                <w:w w:val="98"/>
              </w:rPr>
            </w:pPr>
            <w:hyperlink r:id="rId172">
              <w:r>
                <w:rPr>
                  <w:rFonts w:ascii="Times New Roman" w:cs="Times New Roman" w:eastAsia="Times New Roman" w:hAnsi="Times New Roman"/>
                  <w:sz w:val="16"/>
                  <w:szCs w:val="16"/>
                  <w:color w:val="0000FF"/>
                  <w:w w:val="98"/>
                </w:rPr>
                <w:t>Initial Grant under the Company’s 2019 Equity Incentive Plan</w:t>
              </w:r>
            </w:hyperlink>
          </w:p>
        </w:tc>
        <w:tc>
          <w:tcPr>
            <w:tcW w:w="460" w:type="dxa"/>
            <w:vAlign w:val="bottom"/>
            <w:tcBorders>
              <w:top w:val="single" w:sz="8" w:color="0000FF"/>
            </w:tcBorders>
            <w:gridSpan w:val="4"/>
            <w:vMerge w:val="restart"/>
          </w:tcPr>
          <w:p>
            <w:pPr>
              <w:spacing w:after="0"/>
              <w:rPr>
                <w:sz w:val="5"/>
                <w:szCs w:val="5"/>
                <w:color w:val="auto"/>
              </w:rPr>
            </w:pPr>
          </w:p>
        </w:tc>
        <w:tc>
          <w:tcPr>
            <w:tcW w:w="300" w:type="dxa"/>
            <w:vAlign w:val="bottom"/>
            <w:gridSpan w:val="7"/>
            <w:vMerge w:val="restart"/>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960" w:type="dxa"/>
            <w:vAlign w:val="bottom"/>
            <w:tcBorders>
              <w:top w:val="single" w:sz="8" w:color="0000FF"/>
              <w:bottom w:val="single" w:sz="8" w:color="0000FF"/>
            </w:tcBorders>
            <w:gridSpan w:val="9"/>
            <w:vMerge w:val="continue"/>
          </w:tcPr>
          <w:p>
            <w:pPr>
              <w:spacing w:after="0"/>
              <w:rPr>
                <w:sz w:val="5"/>
                <w:szCs w:val="5"/>
                <w:color w:val="auto"/>
              </w:rPr>
            </w:pPr>
          </w:p>
        </w:tc>
        <w:tc>
          <w:tcPr>
            <w:tcW w:w="460" w:type="dxa"/>
            <w:vAlign w:val="bottom"/>
            <w:tcBorders>
              <w:top w:val="single" w:sz="8" w:color="0000FF"/>
            </w:tcBorders>
            <w:gridSpan w:val="4"/>
            <w:vMerge w:val="continue"/>
          </w:tcPr>
          <w:p>
            <w:pPr>
              <w:spacing w:after="0"/>
              <w:rPr>
                <w:sz w:val="5"/>
                <w:szCs w:val="5"/>
                <w:color w:val="auto"/>
              </w:rPr>
            </w:pPr>
          </w:p>
        </w:tc>
        <w:tc>
          <w:tcPr>
            <w:tcW w:w="3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vMerge w:val="restart"/>
          </w:tcPr>
          <w:p>
            <w:pPr>
              <w:jc w:val="center"/>
              <w:ind w:right="440"/>
              <w:spacing w:after="0"/>
              <w:rPr>
                <w:rFonts w:ascii="Times New Roman" w:cs="Times New Roman" w:eastAsia="Times New Roman" w:hAnsi="Times New Roman"/>
                <w:sz w:val="16"/>
                <w:szCs w:val="16"/>
                <w:color w:val="0000FF"/>
                <w:w w:val="99"/>
              </w:rPr>
            </w:pPr>
            <w:hyperlink r:id="rId17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hyperlink>
          </w:p>
        </w:tc>
        <w:tc>
          <w:tcPr>
            <w:tcW w:w="4720" w:type="dxa"/>
            <w:vAlign w:val="bottom"/>
            <w:gridSpan w:val="20"/>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CrowdStrike Holdings, Inc. 2019 Equity Incentive Plan Global</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800" w:type="dxa"/>
            <w:vAlign w:val="bottom"/>
            <w:gridSpan w:val="5"/>
            <w:vMerge w:val="continue"/>
          </w:tcPr>
          <w:p>
            <w:pPr>
              <w:spacing w:after="0"/>
              <w:rPr>
                <w:sz w:val="5"/>
                <w:szCs w:val="5"/>
                <w:color w:val="auto"/>
              </w:rPr>
            </w:pPr>
          </w:p>
        </w:tc>
        <w:tc>
          <w:tcPr>
            <w:tcW w:w="1880" w:type="dxa"/>
            <w:vAlign w:val="bottom"/>
            <w:tcBorders>
              <w:top w:val="single" w:sz="8" w:color="0000FF"/>
            </w:tcBorders>
            <w:gridSpan w:val="4"/>
            <w:vMerge w:val="restart"/>
          </w:tcPr>
          <w:p>
            <w:pPr>
              <w:spacing w:after="0" w:line="139" w:lineRule="exact"/>
              <w:rPr>
                <w:rFonts w:ascii="Times New Roman" w:cs="Times New Roman" w:eastAsia="Times New Roman" w:hAnsi="Times New Roman"/>
                <w:sz w:val="16"/>
                <w:szCs w:val="16"/>
                <w:color w:val="0000FF"/>
                <w:w w:val="98"/>
              </w:rPr>
            </w:pPr>
            <w:hyperlink r:id="rId173">
              <w:r>
                <w:rPr>
                  <w:rFonts w:ascii="Times New Roman" w:cs="Times New Roman" w:eastAsia="Times New Roman" w:hAnsi="Times New Roman"/>
                  <w:sz w:val="16"/>
                  <w:szCs w:val="16"/>
                  <w:color w:val="0000FF"/>
                  <w:w w:val="98"/>
                </w:rPr>
                <w:t>Performance Unit Agreement</w:t>
              </w:r>
            </w:hyperlink>
          </w:p>
        </w:tc>
        <w:tc>
          <w:tcPr>
            <w:tcW w:w="2160" w:type="dxa"/>
            <w:vAlign w:val="bottom"/>
            <w:tcBorders>
              <w:top w:val="single" w:sz="8" w:color="0000FF"/>
            </w:tcBorders>
            <w:gridSpan w:val="6"/>
            <w:vMerge w:val="restart"/>
          </w:tcPr>
          <w:p>
            <w:pPr>
              <w:spacing w:after="0"/>
              <w:rPr>
                <w:sz w:val="5"/>
                <w:szCs w:val="5"/>
                <w:color w:val="auto"/>
              </w:rPr>
            </w:pPr>
          </w:p>
        </w:tc>
        <w:tc>
          <w:tcPr>
            <w:tcW w:w="680" w:type="dxa"/>
            <w:vAlign w:val="bottom"/>
            <w:gridSpan w:val="10"/>
            <w:vMerge w:val="restart"/>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80" w:type="dxa"/>
            <w:vAlign w:val="bottom"/>
            <w:tcBorders>
              <w:top w:val="single" w:sz="8" w:color="0000FF"/>
              <w:bottom w:val="single" w:sz="8" w:color="0000FF"/>
            </w:tcBorders>
            <w:gridSpan w:val="4"/>
            <w:vMerge w:val="continue"/>
          </w:tcPr>
          <w:p>
            <w:pPr>
              <w:spacing w:after="0"/>
              <w:rPr>
                <w:sz w:val="5"/>
                <w:szCs w:val="5"/>
                <w:color w:val="auto"/>
              </w:rPr>
            </w:pPr>
          </w:p>
        </w:tc>
        <w:tc>
          <w:tcPr>
            <w:tcW w:w="2160" w:type="dxa"/>
            <w:vAlign w:val="bottom"/>
            <w:tcBorders>
              <w:top w:val="single" w:sz="8" w:color="0000FF"/>
            </w:tcBorders>
            <w:gridSpan w:val="6"/>
            <w:vMerge w:val="continue"/>
          </w:tcPr>
          <w:p>
            <w:pPr>
              <w:spacing w:after="0"/>
              <w:rPr>
                <w:sz w:val="5"/>
                <w:szCs w:val="5"/>
                <w:color w:val="auto"/>
              </w:rPr>
            </w:pPr>
          </w:p>
        </w:tc>
        <w:tc>
          <w:tcPr>
            <w:tcW w:w="6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vMerge w:val="restart"/>
          </w:tcPr>
          <w:p>
            <w:pPr>
              <w:jc w:val="center"/>
              <w:ind w:right="440"/>
              <w:spacing w:after="0"/>
              <w:rPr>
                <w:rFonts w:ascii="Times New Roman" w:cs="Times New Roman" w:eastAsia="Times New Roman" w:hAnsi="Times New Roman"/>
                <w:sz w:val="16"/>
                <w:szCs w:val="16"/>
                <w:color w:val="0000FF"/>
                <w:w w:val="99"/>
              </w:rPr>
            </w:pPr>
            <w:hyperlink r:id="rId17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6†</w:t>
              </w:r>
            </w:hyperlink>
          </w:p>
        </w:tc>
        <w:tc>
          <w:tcPr>
            <w:tcW w:w="4720" w:type="dxa"/>
            <w:vAlign w:val="bottom"/>
            <w:gridSpan w:val="20"/>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Amended and Restated 2011 Stock Incentive Plan and related form</w:t>
              </w:r>
            </w:hyperlink>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800" w:type="dxa"/>
            <w:vAlign w:val="bottom"/>
            <w:gridSpan w:val="5"/>
            <w:vMerge w:val="continue"/>
          </w:tcPr>
          <w:p>
            <w:pPr>
              <w:spacing w:after="0"/>
              <w:rPr>
                <w:sz w:val="5"/>
                <w:szCs w:val="5"/>
                <w:color w:val="auto"/>
              </w:rPr>
            </w:pPr>
          </w:p>
        </w:tc>
        <w:tc>
          <w:tcPr>
            <w:tcW w:w="4260" w:type="dxa"/>
            <w:vAlign w:val="bottom"/>
            <w:tcBorders>
              <w:top w:val="single" w:sz="8" w:color="0000FF"/>
            </w:tcBorders>
            <w:gridSpan w:val="12"/>
            <w:vMerge w:val="restart"/>
          </w:tcPr>
          <w:p>
            <w:pPr>
              <w:spacing w:after="0" w:line="139"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agreements.</w:t>
              </w:r>
            </w:hyperlink>
          </w:p>
        </w:tc>
        <w:tc>
          <w:tcPr>
            <w:tcW w:w="460" w:type="dxa"/>
            <w:vAlign w:val="bottom"/>
            <w:gridSpan w:val="8"/>
            <w:vMerge w:val="restart"/>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60" w:type="dxa"/>
            <w:vAlign w:val="bottom"/>
            <w:tcBorders>
              <w:top w:val="single" w:sz="8" w:color="0000FF"/>
            </w:tcBorders>
            <w:gridSpan w:val="12"/>
            <w:vMerge w:val="continue"/>
          </w:tcPr>
          <w:p>
            <w:pPr>
              <w:spacing w:after="0"/>
              <w:rPr>
                <w:sz w:val="5"/>
                <w:szCs w:val="5"/>
                <w:color w:val="auto"/>
              </w:rPr>
            </w:pPr>
          </w:p>
        </w:tc>
        <w:tc>
          <w:tcPr>
            <w:tcW w:w="4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vMerge w:val="restart"/>
          </w:tcPr>
          <w:p>
            <w:pPr>
              <w:jc w:val="center"/>
              <w:ind w:right="440"/>
              <w:spacing w:after="0"/>
              <w:rPr>
                <w:rFonts w:ascii="Times New Roman" w:cs="Times New Roman" w:eastAsia="Times New Roman" w:hAnsi="Times New Roman"/>
                <w:sz w:val="16"/>
                <w:szCs w:val="16"/>
                <w:color w:val="0000FF"/>
                <w:w w:val="99"/>
              </w:rPr>
            </w:pPr>
            <w:hyperlink r:id="rId17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7†</w:t>
              </w:r>
            </w:hyperlink>
          </w:p>
        </w:tc>
        <w:tc>
          <w:tcPr>
            <w:tcW w:w="46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8"/>
              </w:rPr>
            </w:pPr>
            <w:hyperlink r:id="rId175">
              <w:r>
                <w:rPr>
                  <w:rFonts w:ascii="Times New Roman" w:cs="Times New Roman" w:eastAsia="Times New Roman" w:hAnsi="Times New Roman"/>
                  <w:sz w:val="16"/>
                  <w:szCs w:val="16"/>
                  <w:color w:val="0000FF"/>
                  <w:w w:val="98"/>
                </w:rPr>
                <w:t>Amended and Restated 2019 Employee Stock Purchase Plan and related</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800" w:type="dxa"/>
            <w:vAlign w:val="bottom"/>
            <w:gridSpan w:val="5"/>
            <w:vMerge w:val="continue"/>
          </w:tcPr>
          <w:p>
            <w:pPr>
              <w:spacing w:after="0"/>
              <w:rPr>
                <w:sz w:val="5"/>
                <w:szCs w:val="5"/>
                <w:color w:val="auto"/>
              </w:rPr>
            </w:pPr>
          </w:p>
        </w:tc>
        <w:tc>
          <w:tcPr>
            <w:tcW w:w="4720" w:type="dxa"/>
            <w:vAlign w:val="bottom"/>
            <w:gridSpan w:val="20"/>
            <w:vMerge w:val="restart"/>
          </w:tcPr>
          <w:p>
            <w:pPr>
              <w:spacing w:after="0" w:line="139"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form agreements.</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72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tcPr>
          <w:p>
            <w:pPr>
              <w:jc w:val="center"/>
              <w:ind w:right="440"/>
              <w:spacing w:after="0"/>
              <w:rPr>
                <w:rFonts w:ascii="Times New Roman" w:cs="Times New Roman" w:eastAsia="Times New Roman" w:hAnsi="Times New Roman"/>
                <w:sz w:val="16"/>
                <w:szCs w:val="16"/>
                <w:color w:val="0000FF"/>
                <w:w w:val="99"/>
              </w:rPr>
            </w:pPr>
            <w:hyperlink r:id="rId17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8†</w:t>
              </w:r>
            </w:hyperlink>
          </w:p>
        </w:tc>
        <w:tc>
          <w:tcPr>
            <w:tcW w:w="4720" w:type="dxa"/>
            <w:vAlign w:val="bottom"/>
            <w:gridSpan w:val="20"/>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CrowdStrike Holdings, Inc. Corporate Incentive Plan.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gridSpan w:val="5"/>
          </w:tcPr>
          <w:p>
            <w:pPr>
              <w:jc w:val="center"/>
              <w:ind w:right="440"/>
              <w:spacing w:after="0"/>
              <w:rPr>
                <w:rFonts w:ascii="Times New Roman" w:cs="Times New Roman" w:eastAsia="Times New Roman" w:hAnsi="Times New Roman"/>
                <w:sz w:val="16"/>
                <w:szCs w:val="16"/>
                <w:color w:val="0000FF"/>
                <w:w w:val="99"/>
              </w:rPr>
            </w:pPr>
            <w:hyperlink r:id="rId17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9†</w:t>
              </w:r>
            </w:hyperlink>
          </w:p>
        </w:tc>
        <w:tc>
          <w:tcPr>
            <w:tcW w:w="4720" w:type="dxa"/>
            <w:vAlign w:val="bottom"/>
            <w:gridSpan w:val="20"/>
          </w:tcPr>
          <w:p>
            <w:pPr>
              <w:spacing w:after="0"/>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Outside Director Compensation Policy, as amended on June 19, 2024.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820" w:type="dxa"/>
            <w:vAlign w:val="bottom"/>
            <w:gridSpan w:val="1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40" w:type="dxa"/>
            <w:vAlign w:val="bottom"/>
            <w:gridSpan w:val="6"/>
            <w:vMerge w:val="restart"/>
          </w:tcPr>
          <w:p>
            <w:pPr>
              <w:jc w:val="center"/>
              <w:ind w:right="400"/>
              <w:spacing w:after="0"/>
              <w:rPr>
                <w:rFonts w:ascii="Times New Roman" w:cs="Times New Roman" w:eastAsia="Times New Roman" w:hAnsi="Times New Roman"/>
                <w:sz w:val="16"/>
                <w:szCs w:val="16"/>
                <w:color w:val="0000FF"/>
                <w:w w:val="99"/>
              </w:rPr>
            </w:pPr>
            <w:hyperlink r:id="rId17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10†</w:t>
              </w:r>
            </w:hyperlink>
          </w:p>
        </w:tc>
        <w:tc>
          <w:tcPr>
            <w:tcW w:w="4720" w:type="dxa"/>
            <w:vAlign w:val="bottom"/>
            <w:gridSpan w:val="20"/>
          </w:tcPr>
          <w:p>
            <w:pPr>
              <w:spacing w:after="0" w:line="17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Employment Agreement between the Registrant and George Kurtz, dated</w:t>
              </w:r>
            </w:hyperlink>
          </w:p>
        </w:tc>
        <w:tc>
          <w:tcPr>
            <w:tcW w:w="0" w:type="dxa"/>
            <w:vAlign w:val="bottom"/>
          </w:tcPr>
          <w:p>
            <w:pPr>
              <w:spacing w:after="0"/>
              <w:rPr>
                <w:sz w:val="1"/>
                <w:szCs w:val="1"/>
                <w:color w:val="auto"/>
              </w:rPr>
            </w:pPr>
          </w:p>
        </w:tc>
      </w:tr>
      <w:tr>
        <w:trPr>
          <w:trHeight w:val="59"/>
        </w:trPr>
        <w:tc>
          <w:tcPr>
            <w:tcW w:w="840" w:type="dxa"/>
            <w:vAlign w:val="bottom"/>
            <w:gridSpan w:val="6"/>
            <w:vMerge w:val="continue"/>
          </w:tcPr>
          <w:p>
            <w:pPr>
              <w:spacing w:after="0"/>
              <w:rPr>
                <w:sz w:val="5"/>
                <w:szCs w:val="5"/>
                <w:color w:val="auto"/>
              </w:rPr>
            </w:pPr>
          </w:p>
        </w:tc>
        <w:tc>
          <w:tcPr>
            <w:tcW w:w="4660" w:type="dxa"/>
            <w:vAlign w:val="bottom"/>
            <w:tcBorders>
              <w:top w:val="single" w:sz="8" w:color="0000FF"/>
            </w:tcBorders>
            <w:gridSpan w:val="18"/>
            <w:vMerge w:val="restart"/>
          </w:tcPr>
          <w:p>
            <w:pPr>
              <w:spacing w:after="0" w:line="139"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as of November 18, 2011.</w:t>
              </w:r>
            </w:hyperlink>
          </w:p>
        </w:tc>
        <w:tc>
          <w:tcPr>
            <w:tcW w:w="6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4660" w:type="dxa"/>
            <w:vAlign w:val="bottom"/>
            <w:tcBorders>
              <w:top w:val="single" w:sz="8" w:color="0000FF"/>
            </w:tcBorders>
            <w:gridSpan w:val="18"/>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840" w:type="dxa"/>
            <w:vAlign w:val="bottom"/>
            <w:gridSpan w:val="4"/>
            <w:vMerge w:val="restart"/>
          </w:tcPr>
          <w:p>
            <w:pPr>
              <w:jc w:val="center"/>
              <w:ind w:right="400"/>
              <w:spacing w:after="0"/>
              <w:rPr>
                <w:rFonts w:ascii="Times New Roman" w:cs="Times New Roman" w:eastAsia="Times New Roman" w:hAnsi="Times New Roman"/>
                <w:sz w:val="16"/>
                <w:szCs w:val="16"/>
                <w:color w:val="0000FF"/>
                <w:w w:val="99"/>
              </w:rPr>
            </w:pPr>
            <w:hyperlink r:id="rId17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w:t>
              </w:r>
            </w:hyperlink>
          </w:p>
        </w:tc>
        <w:tc>
          <w:tcPr>
            <w:tcW w:w="4640" w:type="dxa"/>
            <w:vAlign w:val="bottom"/>
            <w:gridSpan w:val="4"/>
          </w:tcPr>
          <w:p>
            <w:pPr>
              <w:spacing w:after="0"/>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Offer Letter between the Registrant and Burt W. Podbere, dated as of</w:t>
              </w:r>
            </w:hyperlink>
          </w:p>
        </w:tc>
        <w:tc>
          <w:tcPr>
            <w:tcW w:w="0" w:type="dxa"/>
            <w:vAlign w:val="bottom"/>
          </w:tcPr>
          <w:p>
            <w:pPr>
              <w:spacing w:after="0"/>
              <w:rPr>
                <w:sz w:val="1"/>
                <w:szCs w:val="1"/>
                <w:color w:val="auto"/>
              </w:rPr>
            </w:pPr>
          </w:p>
        </w:tc>
      </w:tr>
      <w:tr>
        <w:trPr>
          <w:trHeight w:val="59"/>
        </w:trPr>
        <w:tc>
          <w:tcPr>
            <w:tcW w:w="840" w:type="dxa"/>
            <w:vAlign w:val="bottom"/>
            <w:gridSpan w:val="4"/>
            <w:vMerge w:val="continue"/>
          </w:tcPr>
          <w:p>
            <w:pPr>
              <w:spacing w:after="0"/>
              <w:rPr>
                <w:sz w:val="5"/>
                <w:szCs w:val="5"/>
                <w:color w:val="auto"/>
              </w:rPr>
            </w:pPr>
          </w:p>
        </w:tc>
        <w:tc>
          <w:tcPr>
            <w:tcW w:w="1100" w:type="dxa"/>
            <w:vAlign w:val="bottom"/>
            <w:tcBorders>
              <w:top w:val="single" w:sz="8" w:color="0000FF"/>
            </w:tcBorders>
            <w:vMerge w:val="restart"/>
          </w:tcPr>
          <w:p>
            <w:pPr>
              <w:spacing w:after="0" w:line="139" w:lineRule="exact"/>
              <w:rPr>
                <w:rFonts w:ascii="Times New Roman" w:cs="Times New Roman" w:eastAsia="Times New Roman" w:hAnsi="Times New Roman"/>
                <w:sz w:val="16"/>
                <w:szCs w:val="16"/>
                <w:color w:val="0000FF"/>
                <w:w w:val="97"/>
              </w:rPr>
            </w:pPr>
            <w:hyperlink r:id="rId179">
              <w:r>
                <w:rPr>
                  <w:rFonts w:ascii="Times New Roman" w:cs="Times New Roman" w:eastAsia="Times New Roman" w:hAnsi="Times New Roman"/>
                  <w:sz w:val="16"/>
                  <w:szCs w:val="16"/>
                  <w:color w:val="0000FF"/>
                  <w:w w:val="97"/>
                </w:rPr>
                <w:t>August 10, 2015.</w:t>
              </w:r>
            </w:hyperlink>
          </w:p>
        </w:tc>
        <w:tc>
          <w:tcPr>
            <w:tcW w:w="3280" w:type="dxa"/>
            <w:vAlign w:val="bottom"/>
            <w:tcBorders>
              <w:top w:val="single" w:sz="8" w:color="0000FF"/>
            </w:tcBorders>
            <w:gridSpan w:val="2"/>
            <w:vMerge w:val="restart"/>
          </w:tcPr>
          <w:p>
            <w:pPr>
              <w:spacing w:after="0"/>
              <w:rPr>
                <w:sz w:val="5"/>
                <w:szCs w:val="5"/>
                <w:color w:val="auto"/>
              </w:rPr>
            </w:pPr>
          </w:p>
        </w:tc>
        <w:tc>
          <w:tcPr>
            <w:tcW w:w="2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Borders>
              <w:top w:val="single" w:sz="8" w:color="0000FF"/>
              <w:bottom w:val="single" w:sz="8" w:color="0000FF"/>
            </w:tcBorders>
            <w:vMerge w:val="continue"/>
          </w:tcPr>
          <w:p>
            <w:pPr>
              <w:spacing w:after="0"/>
              <w:rPr>
                <w:sz w:val="5"/>
                <w:szCs w:val="5"/>
                <w:color w:val="auto"/>
              </w:rPr>
            </w:pPr>
          </w:p>
        </w:tc>
        <w:tc>
          <w:tcPr>
            <w:tcW w:w="3280" w:type="dxa"/>
            <w:vAlign w:val="bottom"/>
            <w:tcBorders>
              <w:top w:val="single" w:sz="8" w:color="0000FF"/>
            </w:tcBorders>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0" w:type="dxa"/>
            <w:vAlign w:val="bottom"/>
            <w:gridSpan w:val="2"/>
            <w:vMerge w:val="restart"/>
          </w:tcPr>
          <w:p>
            <w:pPr>
              <w:jc w:val="center"/>
              <w:spacing w:after="0"/>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12</w:t>
              </w:r>
            </w:hyperlink>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8"/>
              </w:rPr>
            </w:pPr>
            <w:hyperlink r:id="rId180">
              <w:r>
                <w:rPr>
                  <w:rFonts w:ascii="Times New Roman" w:cs="Times New Roman" w:eastAsia="Times New Roman" w:hAnsi="Times New Roman"/>
                  <w:sz w:val="16"/>
                  <w:szCs w:val="16"/>
                  <w:color w:val="0000FF"/>
                  <w:w w:val="98"/>
                </w:rPr>
                <w:t>Office Lease Agreement between EQC Capitol Tower Property LLC and</w:t>
              </w:r>
            </w:hyperlink>
          </w:p>
        </w:tc>
        <w:tc>
          <w:tcPr>
            <w:tcW w:w="0" w:type="dxa"/>
            <w:vAlign w:val="bottom"/>
          </w:tcPr>
          <w:p>
            <w:pPr>
              <w:spacing w:after="0"/>
              <w:rPr>
                <w:sz w:val="1"/>
                <w:szCs w:val="1"/>
                <w:color w:val="auto"/>
              </w:rPr>
            </w:pPr>
          </w:p>
        </w:tc>
      </w:tr>
      <w:tr>
        <w:trPr>
          <w:trHeight w:val="59"/>
        </w:trPr>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40" w:type="dxa"/>
            <w:vAlign w:val="bottom"/>
            <w:gridSpan w:val="4"/>
            <w:vMerge w:val="restart"/>
          </w:tcPr>
          <w:p>
            <w:pPr>
              <w:spacing w:after="0" w:line="139"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CrowdStrike, Inc., dated April 20, 2018.</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60"/>
        <w:spacing w:after="0"/>
        <w:tabs>
          <w:tab w:leader="none" w:pos="800" w:val="left"/>
          <w:tab w:leader="none" w:pos="2040" w:val="left"/>
          <w:tab w:leader="none" w:pos="282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001-38933</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5"/>
          <w:szCs w:val="15"/>
          <w:color w:val="auto"/>
        </w:rPr>
        <w:t>January 20, 2021</w:t>
      </w:r>
    </w:p>
    <w:p>
      <w:pPr>
        <w:spacing w:after="0" w:line="280"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6"/>
          <w:szCs w:val="16"/>
          <w:color w:val="auto"/>
        </w:rPr>
        <w:t>X</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8"/>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333-231461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May 14, 2019</w:t>
            </w:r>
          </w:p>
        </w:tc>
      </w:tr>
      <w:tr>
        <w:trPr>
          <w:trHeight w:val="292"/>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9"/>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333-231461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May 29, 2019</w:t>
            </w:r>
          </w:p>
        </w:tc>
      </w:tr>
      <w:tr>
        <w:trPr>
          <w:trHeight w:val="292"/>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September 3, 2020</w:t>
            </w:r>
          </w:p>
        </w:tc>
      </w:tr>
      <w:tr>
        <w:trPr>
          <w:trHeight w:val="371"/>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March 18, 2021</w:t>
            </w:r>
          </w:p>
        </w:tc>
      </w:tr>
      <w:tr>
        <w:trPr>
          <w:trHeight w:val="371"/>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June 3, 2020</w:t>
            </w:r>
          </w:p>
        </w:tc>
      </w:tr>
      <w:tr>
        <w:trPr>
          <w:trHeight w:val="371"/>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8"/>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333-231461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May 14, 2019</w:t>
            </w:r>
          </w:p>
        </w:tc>
      </w:tr>
      <w:tr>
        <w:trPr>
          <w:trHeight w:val="371"/>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September 1, 2021</w:t>
            </w:r>
          </w:p>
        </w:tc>
      </w:tr>
      <w:tr>
        <w:trPr>
          <w:trHeight w:val="291"/>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June 1, 2023</w:t>
            </w:r>
          </w:p>
        </w:tc>
      </w:tr>
      <w:tr>
        <w:trPr>
          <w:trHeight w:val="212"/>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7"/>
              </w:rPr>
              <w:t>August 29, 2024</w:t>
            </w:r>
          </w:p>
        </w:tc>
      </w:tr>
      <w:tr>
        <w:trPr>
          <w:trHeight w:val="292"/>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8"/>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333-231461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May 14, 2019</w:t>
            </w:r>
          </w:p>
        </w:tc>
      </w:tr>
      <w:tr>
        <w:trPr>
          <w:trHeight w:val="371"/>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8"/>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333-231461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May 14, 2019</w:t>
            </w:r>
          </w:p>
        </w:tc>
      </w:tr>
      <w:tr>
        <w:trPr>
          <w:trHeight w:val="371"/>
        </w:trPr>
        <w:tc>
          <w:tcPr>
            <w:tcW w:w="58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001-38933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March 16, 2022</w:t>
            </w:r>
          </w:p>
        </w:tc>
      </w:tr>
    </w:tbl>
    <w:p>
      <w:pPr>
        <w:spacing w:after="0" w:line="258" w:lineRule="exact"/>
        <w:rPr>
          <w:sz w:val="20"/>
          <w:szCs w:val="20"/>
          <w:color w:val="auto"/>
        </w:rPr>
      </w:pPr>
    </w:p>
    <w:p>
      <w:pPr>
        <w:sectPr>
          <w:pgSz w:w="11900" w:h="16838" w:orient="portrait"/>
          <w:cols w:equalWidth="0" w:num="2">
            <w:col w:w="5840" w:space="280"/>
            <w:col w:w="4960"/>
          </w:cols>
          <w:pgMar w:left="320" w:top="121" w:right="49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20" w:type="dxa"/>
            <w:vAlign w:val="bottom"/>
            <w:gridSpan w:val="3"/>
            <w:vMerge w:val="restart"/>
          </w:tcPr>
          <w:p>
            <w:pPr>
              <w:jc w:val="center"/>
              <w:ind w:left="1"/>
              <w:spacing w:after="0"/>
              <w:rPr>
                <w:rFonts w:ascii="Times New Roman" w:cs="Times New Roman" w:eastAsia="Times New Roman" w:hAnsi="Times New Roman"/>
                <w:sz w:val="16"/>
                <w:szCs w:val="16"/>
                <w:color w:val="0000FF"/>
                <w:w w:val="99"/>
              </w:rPr>
            </w:pPr>
            <w:hyperlink r:id="rId18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13</w:t>
              </w:r>
            </w:hyperlink>
          </w:p>
        </w:tc>
        <w:tc>
          <w:tcPr>
            <w:tcW w:w="400" w:type="dxa"/>
            <w:vAlign w:val="bottom"/>
          </w:tcPr>
          <w:p>
            <w:pPr>
              <w:spacing w:after="0"/>
              <w:rPr>
                <w:sz w:val="16"/>
                <w:szCs w:val="16"/>
                <w:color w:val="auto"/>
              </w:rPr>
            </w:pPr>
          </w:p>
        </w:tc>
        <w:tc>
          <w:tcPr>
            <w:tcW w:w="476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w w:val="98"/>
              </w:rPr>
            </w:pPr>
            <w:hyperlink r:id="rId182">
              <w:r>
                <w:rPr>
                  <w:rFonts w:ascii="Times New Roman" w:cs="Times New Roman" w:eastAsia="Times New Roman" w:hAnsi="Times New Roman"/>
                  <w:sz w:val="16"/>
                  <w:szCs w:val="16"/>
                  <w:color w:val="0000FF"/>
                  <w:w w:val="98"/>
                </w:rPr>
                <w:t>First Amendment to Office Lease Agreement between EQC Capitol Tower</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3640" w:type="dxa"/>
            <w:vAlign w:val="bottom"/>
            <w:gridSpan w:val="11"/>
            <w:vMerge w:val="restart"/>
          </w:tcPr>
          <w:p>
            <w:pPr>
              <w:spacing w:after="0" w:line="139" w:lineRule="exact"/>
              <w:rPr>
                <w:rFonts w:ascii="Times New Roman" w:cs="Times New Roman" w:eastAsia="Times New Roman" w:hAnsi="Times New Roman"/>
                <w:sz w:val="16"/>
                <w:szCs w:val="16"/>
                <w:color w:val="0000FF"/>
                <w:w w:val="98"/>
              </w:rPr>
            </w:pPr>
            <w:hyperlink r:id="rId182">
              <w:r>
                <w:rPr>
                  <w:rFonts w:ascii="Times New Roman" w:cs="Times New Roman" w:eastAsia="Times New Roman" w:hAnsi="Times New Roman"/>
                  <w:sz w:val="16"/>
                  <w:szCs w:val="16"/>
                  <w:color w:val="0000FF"/>
                  <w:w w:val="98"/>
                </w:rPr>
                <w:t>Property LLC and CrowdStrike, Inc., dated June 6, 2019.</w:t>
              </w:r>
            </w:hyperlink>
          </w:p>
        </w:tc>
        <w:tc>
          <w:tcPr>
            <w:tcW w:w="1140" w:type="dxa"/>
            <w:vAlign w:val="bottom"/>
            <w:gridSpan w:val="18"/>
            <w:vMerge w:val="restart"/>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3640" w:type="dxa"/>
            <w:vAlign w:val="bottom"/>
            <w:tcBorders>
              <w:bottom w:val="single" w:sz="8" w:color="0000FF"/>
            </w:tcBorders>
            <w:gridSpan w:val="11"/>
            <w:vMerge w:val="continue"/>
          </w:tcPr>
          <w:p>
            <w:pPr>
              <w:spacing w:after="0"/>
              <w:rPr>
                <w:sz w:val="5"/>
                <w:szCs w:val="5"/>
                <w:color w:val="auto"/>
              </w:rPr>
            </w:pPr>
          </w:p>
        </w:tc>
        <w:tc>
          <w:tcPr>
            <w:tcW w:w="114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gridSpan w:val="29"/>
          </w:tcPr>
          <w:p>
            <w:pPr>
              <w:spacing w:after="0"/>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Amended and Restated Credit Agreement dated as of January 4, 2021, as</w:t>
              </w:r>
            </w:hyperlink>
          </w:p>
        </w:tc>
        <w:tc>
          <w:tcPr>
            <w:tcW w:w="0" w:type="dxa"/>
            <w:vAlign w:val="bottom"/>
          </w:tcPr>
          <w:p>
            <w:pPr>
              <w:spacing w:after="0"/>
              <w:rPr>
                <w:sz w:val="1"/>
                <w:szCs w:val="1"/>
                <w:color w:val="auto"/>
              </w:rPr>
            </w:pPr>
          </w:p>
        </w:tc>
      </w:tr>
      <w:tr>
        <w:trPr>
          <w:trHeight w:val="139"/>
        </w:trPr>
        <w:tc>
          <w:tcPr>
            <w:tcW w:w="520" w:type="dxa"/>
            <w:vAlign w:val="bottom"/>
            <w:gridSpan w:val="3"/>
            <w:vMerge w:val="restart"/>
          </w:tcPr>
          <w:p>
            <w:pPr>
              <w:jc w:val="center"/>
              <w:ind w:left="1"/>
              <w:spacing w:after="0"/>
              <w:rPr>
                <w:rFonts w:ascii="Times New Roman" w:cs="Times New Roman" w:eastAsia="Times New Roman" w:hAnsi="Times New Roman"/>
                <w:sz w:val="16"/>
                <w:szCs w:val="16"/>
                <w:color w:val="0000FF"/>
                <w:w w:val="99"/>
              </w:rPr>
            </w:pPr>
            <w:hyperlink r:id="rId18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14</w:t>
              </w:r>
            </w:hyperlink>
          </w:p>
        </w:tc>
        <w:tc>
          <w:tcPr>
            <w:tcW w:w="400" w:type="dxa"/>
            <w:vAlign w:val="bottom"/>
          </w:tcPr>
          <w:p>
            <w:pPr>
              <w:spacing w:after="0"/>
              <w:rPr>
                <w:sz w:val="12"/>
                <w:szCs w:val="12"/>
                <w:color w:val="auto"/>
              </w:rPr>
            </w:pPr>
          </w:p>
        </w:tc>
        <w:tc>
          <w:tcPr>
            <w:tcW w:w="4660" w:type="dxa"/>
            <w:vAlign w:val="bottom"/>
            <w:tcBorders>
              <w:top w:val="single" w:sz="8" w:color="0000FF"/>
            </w:tcBorders>
            <w:gridSpan w:val="24"/>
          </w:tcPr>
          <w:p>
            <w:pPr>
              <w:spacing w:after="0" w:line="139"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amended on January 6, 2022 among CrowdStrike Holdings, Inc.,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5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4780" w:type="dxa"/>
            <w:vAlign w:val="bottom"/>
            <w:gridSpan w:val="29"/>
            <w:vMerge w:val="restart"/>
          </w:tcPr>
          <w:p>
            <w:pPr>
              <w:spacing w:after="0" w:line="139" w:lineRule="exact"/>
              <w:rPr>
                <w:rFonts w:ascii="Times New Roman" w:cs="Times New Roman" w:eastAsia="Times New Roman" w:hAnsi="Times New Roman"/>
                <w:sz w:val="16"/>
                <w:szCs w:val="16"/>
                <w:color w:val="0000FF"/>
                <w:w w:val="99"/>
              </w:rPr>
            </w:pPr>
            <w:hyperlink r:id="rId183">
              <w:r>
                <w:rPr>
                  <w:rFonts w:ascii="Times New Roman" w:cs="Times New Roman" w:eastAsia="Times New Roman" w:hAnsi="Times New Roman"/>
                  <w:sz w:val="16"/>
                  <w:szCs w:val="16"/>
                  <w:color w:val="0000FF"/>
                  <w:w w:val="99"/>
                </w:rPr>
                <w:t>guarantor, CrowdStrike, Inc. as borrower, and Silicon Valley Bank and the</w:t>
              </w:r>
            </w:hyperlink>
          </w:p>
        </w:tc>
        <w:tc>
          <w:tcPr>
            <w:tcW w:w="0" w:type="dxa"/>
            <w:vAlign w:val="bottom"/>
          </w:tcPr>
          <w:p>
            <w:pPr>
              <w:spacing w:after="0"/>
              <w:rPr>
                <w:sz w:val="1"/>
                <w:szCs w:val="1"/>
                <w:color w:val="auto"/>
              </w:rPr>
            </w:pPr>
          </w:p>
        </w:tc>
      </w:tr>
      <w:tr>
        <w:trPr>
          <w:trHeight w:val="59"/>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478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20" w:type="dxa"/>
            <w:vAlign w:val="bottom"/>
            <w:tcBorders>
              <w:top w:val="single" w:sz="8" w:color="0000FF"/>
            </w:tcBorders>
            <w:gridSpan w:val="27"/>
          </w:tcPr>
          <w:p>
            <w:pPr>
              <w:spacing w:after="0" w:line="139"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other lenders party thereto.</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740" w:type="dxa"/>
            <w:vAlign w:val="bottom"/>
            <w:gridSpan w:val="3"/>
            <w:vMerge w:val="restart"/>
          </w:tcPr>
          <w:p>
            <w:pPr>
              <w:jc w:val="center"/>
              <w:ind w:right="400"/>
              <w:spacing w:after="0"/>
              <w:rPr>
                <w:rFonts w:ascii="Times New Roman" w:cs="Times New Roman" w:eastAsia="Times New Roman" w:hAnsi="Times New Roman"/>
                <w:sz w:val="16"/>
                <w:szCs w:val="16"/>
                <w:color w:val="0000FF"/>
                <w:w w:val="77"/>
              </w:rPr>
            </w:pPr>
            <w:hyperlink r:id="rId184">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15†</w:t>
              </w:r>
            </w:hyperlink>
          </w:p>
        </w:tc>
        <w:tc>
          <w:tcPr>
            <w:tcW w:w="4780" w:type="dxa"/>
            <w:vAlign w:val="bottom"/>
            <w:gridSpan w:val="29"/>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Amended and Restated Performance Unit Agreement with George Kurtz,</w:t>
              </w:r>
            </w:hyperlink>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680" w:type="dxa"/>
            <w:vAlign w:val="bottom"/>
            <w:tcBorders>
              <w:top w:val="single" w:sz="8" w:color="0000FF"/>
            </w:tcBorders>
            <w:gridSpan w:val="25"/>
          </w:tcPr>
          <w:p>
            <w:pPr>
              <w:spacing w:after="0" w:line="139"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dated September 1, 2021, under the CrowdStrike Holdings, Inc.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6"/>
                <w:szCs w:val="16"/>
                <w:color w:val="0000FF"/>
                <w:w w:val="98"/>
              </w:rPr>
            </w:pPr>
            <w:hyperlink r:id="rId184">
              <w:r>
                <w:rPr>
                  <w:rFonts w:ascii="Times New Roman" w:cs="Times New Roman" w:eastAsia="Times New Roman" w:hAnsi="Times New Roman"/>
                  <w:sz w:val="16"/>
                  <w:szCs w:val="16"/>
                  <w:color w:val="0000FF"/>
                  <w:w w:val="98"/>
                </w:rPr>
                <w:t>Equity Incentive Plan.</w:t>
              </w:r>
            </w:hyperlink>
          </w:p>
        </w:tc>
        <w:tc>
          <w:tcPr>
            <w:tcW w:w="30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740" w:type="dxa"/>
            <w:vAlign w:val="bottom"/>
            <w:gridSpan w:val="3"/>
            <w:vMerge w:val="restart"/>
          </w:tcPr>
          <w:p>
            <w:pPr>
              <w:jc w:val="center"/>
              <w:ind w:right="400"/>
              <w:spacing w:after="0"/>
              <w:rPr>
                <w:rFonts w:ascii="Times New Roman" w:cs="Times New Roman" w:eastAsia="Times New Roman" w:hAnsi="Times New Roman"/>
                <w:sz w:val="16"/>
                <w:szCs w:val="16"/>
                <w:color w:val="0000FF"/>
                <w:w w:val="77"/>
              </w:rPr>
            </w:pPr>
            <w:hyperlink r:id="rId185">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16†</w:t>
              </w:r>
            </w:hyperlink>
          </w:p>
        </w:tc>
        <w:tc>
          <w:tcPr>
            <w:tcW w:w="4780" w:type="dxa"/>
            <w:vAlign w:val="bottom"/>
            <w:gridSpan w:val="29"/>
          </w:tcPr>
          <w:p>
            <w:pPr>
              <w:spacing w:after="0"/>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Change in Control and Severance Agreement, dated as of September 1,</w:t>
              </w:r>
            </w:hyperlink>
          </w:p>
        </w:tc>
        <w:tc>
          <w:tcPr>
            <w:tcW w:w="0" w:type="dxa"/>
            <w:vAlign w:val="bottom"/>
          </w:tcPr>
          <w:p>
            <w:pPr>
              <w:spacing w:after="0"/>
              <w:rPr>
                <w:sz w:val="1"/>
                <w:szCs w:val="1"/>
                <w:color w:val="auto"/>
              </w:rPr>
            </w:pPr>
          </w:p>
        </w:tc>
      </w:tr>
      <w:tr>
        <w:trPr>
          <w:trHeight w:val="73"/>
        </w:trPr>
        <w:tc>
          <w:tcPr>
            <w:tcW w:w="18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4520" w:type="dxa"/>
            <w:vAlign w:val="bottom"/>
            <w:tcBorders>
              <w:top w:val="single" w:sz="8" w:color="0000FF"/>
            </w:tcBorders>
            <w:gridSpan w:val="19"/>
            <w:vMerge w:val="restart"/>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2021, by and between CrowdStrike Holdings, Inc. and George Kurtz.</w:t>
              </w:r>
            </w:hyperlink>
          </w:p>
        </w:tc>
        <w:tc>
          <w:tcPr>
            <w:tcW w:w="260" w:type="dxa"/>
            <w:vAlign w:val="bottom"/>
            <w:gridSpan w:val="10"/>
            <w:vMerge w:val="restart"/>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4520" w:type="dxa"/>
            <w:vAlign w:val="bottom"/>
            <w:tcBorders>
              <w:top w:val="single" w:sz="8" w:color="0000FF"/>
            </w:tcBorders>
            <w:gridSpan w:val="19"/>
            <w:vMerge w:val="continue"/>
          </w:tcPr>
          <w:p>
            <w:pPr>
              <w:spacing w:after="0"/>
              <w:rPr>
                <w:sz w:val="5"/>
                <w:szCs w:val="5"/>
                <w:color w:val="auto"/>
              </w:rPr>
            </w:pPr>
          </w:p>
        </w:tc>
        <w:tc>
          <w:tcPr>
            <w:tcW w:w="2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0" w:type="dxa"/>
            <w:vAlign w:val="bottom"/>
          </w:tcPr>
          <w:p>
            <w:pPr>
              <w:spacing w:after="0"/>
              <w:rPr>
                <w:sz w:val="19"/>
                <w:szCs w:val="19"/>
                <w:color w:val="auto"/>
              </w:rPr>
            </w:pPr>
          </w:p>
        </w:tc>
        <w:tc>
          <w:tcPr>
            <w:tcW w:w="740" w:type="dxa"/>
            <w:vAlign w:val="bottom"/>
            <w:gridSpan w:val="3"/>
            <w:vMerge w:val="restart"/>
          </w:tcPr>
          <w:p>
            <w:pPr>
              <w:jc w:val="center"/>
              <w:ind w:right="400"/>
              <w:spacing w:after="0"/>
              <w:rPr>
                <w:rFonts w:ascii="Times New Roman" w:cs="Times New Roman" w:eastAsia="Times New Roman" w:hAnsi="Times New Roman"/>
                <w:sz w:val="16"/>
                <w:szCs w:val="16"/>
                <w:color w:val="0000FF"/>
                <w:w w:val="77"/>
              </w:rPr>
            </w:pPr>
            <w:hyperlink r:id="rId186">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17†</w:t>
              </w:r>
            </w:hyperlink>
          </w:p>
        </w:tc>
        <w:tc>
          <w:tcPr>
            <w:tcW w:w="470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9"/>
              </w:rPr>
            </w:pPr>
            <w:hyperlink r:id="rId186">
              <w:r>
                <w:rPr>
                  <w:rFonts w:ascii="Times New Roman" w:cs="Times New Roman" w:eastAsia="Times New Roman" w:hAnsi="Times New Roman"/>
                  <w:sz w:val="16"/>
                  <w:szCs w:val="16"/>
                  <w:color w:val="0000FF"/>
                  <w:w w:val="99"/>
                </w:rPr>
                <w:t>Performance Unit Agreement with Burt Podbere, dated January 12, 2022,</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18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4780" w:type="dxa"/>
            <w:vAlign w:val="bottom"/>
            <w:gridSpan w:val="29"/>
            <w:vMerge w:val="restart"/>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under the CrowdStrike Holdings, Inc. 2019 Equity Incentive Plan.</w:t>
              </w:r>
            </w:hyperlink>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478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0" w:type="dxa"/>
            <w:vAlign w:val="bottom"/>
          </w:tcPr>
          <w:p>
            <w:pPr>
              <w:spacing w:after="0"/>
              <w:rPr>
                <w:sz w:val="19"/>
                <w:szCs w:val="19"/>
                <w:color w:val="auto"/>
              </w:rPr>
            </w:pPr>
          </w:p>
        </w:tc>
        <w:tc>
          <w:tcPr>
            <w:tcW w:w="740" w:type="dxa"/>
            <w:vAlign w:val="bottom"/>
            <w:gridSpan w:val="3"/>
            <w:vMerge w:val="restart"/>
          </w:tcPr>
          <w:p>
            <w:pPr>
              <w:jc w:val="center"/>
              <w:ind w:right="400"/>
              <w:spacing w:after="0"/>
              <w:rPr>
                <w:rFonts w:ascii="Times New Roman" w:cs="Times New Roman" w:eastAsia="Times New Roman" w:hAnsi="Times New Roman"/>
                <w:sz w:val="16"/>
                <w:szCs w:val="16"/>
                <w:color w:val="0000FF"/>
                <w:w w:val="77"/>
              </w:rPr>
            </w:pPr>
            <w:hyperlink r:id="rId187">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18†</w:t>
              </w:r>
            </w:hyperlink>
          </w:p>
        </w:tc>
        <w:tc>
          <w:tcPr>
            <w:tcW w:w="4780" w:type="dxa"/>
            <w:vAlign w:val="bottom"/>
            <w:gridSpan w:val="29"/>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Offer Letter between the Registrant and Shawn Henry, dated as of March</w:t>
              </w:r>
            </w:hyperlink>
          </w:p>
        </w:tc>
        <w:tc>
          <w:tcPr>
            <w:tcW w:w="0" w:type="dxa"/>
            <w:vAlign w:val="bottom"/>
          </w:tcPr>
          <w:p>
            <w:pPr>
              <w:spacing w:after="0"/>
              <w:rPr>
                <w:sz w:val="1"/>
                <w:szCs w:val="1"/>
                <w:color w:val="auto"/>
              </w:rPr>
            </w:pPr>
          </w:p>
        </w:tc>
      </w:tr>
      <w:tr>
        <w:trPr>
          <w:trHeight w:val="73"/>
        </w:trPr>
        <w:tc>
          <w:tcPr>
            <w:tcW w:w="18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520" w:type="dxa"/>
            <w:vAlign w:val="bottom"/>
            <w:tcBorders>
              <w:top w:val="single" w:sz="8" w:color="0000FF"/>
            </w:tcBorders>
            <w:vMerge w:val="restart"/>
          </w:tcPr>
          <w:p>
            <w:pPr>
              <w:spacing w:after="0" w:line="152" w:lineRule="exact"/>
              <w:rPr>
                <w:rFonts w:ascii="Times New Roman" w:cs="Times New Roman" w:eastAsia="Times New Roman" w:hAnsi="Times New Roman"/>
                <w:sz w:val="16"/>
                <w:szCs w:val="16"/>
                <w:color w:val="0000FF"/>
                <w:w w:val="96"/>
              </w:rPr>
            </w:pPr>
            <w:hyperlink r:id="rId187">
              <w:r>
                <w:rPr>
                  <w:rFonts w:ascii="Times New Roman" w:cs="Times New Roman" w:eastAsia="Times New Roman" w:hAnsi="Times New Roman"/>
                  <w:sz w:val="16"/>
                  <w:szCs w:val="16"/>
                  <w:color w:val="0000FF"/>
                  <w:w w:val="96"/>
                </w:rPr>
                <w:t>4, 2012.</w:t>
              </w:r>
            </w:hyperlink>
          </w:p>
        </w:tc>
        <w:tc>
          <w:tcPr>
            <w:tcW w:w="520" w:type="dxa"/>
            <w:vAlign w:val="bottom"/>
            <w:tcBorders>
              <w:top w:val="single" w:sz="8" w:color="0000FF"/>
            </w:tcBorders>
            <w:vMerge w:val="restart"/>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160" w:type="dxa"/>
            <w:vAlign w:val="bottom"/>
            <w:tcBorders>
              <w:top w:val="single" w:sz="8" w:color="0000FF"/>
            </w:tcBorders>
          </w:tcPr>
          <w:p>
            <w:pPr>
              <w:spacing w:after="0"/>
              <w:rPr>
                <w:sz w:val="6"/>
                <w:szCs w:val="6"/>
                <w:color w:val="auto"/>
              </w:rPr>
            </w:pPr>
          </w:p>
        </w:tc>
        <w:tc>
          <w:tcPr>
            <w:tcW w:w="110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bottom w:val="single" w:sz="8" w:color="0000FF"/>
            </w:tcBorders>
            <w:vMerge w:val="continue"/>
          </w:tcPr>
          <w:p>
            <w:pPr>
              <w:spacing w:after="0"/>
              <w:rPr>
                <w:sz w:val="5"/>
                <w:szCs w:val="5"/>
                <w:color w:val="auto"/>
              </w:rPr>
            </w:pPr>
          </w:p>
        </w:tc>
        <w:tc>
          <w:tcPr>
            <w:tcW w:w="520" w:type="dxa"/>
            <w:vAlign w:val="bottom"/>
            <w:tcBorders>
              <w:top w:val="single" w:sz="8" w:color="0000FF"/>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20" w:type="dxa"/>
            <w:vAlign w:val="bottom"/>
            <w:gridSpan w:val="3"/>
            <w:vMerge w:val="restart"/>
          </w:tcPr>
          <w:p>
            <w:pPr>
              <w:jc w:val="center"/>
              <w:ind w:left="1"/>
              <w:spacing w:after="0"/>
              <w:rPr>
                <w:rFonts w:ascii="Times New Roman" w:cs="Times New Roman" w:eastAsia="Times New Roman" w:hAnsi="Times New Roman"/>
                <w:sz w:val="16"/>
                <w:szCs w:val="16"/>
                <w:color w:val="0000FF"/>
                <w:w w:val="99"/>
              </w:rPr>
            </w:pPr>
            <w:hyperlink r:id="rId18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19</w:t>
              </w:r>
            </w:hyperlink>
          </w:p>
        </w:tc>
        <w:tc>
          <w:tcPr>
            <w:tcW w:w="400" w:type="dxa"/>
            <w:vAlign w:val="bottom"/>
          </w:tcPr>
          <w:p>
            <w:pPr>
              <w:spacing w:after="0"/>
              <w:rPr>
                <w:sz w:val="19"/>
                <w:szCs w:val="19"/>
                <w:color w:val="auto"/>
              </w:rPr>
            </w:pPr>
          </w:p>
        </w:tc>
        <w:tc>
          <w:tcPr>
            <w:tcW w:w="4780" w:type="dxa"/>
            <w:vAlign w:val="bottom"/>
            <w:gridSpan w:val="29"/>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Second Amendment to Office Lease between EQC Capitol Tower</w:t>
              </w:r>
            </w:hyperlink>
          </w:p>
        </w:tc>
        <w:tc>
          <w:tcPr>
            <w:tcW w:w="0" w:type="dxa"/>
            <w:vAlign w:val="bottom"/>
          </w:tcPr>
          <w:p>
            <w:pPr>
              <w:spacing w:after="0"/>
              <w:rPr>
                <w:sz w:val="1"/>
                <w:szCs w:val="1"/>
                <w:color w:val="auto"/>
              </w:rPr>
            </w:pPr>
          </w:p>
        </w:tc>
      </w:tr>
      <w:tr>
        <w:trPr>
          <w:trHeight w:val="60"/>
        </w:trPr>
        <w:tc>
          <w:tcPr>
            <w:tcW w:w="5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4200" w:type="dxa"/>
            <w:vAlign w:val="bottom"/>
            <w:tcBorders>
              <w:top w:val="single" w:sz="8" w:color="0000FF"/>
            </w:tcBorders>
            <w:gridSpan w:val="13"/>
            <w:vMerge w:val="restart"/>
          </w:tcPr>
          <w:p>
            <w:pPr>
              <w:spacing w:after="0" w:line="139"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Property LLC and CrowdStrike, Inc., dated January 19, 2023</w:t>
              </w:r>
            </w:hyperlink>
          </w:p>
        </w:tc>
        <w:tc>
          <w:tcPr>
            <w:tcW w:w="580" w:type="dxa"/>
            <w:vAlign w:val="bottom"/>
            <w:gridSpan w:val="16"/>
            <w:vMerge w:val="restart"/>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4200" w:type="dxa"/>
            <w:vAlign w:val="bottom"/>
            <w:tcBorders>
              <w:top w:val="single" w:sz="8" w:color="0000FF"/>
            </w:tcBorders>
            <w:gridSpan w:val="13"/>
            <w:vMerge w:val="continue"/>
          </w:tcPr>
          <w:p>
            <w:pPr>
              <w:spacing w:after="0"/>
              <w:rPr>
                <w:sz w:val="5"/>
                <w:szCs w:val="5"/>
                <w:color w:val="auto"/>
              </w:rPr>
            </w:pPr>
          </w:p>
        </w:tc>
        <w:tc>
          <w:tcPr>
            <w:tcW w:w="58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740" w:type="dxa"/>
            <w:vAlign w:val="bottom"/>
            <w:gridSpan w:val="3"/>
            <w:vMerge w:val="restart"/>
          </w:tcPr>
          <w:p>
            <w:pPr>
              <w:jc w:val="center"/>
              <w:ind w:right="400"/>
              <w:spacing w:after="0"/>
              <w:rPr>
                <w:rFonts w:ascii="Times New Roman" w:cs="Times New Roman" w:eastAsia="Times New Roman" w:hAnsi="Times New Roman"/>
                <w:sz w:val="16"/>
                <w:szCs w:val="16"/>
                <w:color w:val="0000FF"/>
                <w:w w:val="77"/>
              </w:rPr>
            </w:pPr>
            <w:hyperlink r:id="rId189">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20†</w:t>
              </w:r>
            </w:hyperlink>
          </w:p>
        </w:tc>
        <w:tc>
          <w:tcPr>
            <w:tcW w:w="4780" w:type="dxa"/>
            <w:vAlign w:val="bottom"/>
            <w:gridSpan w:val="29"/>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CrowdStrike, Inc. Deferred Compensation Plan Adoption Agreement,</w:t>
              </w:r>
            </w:hyperlink>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4440" w:type="dxa"/>
            <w:vAlign w:val="bottom"/>
            <w:tcBorders>
              <w:top w:val="single" w:sz="8" w:color="0000FF"/>
            </w:tcBorders>
            <w:gridSpan w:val="17"/>
            <w:vMerge w:val="restart"/>
          </w:tcPr>
          <w:p>
            <w:pPr>
              <w:spacing w:after="0" w:line="139"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dated May 4, 2023.</w:t>
              </w:r>
            </w:hyperlink>
          </w:p>
        </w:tc>
        <w:tc>
          <w:tcPr>
            <w:tcW w:w="340" w:type="dxa"/>
            <w:vAlign w:val="bottom"/>
            <w:gridSpan w:val="12"/>
            <w:vMerge w:val="restart"/>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4440" w:type="dxa"/>
            <w:vAlign w:val="bottom"/>
            <w:tcBorders>
              <w:top w:val="single" w:sz="8" w:color="0000FF"/>
            </w:tcBorders>
            <w:gridSpan w:val="17"/>
            <w:vMerge w:val="continue"/>
          </w:tcPr>
          <w:p>
            <w:pPr>
              <w:spacing w:after="0"/>
              <w:rPr>
                <w:sz w:val="5"/>
                <w:szCs w:val="5"/>
                <w:color w:val="auto"/>
              </w:rPr>
            </w:pPr>
          </w:p>
        </w:tc>
        <w:tc>
          <w:tcPr>
            <w:tcW w:w="34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740" w:type="dxa"/>
            <w:vAlign w:val="bottom"/>
            <w:gridSpan w:val="3"/>
          </w:tcPr>
          <w:p>
            <w:pPr>
              <w:jc w:val="center"/>
              <w:ind w:right="400"/>
              <w:spacing w:after="0"/>
              <w:rPr>
                <w:rFonts w:ascii="Times New Roman" w:cs="Times New Roman" w:eastAsia="Times New Roman" w:hAnsi="Times New Roman"/>
                <w:sz w:val="16"/>
                <w:szCs w:val="16"/>
                <w:color w:val="0000FF"/>
                <w:w w:val="77"/>
              </w:rPr>
            </w:pPr>
            <w:hyperlink r:id="rId190">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21†</w:t>
              </w:r>
            </w:hyperlink>
          </w:p>
        </w:tc>
        <w:tc>
          <w:tcPr>
            <w:tcW w:w="4780" w:type="dxa"/>
            <w:vAlign w:val="bottom"/>
            <w:gridSpan w:val="29"/>
          </w:tcPr>
          <w:p>
            <w:pPr>
              <w:spacing w:after="0"/>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CrowdStrike, Inc, Deferred Compensation Plan, dated January 1, 2023.</w:t>
              </w:r>
            </w:hyperlink>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740" w:type="dxa"/>
            <w:vAlign w:val="bottom"/>
            <w:gridSpan w:val="3"/>
            <w:vMerge w:val="restart"/>
          </w:tcPr>
          <w:p>
            <w:pPr>
              <w:jc w:val="center"/>
              <w:ind w:right="400"/>
              <w:spacing w:after="0"/>
              <w:rPr>
                <w:rFonts w:ascii="Times New Roman" w:cs="Times New Roman" w:eastAsia="Times New Roman" w:hAnsi="Times New Roman"/>
                <w:sz w:val="16"/>
                <w:szCs w:val="16"/>
                <w:color w:val="0000FF"/>
                <w:w w:val="77"/>
              </w:rPr>
            </w:pPr>
            <w:hyperlink r:id="rId191">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22†</w:t>
              </w:r>
            </w:hyperlink>
          </w:p>
        </w:tc>
        <w:tc>
          <w:tcPr>
            <w:tcW w:w="472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w w:val="98"/>
              </w:rPr>
            </w:pPr>
            <w:hyperlink r:id="rId191">
              <w:r>
                <w:rPr>
                  <w:rFonts w:ascii="Times New Roman" w:cs="Times New Roman" w:eastAsia="Times New Roman" w:hAnsi="Times New Roman"/>
                  <w:sz w:val="16"/>
                  <w:szCs w:val="16"/>
                  <w:color w:val="0000FF"/>
                  <w:w w:val="98"/>
                </w:rPr>
                <w:t>Offer Letter between CrowdStrike, Inc. and Michael Sentonas, dated as of</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18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60" w:type="dxa"/>
            <w:vAlign w:val="bottom"/>
            <w:gridSpan w:val="3"/>
            <w:vMerge w:val="restart"/>
          </w:tcPr>
          <w:p>
            <w:pPr>
              <w:spacing w:after="0" w:line="139" w:lineRule="exact"/>
              <w:rPr>
                <w:rFonts w:ascii="Times New Roman" w:cs="Times New Roman" w:eastAsia="Times New Roman" w:hAnsi="Times New Roman"/>
                <w:sz w:val="16"/>
                <w:szCs w:val="16"/>
                <w:color w:val="0000FF"/>
                <w:w w:val="98"/>
              </w:rPr>
            </w:pPr>
            <w:hyperlink r:id="rId191">
              <w:r>
                <w:rPr>
                  <w:rFonts w:ascii="Times New Roman" w:cs="Times New Roman" w:eastAsia="Times New Roman" w:hAnsi="Times New Roman"/>
                  <w:sz w:val="16"/>
                  <w:szCs w:val="16"/>
                  <w:color w:val="0000FF"/>
                  <w:w w:val="98"/>
                </w:rPr>
                <w:t>March 22, 2021.</w:t>
              </w:r>
            </w:hyperlink>
          </w:p>
        </w:tc>
        <w:tc>
          <w:tcPr>
            <w:tcW w:w="3720" w:type="dxa"/>
            <w:vAlign w:val="bottom"/>
            <w:gridSpan w:val="26"/>
            <w:vMerge w:val="restart"/>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Borders>
              <w:bottom w:val="single" w:sz="8" w:color="0000FF"/>
            </w:tcBorders>
            <w:gridSpan w:val="3"/>
            <w:vMerge w:val="continue"/>
          </w:tcPr>
          <w:p>
            <w:pPr>
              <w:spacing w:after="0"/>
              <w:rPr>
                <w:sz w:val="5"/>
                <w:szCs w:val="5"/>
                <w:color w:val="auto"/>
              </w:rPr>
            </w:pPr>
          </w:p>
        </w:tc>
        <w:tc>
          <w:tcPr>
            <w:tcW w:w="372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2"/>
              </w:rPr>
              <w:t>19.</w:t>
            </w:r>
            <w:r>
              <w:rPr>
                <w:rFonts w:ascii="Times New Roman" w:cs="Times New Roman" w:eastAsia="Times New Roman" w:hAnsi="Times New Roman"/>
                <w:sz w:val="16"/>
                <w:szCs w:val="16"/>
                <w:u w:val="single" w:color="auto"/>
                <w:color w:val="0000FF"/>
                <w:w w:val="92"/>
              </w:rPr>
              <w:t>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Insider Trading Policy</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2"/>
              </w:rPr>
              <w:t>21.</w:t>
            </w:r>
            <w:r>
              <w:rPr>
                <w:rFonts w:ascii="Times New Roman" w:cs="Times New Roman" w:eastAsia="Times New Roman" w:hAnsi="Times New Roman"/>
                <w:sz w:val="16"/>
                <w:szCs w:val="16"/>
                <w:u w:val="single" w:color="auto"/>
                <w:color w:val="0000FF"/>
                <w:w w:val="92"/>
              </w:rPr>
              <w:t>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List of Subsidiaries of the Registrant.</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0000FF"/>
                <w:w w:val="99"/>
              </w:rPr>
              <w:t>22.</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List of Subsidiary Guarantors</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w w:val="99"/>
              </w:rPr>
              <w:t>Consent of PricewaterhouseCoopers LLC, independent registered public</w:t>
            </w:r>
          </w:p>
        </w:tc>
        <w:tc>
          <w:tcPr>
            <w:tcW w:w="1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780" w:type="dxa"/>
            <w:vAlign w:val="bottom"/>
            <w:gridSpan w:val="29"/>
            <w:vMerge w:val="restart"/>
          </w:tcPr>
          <w:p>
            <w:pPr>
              <w:spacing w:after="0" w:line="139" w:lineRule="exact"/>
              <w:rPr>
                <w:sz w:val="20"/>
                <w:szCs w:val="20"/>
                <w:color w:val="auto"/>
              </w:rPr>
            </w:pPr>
            <w:r>
              <w:rPr>
                <w:rFonts w:ascii="Times New Roman" w:cs="Times New Roman" w:eastAsia="Times New Roman" w:hAnsi="Times New Roman"/>
                <w:sz w:val="16"/>
                <w:szCs w:val="16"/>
                <w:color w:val="0000FF"/>
              </w:rPr>
              <w:t>accounting firm.</w:t>
            </w:r>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78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0000FF"/>
                <w:w w:val="99"/>
              </w:rPr>
              <w:t>24.</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Power of Attorney (reference is made to the signature page hereto).</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the Principal Executive Officer pursuant to Exchange Act</w:t>
            </w:r>
          </w:p>
        </w:tc>
        <w:tc>
          <w:tcPr>
            <w:tcW w:w="0" w:type="dxa"/>
            <w:vAlign w:val="bottom"/>
          </w:tcPr>
          <w:p>
            <w:pPr>
              <w:spacing w:after="0"/>
              <w:rPr>
                <w:sz w:val="1"/>
                <w:szCs w:val="1"/>
                <w:color w:val="auto"/>
              </w:rPr>
            </w:pPr>
          </w:p>
        </w:tc>
      </w:tr>
      <w:tr>
        <w:trPr>
          <w:trHeight w:val="139"/>
        </w:trPr>
        <w:tc>
          <w:tcPr>
            <w:tcW w:w="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00" w:type="dxa"/>
            <w:vAlign w:val="bottom"/>
            <w:tcBorders>
              <w:top w:val="single" w:sz="8" w:color="0000FF"/>
            </w:tcBorders>
            <w:gridSpan w:val="26"/>
          </w:tcPr>
          <w:p>
            <w:pPr>
              <w:spacing w:after="0" w:line="139" w:lineRule="exact"/>
              <w:rPr>
                <w:sz w:val="20"/>
                <w:szCs w:val="20"/>
                <w:color w:val="auto"/>
              </w:rPr>
            </w:pPr>
            <w:r>
              <w:rPr>
                <w:rFonts w:ascii="Times New Roman" w:cs="Times New Roman" w:eastAsia="Times New Roman" w:hAnsi="Times New Roman"/>
                <w:sz w:val="16"/>
                <w:szCs w:val="16"/>
                <w:color w:val="0000FF"/>
              </w:rPr>
              <w:t>Rules 13a14(a) and 15d14(a), as adopted pursuant to Section 302 of the</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7"/>
          </w:tcPr>
          <w:p>
            <w:pPr>
              <w:spacing w:after="0" w:line="139" w:lineRule="exact"/>
              <w:rPr>
                <w:sz w:val="20"/>
                <w:szCs w:val="20"/>
                <w:color w:val="auto"/>
              </w:rPr>
            </w:pPr>
            <w:r>
              <w:rPr>
                <w:rFonts w:ascii="Times New Roman" w:cs="Times New Roman" w:eastAsia="Times New Roman" w:hAnsi="Times New Roman"/>
                <w:sz w:val="16"/>
                <w:szCs w:val="16"/>
                <w:color w:val="0000FF"/>
                <w:w w:val="98"/>
              </w:rPr>
              <w:t>Sarbanes-Oxley Act of 2002.</w:t>
            </w:r>
          </w:p>
        </w:tc>
        <w:tc>
          <w:tcPr>
            <w:tcW w:w="2680" w:type="dxa"/>
            <w:vAlign w:val="bottom"/>
            <w:tcBorders>
              <w:top w:val="single" w:sz="8" w:color="0000FF"/>
            </w:tcBorders>
            <w:gridSpan w:val="14"/>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the Principal Financial Officer pursuant to Exchange Act</w:t>
            </w:r>
          </w:p>
        </w:tc>
        <w:tc>
          <w:tcPr>
            <w:tcW w:w="0" w:type="dxa"/>
            <w:vAlign w:val="bottom"/>
          </w:tcPr>
          <w:p>
            <w:pPr>
              <w:spacing w:after="0"/>
              <w:rPr>
                <w:sz w:val="1"/>
                <w:szCs w:val="1"/>
                <w:color w:val="auto"/>
              </w:rPr>
            </w:pPr>
          </w:p>
        </w:tc>
      </w:tr>
      <w:tr>
        <w:trPr>
          <w:trHeight w:val="139"/>
        </w:trPr>
        <w:tc>
          <w:tcPr>
            <w:tcW w:w="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40" w:type="dxa"/>
            <w:vAlign w:val="bottom"/>
            <w:tcBorders>
              <w:top w:val="single" w:sz="8" w:color="0000FF"/>
            </w:tcBorders>
            <w:gridSpan w:val="23"/>
          </w:tcPr>
          <w:p>
            <w:pPr>
              <w:spacing w:after="0" w:line="139" w:lineRule="exact"/>
              <w:rPr>
                <w:sz w:val="20"/>
                <w:szCs w:val="20"/>
                <w:color w:val="auto"/>
              </w:rPr>
            </w:pPr>
            <w:r>
              <w:rPr>
                <w:rFonts w:ascii="Times New Roman" w:cs="Times New Roman" w:eastAsia="Times New Roman" w:hAnsi="Times New Roman"/>
                <w:sz w:val="16"/>
                <w:szCs w:val="16"/>
                <w:color w:val="0000FF"/>
              </w:rPr>
              <w:t>Rules 13a14(a) and 15d14(a), as adopted pursuant to Section 302 of the</w:t>
            </w: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7"/>
          </w:tcPr>
          <w:p>
            <w:pPr>
              <w:spacing w:after="0" w:line="139" w:lineRule="exact"/>
              <w:rPr>
                <w:sz w:val="20"/>
                <w:szCs w:val="20"/>
                <w:color w:val="auto"/>
              </w:rPr>
            </w:pPr>
            <w:r>
              <w:rPr>
                <w:rFonts w:ascii="Times New Roman" w:cs="Times New Roman" w:eastAsia="Times New Roman" w:hAnsi="Times New Roman"/>
                <w:sz w:val="16"/>
                <w:szCs w:val="16"/>
                <w:color w:val="0000FF"/>
                <w:w w:val="98"/>
              </w:rPr>
              <w:t>Sarbanes-Oxley Act of 2002.</w:t>
            </w:r>
          </w:p>
        </w:tc>
        <w:tc>
          <w:tcPr>
            <w:tcW w:w="2680" w:type="dxa"/>
            <w:vAlign w:val="bottom"/>
            <w:tcBorders>
              <w:top w:val="single" w:sz="8" w:color="0000FF"/>
            </w:tcBorders>
            <w:gridSpan w:val="14"/>
          </w:tcPr>
          <w:p>
            <w:pPr>
              <w:spacing w:after="0"/>
              <w:rPr>
                <w:sz w:val="12"/>
                <w:szCs w:val="12"/>
                <w:color w:val="auto"/>
              </w:rPr>
            </w:pPr>
          </w:p>
        </w:tc>
        <w:tc>
          <w:tcPr>
            <w:tcW w:w="20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0" w:type="dxa"/>
            <w:vAlign w:val="bottom"/>
            <w:gridSpan w:val="3"/>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400" w:type="dxa"/>
            <w:vAlign w:val="bottom"/>
          </w:tcPr>
          <w:p>
            <w:pPr>
              <w:spacing w:after="0"/>
              <w:rPr>
                <w:sz w:val="16"/>
                <w:szCs w:val="16"/>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the Principal Executive Officer and Principal Financial</w:t>
            </w:r>
          </w:p>
        </w:tc>
        <w:tc>
          <w:tcPr>
            <w:tcW w:w="0" w:type="dxa"/>
            <w:vAlign w:val="bottom"/>
          </w:tcPr>
          <w:p>
            <w:pPr>
              <w:spacing w:after="0"/>
              <w:rPr>
                <w:sz w:val="1"/>
                <w:szCs w:val="1"/>
                <w:color w:val="auto"/>
              </w:rPr>
            </w:pPr>
          </w:p>
        </w:tc>
      </w:tr>
      <w:tr>
        <w:trPr>
          <w:trHeight w:val="20"/>
        </w:trPr>
        <w:tc>
          <w:tcPr>
            <w:tcW w:w="52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4780" w:type="dxa"/>
            <w:vAlign w:val="bottom"/>
            <w:gridSpan w:val="29"/>
          </w:tcPr>
          <w:p>
            <w:pPr>
              <w:spacing w:after="0" w:line="139" w:lineRule="exact"/>
              <w:rPr>
                <w:sz w:val="20"/>
                <w:szCs w:val="20"/>
                <w:color w:val="auto"/>
              </w:rPr>
            </w:pPr>
            <w:r>
              <w:rPr>
                <w:rFonts w:ascii="Times New Roman" w:cs="Times New Roman" w:eastAsia="Times New Roman" w:hAnsi="Times New Roman"/>
                <w:sz w:val="16"/>
                <w:szCs w:val="16"/>
                <w:color w:val="0000FF"/>
                <w:w w:val="99"/>
              </w:rPr>
              <w:t>Officer pursuant to 18 U.S.C. Section 1350, as adopted pursuant to Section</w:t>
            </w:r>
          </w:p>
        </w:tc>
        <w:tc>
          <w:tcPr>
            <w:tcW w:w="0" w:type="dxa"/>
            <w:vAlign w:val="bottom"/>
          </w:tcPr>
          <w:p>
            <w:pPr>
              <w:spacing w:after="0"/>
              <w:rPr>
                <w:sz w:val="1"/>
                <w:szCs w:val="1"/>
                <w:color w:val="auto"/>
              </w:rPr>
            </w:pPr>
          </w:p>
        </w:tc>
      </w:tr>
      <w:tr>
        <w:trPr>
          <w:trHeight w:val="139"/>
        </w:trPr>
        <w:tc>
          <w:tcPr>
            <w:tcW w:w="18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10"/>
          </w:tcPr>
          <w:p>
            <w:pPr>
              <w:spacing w:after="0" w:line="139" w:lineRule="exact"/>
              <w:rPr>
                <w:sz w:val="20"/>
                <w:szCs w:val="20"/>
                <w:color w:val="auto"/>
              </w:rPr>
            </w:pPr>
            <w:r>
              <w:rPr>
                <w:rFonts w:ascii="Times New Roman" w:cs="Times New Roman" w:eastAsia="Times New Roman" w:hAnsi="Times New Roman"/>
                <w:sz w:val="16"/>
                <w:szCs w:val="16"/>
                <w:color w:val="0000FF"/>
                <w:w w:val="98"/>
              </w:rPr>
              <w:t>906 of the Sarbanes-Oxley Act of 2002.</w:t>
            </w:r>
          </w:p>
        </w:tc>
        <w:tc>
          <w:tcPr>
            <w:tcW w:w="222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60" w:type="dxa"/>
            <w:vAlign w:val="bottom"/>
            <w:tcBorders>
              <w:bottom w:val="single" w:sz="8" w:color="0000FF"/>
            </w:tcBorders>
          </w:tcPr>
          <w:p>
            <w:pPr>
              <w:jc w:val="center"/>
              <w:spacing w:after="0"/>
              <w:rPr>
                <w:rFonts w:ascii="Times New Roman" w:cs="Times New Roman" w:eastAsia="Times New Roman" w:hAnsi="Times New Roman"/>
                <w:sz w:val="16"/>
                <w:szCs w:val="16"/>
                <w:color w:val="0000FF"/>
                <w:w w:val="92"/>
              </w:rPr>
            </w:pPr>
            <w:hyperlink r:id="rId192">
              <w:r>
                <w:rPr>
                  <w:rFonts w:ascii="Times New Roman" w:cs="Times New Roman" w:eastAsia="Times New Roman" w:hAnsi="Times New Roman"/>
                  <w:sz w:val="16"/>
                  <w:szCs w:val="16"/>
                  <w:color w:val="0000FF"/>
                  <w:w w:val="92"/>
                </w:rPr>
                <w:t>97.</w:t>
              </w:r>
              <w:r>
                <w:rPr>
                  <w:rFonts w:ascii="Times New Roman" w:cs="Times New Roman" w:eastAsia="Times New Roman" w:hAnsi="Times New Roman"/>
                  <w:sz w:val="16"/>
                  <w:szCs w:val="16"/>
                  <w:u w:val="single" w:color="auto"/>
                  <w:color w:val="0000FF"/>
                  <w:w w:val="92"/>
                </w:rPr>
                <w:t>1</w:t>
              </w:r>
            </w:hyperlink>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8"/>
              </w:rPr>
            </w:pPr>
            <w:hyperlink r:id="rId192">
              <w:r>
                <w:rPr>
                  <w:rFonts w:ascii="Times New Roman" w:cs="Times New Roman" w:eastAsia="Times New Roman" w:hAnsi="Times New Roman"/>
                  <w:sz w:val="16"/>
                  <w:szCs w:val="16"/>
                  <w:color w:val="0000FF"/>
                  <w:w w:val="98"/>
                </w:rPr>
                <w:t>Compensation Recovery Policy</w:t>
              </w:r>
            </w:hyperlink>
          </w:p>
        </w:tc>
        <w:tc>
          <w:tcPr>
            <w:tcW w:w="276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w w:val="96"/>
              </w:rPr>
              <w:t>101.INS</w:t>
            </w: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212"/>
        </w:trPr>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101.SCH</w:t>
            </w: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12"/>
        </w:trPr>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w w:val="99"/>
              </w:rPr>
              <w:t>101.CAL</w:t>
            </w: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2"/>
        </w:trPr>
        <w:tc>
          <w:tcPr>
            <w:tcW w:w="9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w w:val="99"/>
              </w:rPr>
              <w:t>101.DEF</w:t>
            </w: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12"/>
        </w:trPr>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w w:val="99"/>
              </w:rPr>
              <w:t>101.LAB</w:t>
            </w: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2"/>
        </w:trPr>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w w:val="97"/>
              </w:rPr>
              <w:t>101.PRE</w:t>
            </w:r>
          </w:p>
        </w:tc>
        <w:tc>
          <w:tcPr>
            <w:tcW w:w="478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10-K</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March 16, 2022</w:t>
            </w:r>
          </w:p>
        </w:tc>
      </w:tr>
      <w:tr>
        <w:trPr>
          <w:trHeight w:val="530"/>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10-K</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March 16, 2022</w:t>
            </w:r>
          </w:p>
        </w:tc>
      </w:tr>
      <w:tr>
        <w:trPr>
          <w:trHeight w:val="609"/>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September 1, 2021</w:t>
            </w:r>
          </w:p>
        </w:tc>
      </w:tr>
      <w:tr>
        <w:trPr>
          <w:trHeight w:val="464"/>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September 1, 2021</w:t>
            </w:r>
          </w:p>
        </w:tc>
      </w:tr>
      <w:tr>
        <w:trPr>
          <w:trHeight w:val="430"/>
        </w:trPr>
        <w:tc>
          <w:tcPr>
            <w:tcW w:w="560" w:type="dxa"/>
            <w:vAlign w:val="bottom"/>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January 14, 2022</w:t>
            </w:r>
          </w:p>
        </w:tc>
      </w:tr>
      <w:tr>
        <w:trPr>
          <w:trHeight w:val="392"/>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June 4, 2021</w:t>
            </w:r>
          </w:p>
        </w:tc>
      </w:tr>
      <w:tr>
        <w:trPr>
          <w:trHeight w:val="398"/>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10-K</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March 9, 2023</w:t>
            </w:r>
          </w:p>
        </w:tc>
      </w:tr>
      <w:tr>
        <w:trPr>
          <w:trHeight w:val="371"/>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10-K</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March 7, 2024</w:t>
            </w:r>
          </w:p>
        </w:tc>
      </w:tr>
      <w:tr>
        <w:trPr>
          <w:trHeight w:val="292"/>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10-K</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10.21</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March 7, 2024</w:t>
            </w:r>
          </w:p>
        </w:tc>
      </w:tr>
      <w:tr>
        <w:trPr>
          <w:trHeight w:val="292"/>
        </w:trPr>
        <w:tc>
          <w:tcPr>
            <w:tcW w:w="560" w:type="dxa"/>
            <w:vAlign w:val="bottom"/>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001-38933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June 5, 2024</w:t>
            </w:r>
          </w:p>
        </w:tc>
      </w:tr>
    </w:tbl>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187" w:lineRule="exact"/>
        <w:rPr>
          <w:sz w:val="20"/>
          <w:szCs w:val="20"/>
          <w:color w:val="auto"/>
        </w:rPr>
      </w:pPr>
    </w:p>
    <w:p>
      <w:pPr>
        <w:spacing w:after="0"/>
        <w:tabs>
          <w:tab w:leader="none" w:pos="780" w:val="left"/>
          <w:tab w:leader="none" w:pos="1980" w:val="left"/>
          <w:tab w:leader="none" w:pos="288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001-38933</w:t>
      </w:r>
      <w:r>
        <w:rPr>
          <w:sz w:val="20"/>
          <w:szCs w:val="20"/>
          <w:color w:val="auto"/>
        </w:rPr>
        <w:tab/>
      </w:r>
      <w:r>
        <w:rPr>
          <w:rFonts w:ascii="Times New Roman" w:cs="Times New Roman" w:eastAsia="Times New Roman" w:hAnsi="Times New Roman"/>
          <w:sz w:val="16"/>
          <w:szCs w:val="16"/>
          <w:color w:val="auto"/>
        </w:rPr>
        <w:t>97.1</w:t>
      </w:r>
      <w:r>
        <w:rPr>
          <w:sz w:val="20"/>
          <w:szCs w:val="20"/>
          <w:color w:val="auto"/>
        </w:rPr>
        <w:tab/>
      </w:r>
      <w:r>
        <w:rPr>
          <w:rFonts w:ascii="Times New Roman" w:cs="Times New Roman" w:eastAsia="Times New Roman" w:hAnsi="Times New Roman"/>
          <w:sz w:val="15"/>
          <w:szCs w:val="15"/>
          <w:color w:val="auto"/>
        </w:rPr>
        <w:t>March 7, 2024</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X</w:t>
      </w:r>
    </w:p>
    <w:p>
      <w:pPr>
        <w:spacing w:after="0" w:line="223" w:lineRule="exact"/>
        <w:rPr>
          <w:sz w:val="20"/>
          <w:szCs w:val="20"/>
          <w:color w:val="auto"/>
        </w:rPr>
      </w:pPr>
    </w:p>
    <w:p>
      <w:pPr>
        <w:sectPr>
          <w:pgSz w:w="11900" w:h="16838" w:orient="portrait"/>
          <w:cols w:equalWidth="0" w:num="2">
            <w:col w:w="5900" w:space="240"/>
            <w:col w:w="4680"/>
          </w:cols>
          <w:pgMar w:left="320" w:top="121" w:right="7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8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91"/>
              </w:rPr>
              <w:t>104</w:t>
            </w:r>
          </w:p>
        </w:tc>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Cover Page Interactive Data File – the cover page XBRL tags are</w:t>
            </w:r>
          </w:p>
        </w:tc>
        <w:tc>
          <w:tcPr>
            <w:tcW w:w="2820" w:type="dxa"/>
            <w:vAlign w:val="bottom"/>
            <w:vMerge w:val="restart"/>
          </w:tcPr>
          <w:p>
            <w:pPr>
              <w:ind w:left="270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28"/>
        </w:trPr>
        <w:tc>
          <w:tcPr>
            <w:tcW w:w="480" w:type="dxa"/>
            <w:vAlign w:val="bottom"/>
            <w:vMerge w:val="continue"/>
          </w:tcPr>
          <w:p>
            <w:pPr>
              <w:spacing w:after="0"/>
              <w:rPr>
                <w:sz w:val="11"/>
                <w:szCs w:val="11"/>
                <w:color w:val="auto"/>
              </w:rPr>
            </w:pPr>
          </w:p>
        </w:tc>
        <w:tc>
          <w:tcPr>
            <w:tcW w:w="71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embedded within the Inline Instance XBRL document</w:t>
            </w:r>
          </w:p>
        </w:tc>
        <w:tc>
          <w:tcPr>
            <w:tcW w:w="2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80" w:type="dxa"/>
            <w:vAlign w:val="bottom"/>
          </w:tcPr>
          <w:p>
            <w:pPr>
              <w:spacing w:after="0"/>
              <w:rPr>
                <w:sz w:val="6"/>
                <w:szCs w:val="6"/>
                <w:color w:val="auto"/>
              </w:rPr>
            </w:pPr>
          </w:p>
        </w:tc>
        <w:tc>
          <w:tcPr>
            <w:tcW w:w="7120" w:type="dxa"/>
            <w:vAlign w:val="bottom"/>
            <w:vMerge w:val="continue"/>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3" w:lineRule="exact"/>
        <w:rPr>
          <w:sz w:val="20"/>
          <w:szCs w:val="20"/>
          <w:color w:val="auto"/>
        </w:rPr>
      </w:pPr>
    </w:p>
    <w:p>
      <w:pPr>
        <w:ind w:left="400" w:hanging="394"/>
        <w:spacing w:after="0"/>
        <w:tabs>
          <w:tab w:leader="none" w:pos="4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 contract or agreement.</w:t>
      </w:r>
    </w:p>
    <w:p>
      <w:pPr>
        <w:spacing w:after="0" w:line="214" w:lineRule="exact"/>
        <w:rPr>
          <w:sz w:val="20"/>
          <w:szCs w:val="20"/>
          <w:color w:val="auto"/>
        </w:rPr>
      </w:pPr>
    </w:p>
    <w:p>
      <w:pPr>
        <w:ind w:left="400" w:hanging="394"/>
        <w:spacing w:after="0" w:line="272" w:lineRule="auto"/>
        <w:tabs>
          <w:tab w:leader="none" w:pos="4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SIGNATURES</w:t>
      </w:r>
    </w:p>
    <w:p>
      <w:pPr>
        <w:spacing w:after="0" w:line="217"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 on the day of March 10,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126" w:lineRule="exact"/>
        <w:rPr>
          <w:sz w:val="20"/>
          <w:szCs w:val="20"/>
          <w:color w:val="auto"/>
        </w:rPr>
      </w:pPr>
    </w:p>
    <w:p>
      <w:pPr>
        <w:ind w:left="568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2766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George Kurtz</w:t>
      </w:r>
    </w:p>
    <w:p>
      <w:pPr>
        <w:ind w:left="6200"/>
        <w:spacing w:after="0" w:line="227" w:lineRule="auto"/>
        <w:rPr>
          <w:sz w:val="20"/>
          <w:szCs w:val="20"/>
          <w:color w:val="auto"/>
        </w:rPr>
      </w:pPr>
      <w:r>
        <w:rPr>
          <w:rFonts w:ascii="Times New Roman" w:cs="Times New Roman" w:eastAsia="Times New Roman" w:hAnsi="Times New Roman"/>
          <w:sz w:val="17"/>
          <w:szCs w:val="17"/>
          <w:i w:val="1"/>
          <w:iCs w:val="1"/>
          <w:color w:val="auto"/>
        </w:rPr>
        <w:t>President, Chief Executive Officer and Director (Principal Executive</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9"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KNOW ALL THESE PERSONS BY THESE PRESENTS, that each person whose signature appears below constitutes and appoints George Kurtz and Burt W. Podbere,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187" w:lineRule="exact"/>
        <w:rPr>
          <w:sz w:val="20"/>
          <w:szCs w:val="20"/>
          <w:color w:val="auto"/>
        </w:rPr>
      </w:pPr>
    </w:p>
    <w:p>
      <w:pPr>
        <w:ind w:right="78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320" w:top="121" w:right="239" w:bottom="1440" w:gutter="0" w:footer="0" w:header="0"/>
        </w:sectPr>
      </w:pPr>
    </w:p>
    <w:p>
      <w:pPr>
        <w:spacing w:after="0" w:line="20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23495</wp:posOffset>
            </wp:positionV>
            <wp:extent cx="27679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27679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George Kurtz</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27679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Burt W. Podbere</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27679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Anurag Saha</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Gerhard Watzinger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27679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Gerhard Watzinger</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Cary J.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27679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Cary J. Davis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Denis J.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27679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Denis J. O’Leary</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Godfrey R.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27679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Godfrey R. Sullivan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Johanna Flower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27679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Johanna Flower</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Laura J.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27679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Laura J. Schumacher</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27679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Roxanne S. Austin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Sameer K. Gandhi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27679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Sameer K. Gandhi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3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 Executive</w:t>
            </w:r>
          </w:p>
        </w:tc>
        <w:tc>
          <w:tcPr>
            <w:tcW w:w="1300" w:type="dxa"/>
            <w:vAlign w:val="bottom"/>
          </w:tcPr>
          <w:p>
            <w:pPr>
              <w:spacing w:after="0"/>
              <w:rPr>
                <w:sz w:val="24"/>
                <w:szCs w:val="24"/>
                <w:color w:val="auto"/>
              </w:rPr>
            </w:pPr>
          </w:p>
        </w:tc>
      </w:tr>
      <w:tr>
        <w:trPr>
          <w:trHeight w:val="23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2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2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2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2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8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702"/>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4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4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4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r>
        <w:trPr>
          <w:trHeight w:val="63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2025</w:t>
            </w:r>
          </w:p>
        </w:tc>
      </w:tr>
    </w:tbl>
    <w:p>
      <w:pPr>
        <w:spacing w:after="0" w:line="414" w:lineRule="exact"/>
        <w:rPr>
          <w:sz w:val="20"/>
          <w:szCs w:val="20"/>
          <w:color w:val="auto"/>
        </w:rPr>
      </w:pPr>
    </w:p>
    <w:p>
      <w:pPr>
        <w:sectPr>
          <w:pgSz w:w="11900" w:h="16838" w:orient="portrait"/>
          <w:cols w:equalWidth="0" w:num="2">
            <w:col w:w="4060" w:space="720"/>
            <w:col w:w="6560"/>
          </w:cols>
          <w:pgMar w:left="320" w:top="121"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1340"/>
          </w:cols>
          <w:pgMar w:left="320" w:top="121" w:right="2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4.4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description of the terms of our capital stock is not complete and is qualified in its entirety by reference to our amended and restated certificate of incorporation (together with the Certificate of Retirement filed with respect to our Class B common stock on December 13, 2024, the “Certificate of Incorporation”) and our amended and restated bylaws (the “Bylaws”), each previously filed with the Securities and Exchange Commission (“SEC”) and incorporated by reference as an exhibit to the Annual Report on Form 10-K of which this Exhibit 4.4 is a part, as well as to the applicable provisions of the Delaware General Corporation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1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Our Certificate of Incorporation authorizes us to issue up to 2,000,000,000 shares of Class A common stock, up to 92,363,616 shares of Class B common stock, and up to 100,000,000 shares of preferred stock with such rights and preferences as may be determined by our board of directors.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Class A common stock, par value $0.0005 per share, is listed on the Nasdaq Global Select market, under the symbol “CRWD” and began trading on June 12, 2019. Prior to that date, there was no public trading market for our Class A common stock. There is no public trading market for our Class B common stock, par value $0.0005 per share.</w:t>
      </w:r>
    </w:p>
    <w:p>
      <w:pPr>
        <w:spacing w:after="0" w:line="6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There is no preferred stock or Class B common stock outstanding. We sometimes refer to our Class A common stock as our “common stock” in this Exhibit 4.4.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Rights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1" w:lineRule="exact"/>
        <w:rPr>
          <w:sz w:val="20"/>
          <w:szCs w:val="20"/>
          <w:color w:val="auto"/>
        </w:rPr>
      </w:pPr>
    </w:p>
    <w:p>
      <w:pPr>
        <w:ind w:right="180" w:firstLine="636"/>
        <w:spacing w:after="0" w:line="260" w:lineRule="auto"/>
        <w:rPr>
          <w:sz w:val="20"/>
          <w:szCs w:val="20"/>
          <w:color w:val="auto"/>
        </w:rPr>
      </w:pPr>
      <w:r>
        <w:rPr>
          <w:rFonts w:ascii="Arial" w:cs="Arial" w:eastAsia="Arial" w:hAnsi="Arial"/>
          <w:sz w:val="18"/>
          <w:szCs w:val="18"/>
          <w:color w:val="auto"/>
        </w:rPr>
        <w:t>We have never declared or paid any dividends on our capital stock. Subject to preferences that may be applicable to any preferred stock outstanding at the time, the holders of outstanding shares of common stock are entitled to receive ratably any dividends declared by our board of directors out of assets legally available.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1" w:lineRule="exact"/>
        <w:rPr>
          <w:sz w:val="20"/>
          <w:szCs w:val="20"/>
          <w:color w:val="auto"/>
        </w:rPr>
      </w:pPr>
    </w:p>
    <w:p>
      <w:pPr>
        <w:ind w:right="100" w:firstLine="636"/>
        <w:spacing w:after="0" w:line="274" w:lineRule="auto"/>
        <w:rPr>
          <w:sz w:val="20"/>
          <w:szCs w:val="20"/>
          <w:color w:val="auto"/>
        </w:rPr>
      </w:pPr>
      <w:r>
        <w:rPr>
          <w:rFonts w:ascii="Arial" w:cs="Arial" w:eastAsia="Arial" w:hAnsi="Arial"/>
          <w:sz w:val="18"/>
          <w:szCs w:val="18"/>
          <w:color w:val="auto"/>
        </w:rPr>
        <w:t>Shares of our common stock are entitled to one vote per share. The holders of our common stock vote together as a single class on all matters submitted to a vote of our stockholders.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1" w:lineRule="exact"/>
        <w:rPr>
          <w:sz w:val="20"/>
          <w:szCs w:val="20"/>
          <w:color w:val="auto"/>
        </w:rPr>
      </w:pPr>
    </w:p>
    <w:p>
      <w:pPr>
        <w:ind w:right="200" w:firstLine="636"/>
        <w:spacing w:after="0" w:line="260" w:lineRule="auto"/>
        <w:rPr>
          <w:sz w:val="20"/>
          <w:szCs w:val="20"/>
          <w:color w:val="auto"/>
        </w:rPr>
      </w:pPr>
      <w:r>
        <w:rPr>
          <w:rFonts w:ascii="Arial" w:cs="Arial" w:eastAsia="Arial" w:hAnsi="Arial"/>
          <w:sz w:val="18"/>
          <w:szCs w:val="18"/>
          <w:color w:val="auto"/>
        </w:rPr>
        <w:t>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1" w:lineRule="exact"/>
        <w:rPr>
          <w:sz w:val="20"/>
          <w:szCs w:val="20"/>
          <w:color w:val="auto"/>
        </w:rPr>
      </w:pPr>
    </w:p>
    <w:p>
      <w:pPr>
        <w:ind w:right="720" w:firstLine="636"/>
        <w:spacing w:after="0" w:line="274" w:lineRule="auto"/>
        <w:rPr>
          <w:sz w:val="20"/>
          <w:szCs w:val="20"/>
          <w:color w:val="auto"/>
        </w:rPr>
      </w:pPr>
      <w:r>
        <w:rPr>
          <w:rFonts w:ascii="Arial" w:cs="Arial" w:eastAsia="Arial" w:hAnsi="Arial"/>
          <w:sz w:val="18"/>
          <w:szCs w:val="18"/>
          <w:color w:val="auto"/>
        </w:rPr>
        <w:t>Our common stock is not entitled to preemptive rights, and there are no redemption or sinking fund provisions applicable to the common stock.</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our common stock have no 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93"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113"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color w:val="auto"/>
        </w:rPr>
        <w:t>Pursuant to our Certificate of Incorporation, our board of directors has the authority, without further action by the stockholders, to issue from time to time up to 100,000,000 shares of preferred stock in one or more series. Our board of directors may designate the rights, preferences, privileges and restrictions of the preferred stock, including dividend rights, conversion rights, voting rights, redemption rights, liquidation preference, sinking fund terms, and the number of shares constituting any series or the designation of any series. The issuance of preferred stock could have the effect of restricting dividends on the common stock, diluting the voting power of the common stock, impairing the liquidation rights of the common stock or delaying, deterring, or preventing a change in control. Such issuance could have the effect of decreasing the market price of the common stock. We currently have no plans to issue any shares of preferred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Anti-Takeover Provisions of our Certificate of Incorporation, Bylaws, and Delaware Law</w:t>
      </w:r>
    </w:p>
    <w:p>
      <w:pPr>
        <w:spacing w:after="0" w:line="219"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Our Certificate of Incorporation and Bylaws contain provisions that could have the effect of delaying, deferring or discouraging another party from acquiring control of us. These provisions and certain provisions of Delaware law, which are summarized below, could discourage takeovers, coercive or otherwise. These provisions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w:t>
      </w:r>
    </w:p>
    <w:p>
      <w:pPr>
        <w:spacing w:after="0" w:line="181"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As discussed above in the section titled “Preferred Stock,” our board of directors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designate and issue preferred stock with voting or other rights or preferences that could deter hostile takeovers or delay changes in our control or management.</w:t>
      </w:r>
    </w:p>
    <w:p>
      <w:pPr>
        <w:spacing w:after="0" w:line="175" w:lineRule="exact"/>
        <w:rPr>
          <w:sz w:val="20"/>
          <w:szCs w:val="20"/>
          <w:color w:val="auto"/>
        </w:rPr>
      </w:pPr>
    </w:p>
    <w:p>
      <w:pPr>
        <w:jc w:val="both"/>
        <w:ind w:right="120" w:firstLine="636"/>
        <w:spacing w:after="0" w:line="255" w:lineRule="auto"/>
        <w:rPr>
          <w:sz w:val="20"/>
          <w:szCs w:val="20"/>
          <w:color w:val="auto"/>
        </w:rPr>
      </w:pPr>
      <w:r>
        <w:rPr>
          <w:rFonts w:ascii="Arial" w:cs="Arial" w:eastAsia="Arial" w:hAnsi="Arial"/>
          <w:sz w:val="18"/>
          <w:szCs w:val="18"/>
          <w:i w:val="1"/>
          <w:iCs w:val="1"/>
          <w:color w:val="auto"/>
        </w:rPr>
        <w:t xml:space="preserve">Limits on Ability of Stockholders to Act by Written Consent or Call a Special Meeting. </w:t>
      </w:r>
      <w:r>
        <w:rPr>
          <w:rFonts w:ascii="Arial" w:cs="Arial" w:eastAsia="Arial" w:hAnsi="Arial"/>
          <w:sz w:val="18"/>
          <w:szCs w:val="18"/>
          <w:color w:val="auto"/>
        </w:rPr>
        <w:t>Our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act by written consent. This limit on the ability of stockholders to act by written consent may lengthen the amount of time required to take stockholder actions. As a result, the holders two-thirds of our outstanding capital stock would not be able to amend the Bylaws or remove directors without holding a meeting of stockholders called in accordance with the Bylaws.</w:t>
      </w:r>
    </w:p>
    <w:p>
      <w:pPr>
        <w:spacing w:after="0" w:line="180" w:lineRule="exact"/>
        <w:rPr>
          <w:sz w:val="20"/>
          <w:szCs w:val="20"/>
          <w:color w:val="auto"/>
        </w:rPr>
      </w:pPr>
    </w:p>
    <w:p>
      <w:pPr>
        <w:ind w:right="140" w:firstLine="636"/>
        <w:spacing w:after="0" w:line="255" w:lineRule="auto"/>
        <w:rPr>
          <w:sz w:val="20"/>
          <w:szCs w:val="20"/>
          <w:color w:val="auto"/>
        </w:rPr>
      </w:pPr>
      <w:r>
        <w:rPr>
          <w:rFonts w:ascii="Arial" w:cs="Arial" w:eastAsia="Arial" w:hAnsi="Arial"/>
          <w:sz w:val="18"/>
          <w:szCs w:val="18"/>
          <w:color w:val="auto"/>
        </w:rPr>
        <w:t>In addition, our Certificate of Incorporation provides that special meetings of the stockholders may be called only by the chairman of the board, the chief executive officer, or our board of directors acting pursuant to a resolution adopted by a majority of the board of directors. A stockholder may not call a special meeting, which may delay the ability of our stockholders to force consideration of a proposal or for holders controlling a majority of our capital stock to take any action, including the removal of directors.</w:t>
      </w:r>
    </w:p>
    <w:p>
      <w:pPr>
        <w:spacing w:after="0" w:line="180" w:lineRule="exact"/>
        <w:rPr>
          <w:sz w:val="20"/>
          <w:szCs w:val="20"/>
          <w:color w:val="auto"/>
        </w:rPr>
      </w:pPr>
    </w:p>
    <w:p>
      <w:pPr>
        <w:ind w:right="40" w:firstLine="636"/>
        <w:spacing w:after="0" w:line="271" w:lineRule="auto"/>
        <w:rPr>
          <w:sz w:val="20"/>
          <w:szCs w:val="20"/>
          <w:color w:val="auto"/>
        </w:rPr>
      </w:pPr>
      <w:r>
        <w:rPr>
          <w:rFonts w:ascii="Arial" w:cs="Arial" w:eastAsia="Arial" w:hAnsi="Arial"/>
          <w:sz w:val="17"/>
          <w:szCs w:val="17"/>
          <w:i w:val="1"/>
          <w:iCs w:val="1"/>
          <w:color w:val="auto"/>
        </w:rPr>
        <w:t xml:space="preserve">Advance Requirements for Advance Notification of Stockholder Nominations and Proposals. </w:t>
      </w:r>
      <w:r>
        <w:rPr>
          <w:rFonts w:ascii="Arial" w:cs="Arial" w:eastAsia="Arial" w:hAnsi="Arial"/>
          <w:sz w:val="17"/>
          <w:szCs w:val="17"/>
          <w:color w:val="auto"/>
        </w:rPr>
        <w:t>Our Bylaws establish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with respect to stockholder proposals and the nomination of candidates for election as directors, other than nominations made by or at the direction of our board of directors or a committee of the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w:t>
      </w:r>
    </w:p>
    <w:p>
      <w:pPr>
        <w:spacing w:after="0" w:line="62" w:lineRule="exact"/>
        <w:rPr>
          <w:sz w:val="20"/>
          <w:szCs w:val="20"/>
          <w:color w:val="auto"/>
        </w:rPr>
      </w:pPr>
    </w:p>
    <w:p>
      <w:pPr>
        <w:ind w:right="280" w:firstLine="636"/>
        <w:spacing w:after="0" w:line="255" w:lineRule="auto"/>
        <w:rPr>
          <w:sz w:val="20"/>
          <w:szCs w:val="20"/>
          <w:color w:val="auto"/>
        </w:rPr>
      </w:pPr>
      <w:r>
        <w:rPr>
          <w:rFonts w:ascii="Arial" w:cs="Arial" w:eastAsia="Arial" w:hAnsi="Arial"/>
          <w:sz w:val="18"/>
          <w:szCs w:val="18"/>
          <w:i w:val="1"/>
          <w:iCs w:val="1"/>
          <w:color w:val="auto"/>
        </w:rPr>
        <w:t xml:space="preserve">Board Classification. </w:t>
      </w:r>
      <w:r>
        <w:rPr>
          <w:rFonts w:ascii="Arial" w:cs="Arial" w:eastAsia="Arial" w:hAnsi="Arial"/>
          <w:sz w:val="18"/>
          <w:szCs w:val="18"/>
          <w:color w:val="auto"/>
        </w:rPr>
        <w:t>Our Certificate of Incorporation provides that our board of directors is divided into three classes, one class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elected each year by our stockholders. The directors in each class serve for a three-year term. Our classified board of directors may tend to discourage a third party from making a tender offer or otherwise attempting to obtain control of us because it generally makes it more difficult for stockholders to replace a majority of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3" w:right="339" w:bottom="1440" w:gutter="0" w:footer="0" w:header="0"/>
        </w:sectPr>
      </w:pPr>
    </w:p>
    <w:bookmarkStart w:id="127" w:name="page128"/>
    <w:bookmarkEnd w:id="127"/>
    <w:p>
      <w:pPr>
        <w:spacing w:after="0" w:line="194" w:lineRule="exact"/>
        <w:rPr>
          <w:sz w:val="20"/>
          <w:szCs w:val="20"/>
          <w:color w:val="auto"/>
        </w:rPr>
      </w:pPr>
    </w:p>
    <w:p>
      <w:pPr>
        <w:ind w:right="40" w:firstLine="636"/>
        <w:spacing w:after="0" w:line="271" w:lineRule="auto"/>
        <w:rPr>
          <w:sz w:val="20"/>
          <w:szCs w:val="20"/>
          <w:color w:val="auto"/>
        </w:rPr>
      </w:pPr>
      <w:r>
        <w:rPr>
          <w:rFonts w:ascii="Arial" w:cs="Arial" w:eastAsia="Arial" w:hAnsi="Arial"/>
          <w:sz w:val="17"/>
          <w:szCs w:val="17"/>
          <w:i w:val="1"/>
          <w:iCs w:val="1"/>
          <w:color w:val="auto"/>
        </w:rPr>
        <w:t xml:space="preserve">Election and Removal of Directors. </w:t>
      </w:r>
      <w:r>
        <w:rPr>
          <w:rFonts w:ascii="Arial" w:cs="Arial" w:eastAsia="Arial" w:hAnsi="Arial"/>
          <w:sz w:val="17"/>
          <w:szCs w:val="17"/>
          <w:color w:val="auto"/>
        </w:rPr>
        <w:t>Our Certificate of Incorporation and Bylaws contain provisions that establish specific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appointing and removing members of our board of directors. Under our Certificate of Incorporation and Bylaws, vacancies and newly created directorships on our board of directors may be filled only by a majority of the directors then serving on the board of directors. Under our Certificate of Incorporation and Bylaws, directors may be removed only for cause by the affirmative vote of the holders of a majority of the total voting power of all outstanding securities of the Company generally entitled to vote in the election of directors, voting together as a single class.</w:t>
      </w:r>
    </w:p>
    <w:p>
      <w:pPr>
        <w:spacing w:after="0" w:line="195"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The Delaware General Corporation Law provides that stockholders are not entitled to the right to cumulate votes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election of directors unless our Certificate of Incorporation provides otherwise. Our Certificate of Incorporation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95"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i w:val="1"/>
          <w:iCs w:val="1"/>
          <w:color w:val="auto"/>
        </w:rPr>
        <w:t xml:space="preserve">Amendments to the Certificate of Incorporation and Bylaws. </w:t>
      </w:r>
      <w:r>
        <w:rPr>
          <w:rFonts w:ascii="Arial" w:cs="Arial" w:eastAsia="Arial" w:hAnsi="Arial"/>
          <w:sz w:val="18"/>
          <w:szCs w:val="18"/>
          <w:color w:val="auto"/>
        </w:rPr>
        <w:t>The affirmative vote of at least two-thirds of the voting power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stock of the Company entitled to vote generally in the election of directors, voting together as a single class, is required to adopt, amend or repeal our Bylaws and certain provisions of our Certificate of Incorporation.</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Delaware Anti-Takeover Statute. </w:t>
      </w:r>
      <w:r>
        <w:rPr>
          <w:rFonts w:ascii="Arial" w:cs="Arial" w:eastAsia="Arial" w:hAnsi="Arial"/>
          <w:sz w:val="18"/>
          <w:szCs w:val="18"/>
          <w:color w:val="auto"/>
        </w:rPr>
        <w:t>We are subject to the provisions of Section 203 of the</w:t>
      </w:r>
    </w:p>
    <w:p>
      <w:pPr>
        <w:spacing w:after="0" w:line="21"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Delaware General Corporation Law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19" w:lineRule="exact"/>
        <w:rPr>
          <w:sz w:val="20"/>
          <w:szCs w:val="20"/>
          <w:color w:val="auto"/>
        </w:rPr>
      </w:pPr>
    </w:p>
    <w:p>
      <w:pPr>
        <w:ind w:left="1280" w:right="440" w:hanging="320"/>
        <w:spacing w:after="0" w:line="237" w:lineRule="auto"/>
        <w:tabs>
          <w:tab w:leader="none" w:pos="1275" w:val="left"/>
        </w:tabs>
        <w:numPr>
          <w:ilvl w:val="0"/>
          <w:numId w:val="63"/>
        </w:numPr>
        <w:rPr>
          <w:rFonts w:ascii="Times New Roman" w:cs="Times New Roman" w:eastAsia="Times New Roman" w:hAnsi="Times New Roman"/>
          <w:sz w:val="21"/>
          <w:szCs w:val="21"/>
          <w:color w:val="auto"/>
        </w:rPr>
      </w:pPr>
      <w:r>
        <w:rPr>
          <w:rFonts w:ascii="Arial" w:cs="Arial" w:eastAsia="Arial" w:hAnsi="Arial"/>
          <w:sz w:val="18"/>
          <w:szCs w:val="18"/>
          <w:color w:val="auto"/>
        </w:rPr>
        <w:t>prior to the date of the transaction, our board of directors approved either the business combination or the transaction that resulted in the stockholder becoming an interested stockholder;</w:t>
      </w:r>
    </w:p>
    <w:p>
      <w:pPr>
        <w:spacing w:after="0" w:line="259" w:lineRule="exact"/>
        <w:rPr>
          <w:rFonts w:ascii="Times New Roman" w:cs="Times New Roman" w:eastAsia="Times New Roman" w:hAnsi="Times New Roman"/>
          <w:sz w:val="21"/>
          <w:szCs w:val="21"/>
          <w:color w:val="auto"/>
        </w:rPr>
      </w:pPr>
    </w:p>
    <w:p>
      <w:pPr>
        <w:ind w:left="1280" w:right="80" w:hanging="320"/>
        <w:spacing w:after="0" w:line="243" w:lineRule="auto"/>
        <w:tabs>
          <w:tab w:leader="none" w:pos="1275" w:val="left"/>
        </w:tabs>
        <w:numPr>
          <w:ilvl w:val="0"/>
          <w:numId w:val="63"/>
        </w:numPr>
        <w:rPr>
          <w:rFonts w:ascii="Times New Roman" w:cs="Times New Roman" w:eastAsia="Times New Roman" w:hAnsi="Times New Roman"/>
          <w:sz w:val="21"/>
          <w:szCs w:val="21"/>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257" w:lineRule="exact"/>
        <w:rPr>
          <w:rFonts w:ascii="Times New Roman" w:cs="Times New Roman" w:eastAsia="Times New Roman" w:hAnsi="Times New Roman"/>
          <w:sz w:val="21"/>
          <w:szCs w:val="21"/>
          <w:color w:val="auto"/>
        </w:rPr>
      </w:pPr>
    </w:p>
    <w:p>
      <w:pPr>
        <w:jc w:val="both"/>
        <w:ind w:left="1280" w:right="100" w:hanging="320"/>
        <w:spacing w:after="0" w:line="247" w:lineRule="auto"/>
        <w:tabs>
          <w:tab w:leader="none" w:pos="1275" w:val="left"/>
        </w:tabs>
        <w:numPr>
          <w:ilvl w:val="0"/>
          <w:numId w:val="63"/>
        </w:numPr>
        <w:rPr>
          <w:rFonts w:ascii="Times New Roman" w:cs="Times New Roman" w:eastAsia="Times New Roman" w:hAnsi="Times New Roman"/>
          <w:sz w:val="21"/>
          <w:szCs w:val="21"/>
          <w:color w:val="auto"/>
        </w:rPr>
      </w:pPr>
      <w:r>
        <w:rPr>
          <w:rFonts w:ascii="Arial" w:cs="Arial" w:eastAsia="Arial" w:hAnsi="Arial"/>
          <w:sz w:val="18"/>
          <w:szCs w:val="18"/>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that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40" w:right="379" w:bottom="1440" w:gutter="0" w:footer="0" w:header="0"/>
        </w:sectPr>
      </w:pPr>
    </w:p>
    <w:bookmarkStart w:id="128" w:name="page129"/>
    <w:bookmarkEnd w:id="128"/>
    <w:p>
      <w:pPr>
        <w:ind w:right="60"/>
        <w:spacing w:after="0" w:line="251"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existence of this provision could have an anti-takeover effect with respect to transactions our board of directors does not approve in advance. We also anticipate that Section 203 may discourage attempts that might result in a premium over the market price for the shares of common stock held by stockholders.</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provisions of Delaware law and the provisions of our Certificate of Incorporation and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also possible that these provisions could make it more difficult to accomplish transactions that stockholders might otherwise deem to be in their best interests.</w:t>
      </w:r>
    </w:p>
    <w:p>
      <w:pPr>
        <w:spacing w:after="0" w:line="208" w:lineRule="exact"/>
        <w:rPr>
          <w:sz w:val="20"/>
          <w:szCs w:val="20"/>
          <w:color w:val="auto"/>
        </w:rPr>
      </w:pPr>
    </w:p>
    <w:p>
      <w:pPr>
        <w:ind w:firstLine="636"/>
        <w:spacing w:after="0" w:line="264" w:lineRule="auto"/>
        <w:rPr>
          <w:sz w:val="20"/>
          <w:szCs w:val="20"/>
          <w:color w:val="auto"/>
        </w:rPr>
      </w:pPr>
      <w:r>
        <w:rPr>
          <w:rFonts w:ascii="Arial" w:cs="Arial" w:eastAsia="Arial" w:hAnsi="Arial"/>
          <w:sz w:val="17"/>
          <w:szCs w:val="17"/>
          <w:i w:val="1"/>
          <w:iCs w:val="1"/>
          <w:color w:val="auto"/>
        </w:rPr>
        <w:t>Exclusive Forum</w:t>
      </w:r>
      <w:r>
        <w:rPr>
          <w:rFonts w:ascii="Arial" w:cs="Arial" w:eastAsia="Arial" w:hAnsi="Arial"/>
          <w:sz w:val="17"/>
          <w:szCs w:val="17"/>
          <w:color w:val="auto"/>
        </w:rPr>
        <w:t>. Our Bylaws provide that, unless we consent in writing to the selection of an alternative forum, the sole and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the company arising pursuant to any provision of the Delaware General Corporation Law, (4) any action to interpret, apply, enforce, or determine the validity of our Certificate of Incorporation or Bylaws, or (5) any other action asserting a claim that is governed by the internal affairs doctrine shall be a state or federal court located within the State of Delaware, in all cases subject to the court’s having jurisdiction over indispensable parties named as defendants. However, this exclusive forum provision does not apply to suits brought to enforce a duty or liability created by the Exchange Act. In addition, our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Any person or entity purchasing or otherwise acquiring any interest in our shares of capital stock shall be deemed to have notice of and consented to these provisions. Although we believe these provisions benefit us by providing increased consistency in the application of Delaware law or federal law for the specified types of actions and proceedings, these provisions may have the effect of discouraging lawsuits against us or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Agent and Registrar</w:t>
      </w:r>
    </w:p>
    <w:p>
      <w:pPr>
        <w:spacing w:after="0" w:line="246"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New York 11219, and its telephone number is (800) 937-5449.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395" w:right="35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1"/>
          <w:szCs w:val="21"/>
          <w:b w:val="1"/>
          <w:bCs w:val="1"/>
          <w:color w:val="auto"/>
        </w:rPr>
        <w:t>EXHIBIT 4.8</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SECOND SUPPLEMENTAL INDENTURE</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SECOND SUPPLEMENTAL INDENTURE, (this “</w:t>
      </w:r>
      <w:r>
        <w:rPr>
          <w:rFonts w:ascii="Times New Roman" w:cs="Times New Roman" w:eastAsia="Times New Roman" w:hAnsi="Times New Roman"/>
          <w:sz w:val="21"/>
          <w:szCs w:val="21"/>
          <w:b w:val="1"/>
          <w:bCs w:val="1"/>
          <w:color w:val="auto"/>
        </w:rPr>
        <w:t>Second Supplemental Indenture</w:t>
      </w:r>
      <w:r>
        <w:rPr>
          <w:rFonts w:ascii="Times New Roman" w:cs="Times New Roman" w:eastAsia="Times New Roman" w:hAnsi="Times New Roman"/>
          <w:sz w:val="21"/>
          <w:szCs w:val="21"/>
          <w:color w:val="auto"/>
        </w:rPr>
        <w:t>”) dated as of January 10, 2025, 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among CrowdStrike Holdings,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CrowdStrike Financial Services, Inc.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Subsidiary Guarantor</w:t>
      </w:r>
      <w:r>
        <w:rPr>
          <w:rFonts w:ascii="Times New Roman" w:cs="Times New Roman" w:eastAsia="Times New Roman" w:hAnsi="Times New Roman"/>
          <w:sz w:val="21"/>
          <w:szCs w:val="21"/>
          <w:color w:val="auto"/>
        </w:rPr>
        <w:t>”), a Delaware corporation and a wholly-owned subsidiary of the Company, and U.S. Bank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 Company, National Association, a national banking association, as successor to U.S. Bank National Association, as trustee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the Indenture referred to below (the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32" w:lineRule="exact"/>
        <w:rPr>
          <w:sz w:val="20"/>
          <w:szCs w:val="20"/>
          <w:color w:val="auto"/>
        </w:rPr>
      </w:pPr>
    </w:p>
    <w:p>
      <w:pPr>
        <w:ind w:firstLine="636"/>
        <w:spacing w:after="0" w:line="263" w:lineRule="auto"/>
        <w:rPr>
          <w:sz w:val="20"/>
          <w:szCs w:val="20"/>
          <w:color w:val="auto"/>
        </w:rPr>
      </w:pPr>
      <w:r>
        <w:rPr>
          <w:rFonts w:ascii="Times New Roman" w:cs="Times New Roman" w:eastAsia="Times New Roman" w:hAnsi="Times New Roman"/>
          <w:sz w:val="21"/>
          <w:szCs w:val="21"/>
          <w:color w:val="auto"/>
        </w:rPr>
        <w:t>WHEREAS, the Company and the Trustee are party to an indenture dated as of January 20, 2021 (the “</w:t>
      </w:r>
      <w:r>
        <w:rPr>
          <w:rFonts w:ascii="Times New Roman" w:cs="Times New Roman" w:eastAsia="Times New Roman" w:hAnsi="Times New Roman"/>
          <w:sz w:val="21"/>
          <w:szCs w:val="21"/>
          <w:b w:val="1"/>
          <w:bCs w:val="1"/>
          <w:color w:val="auto"/>
        </w:rPr>
        <w:t>Base Indenture</w:t>
      </w:r>
      <w:r>
        <w:rPr>
          <w:rFonts w:ascii="Times New Roman" w:cs="Times New Roman" w:eastAsia="Times New Roman" w:hAnsi="Times New Roman"/>
          <w:sz w:val="21"/>
          <w:szCs w:val="21"/>
          <w:color w:val="auto"/>
        </w:rPr>
        <w:t>”), as supplemented by the First Supplemental Indenture dated as of January 20, 2021 (the “</w:t>
      </w:r>
      <w:r>
        <w:rPr>
          <w:rFonts w:ascii="Times New Roman" w:cs="Times New Roman" w:eastAsia="Times New Roman" w:hAnsi="Times New Roman"/>
          <w:sz w:val="21"/>
          <w:szCs w:val="21"/>
          <w:b w:val="1"/>
          <w:bCs w:val="1"/>
          <w:color w:val="auto"/>
        </w:rPr>
        <w:t>First Supplemental Indenture</w:t>
      </w:r>
      <w:r>
        <w:rPr>
          <w:rFonts w:ascii="Times New Roman" w:cs="Times New Roman" w:eastAsia="Times New Roman" w:hAnsi="Times New Roman"/>
          <w:sz w:val="21"/>
          <w:szCs w:val="21"/>
          <w:color w:val="auto"/>
        </w:rPr>
        <w:t>,” and together with the Base Indenture, the “</w:t>
      </w:r>
      <w:r>
        <w:rPr>
          <w:rFonts w:ascii="Times New Roman" w:cs="Times New Roman" w:eastAsia="Times New Roman" w:hAnsi="Times New Roman"/>
          <w:sz w:val="21"/>
          <w:szCs w:val="21"/>
          <w:b w:val="1"/>
          <w:bCs w:val="1"/>
          <w:color w:val="auto"/>
        </w:rPr>
        <w:t>Indenture</w:t>
      </w:r>
      <w:r>
        <w:rPr>
          <w:rFonts w:ascii="Times New Roman" w:cs="Times New Roman" w:eastAsia="Times New Roman" w:hAnsi="Times New Roman"/>
          <w:sz w:val="21"/>
          <w:szCs w:val="21"/>
          <w:color w:val="auto"/>
        </w:rPr>
        <w:t>”) providing for the issuance of the Company’s 3.000% Senior Notes due 2029 (the “</w:t>
      </w:r>
      <w:r>
        <w:rPr>
          <w:rFonts w:ascii="Times New Roman" w:cs="Times New Roman" w:eastAsia="Times New Roman" w:hAnsi="Times New Roman"/>
          <w:sz w:val="21"/>
          <w:szCs w:val="21"/>
          <w:b w:val="1"/>
          <w:bCs w:val="1"/>
          <w:color w:val="auto"/>
        </w:rPr>
        <w:t>Notes</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CrowdStrike, Inc. (the “</w:t>
      </w:r>
      <w:r>
        <w:rPr>
          <w:rFonts w:ascii="Times New Roman" w:cs="Times New Roman" w:eastAsia="Times New Roman" w:hAnsi="Times New Roman"/>
          <w:sz w:val="21"/>
          <w:szCs w:val="21"/>
          <w:b w:val="1"/>
          <w:bCs w:val="1"/>
          <w:color w:val="auto"/>
        </w:rPr>
        <w:t>Existing Guarantor</w:t>
      </w:r>
      <w:r>
        <w:rPr>
          <w:rFonts w:ascii="Times New Roman" w:cs="Times New Roman" w:eastAsia="Times New Roman" w:hAnsi="Times New Roman"/>
          <w:sz w:val="21"/>
          <w:szCs w:val="21"/>
          <w:color w:val="auto"/>
        </w:rPr>
        <w:t>”) is a guarantor of the Notes;</w:t>
      </w:r>
    </w:p>
    <w:p>
      <w:pPr>
        <w:spacing w:after="0" w:line="226" w:lineRule="exact"/>
        <w:rPr>
          <w:sz w:val="20"/>
          <w:szCs w:val="20"/>
          <w:color w:val="auto"/>
        </w:rPr>
      </w:pPr>
    </w:p>
    <w:p>
      <w:pPr>
        <w:ind w:right="60" w:firstLine="636"/>
        <w:spacing w:after="0" w:line="298" w:lineRule="auto"/>
        <w:rPr>
          <w:sz w:val="20"/>
          <w:szCs w:val="20"/>
          <w:color w:val="auto"/>
        </w:rPr>
      </w:pPr>
      <w:r>
        <w:rPr>
          <w:rFonts w:ascii="Times New Roman" w:cs="Times New Roman" w:eastAsia="Times New Roman" w:hAnsi="Times New Roman"/>
          <w:sz w:val="21"/>
          <w:szCs w:val="21"/>
          <w:color w:val="auto"/>
        </w:rPr>
        <w:t>WHEREAS, on November 14, 2024, the Additional Subsidiary Guarantor provided a guarantee under the Credit Agreement (as defined in the First Supplemental Indenture);</w:t>
      </w:r>
    </w:p>
    <w:p>
      <w:pPr>
        <w:spacing w:after="0" w:line="129" w:lineRule="exact"/>
        <w:rPr>
          <w:sz w:val="20"/>
          <w:szCs w:val="20"/>
          <w:color w:val="auto"/>
        </w:rPr>
      </w:pPr>
    </w:p>
    <w:p>
      <w:pPr>
        <w:ind w:right="300" w:firstLine="636"/>
        <w:spacing w:after="0" w:line="261" w:lineRule="auto"/>
        <w:rPr>
          <w:sz w:val="20"/>
          <w:szCs w:val="20"/>
          <w:color w:val="auto"/>
        </w:rPr>
      </w:pPr>
      <w:r>
        <w:rPr>
          <w:rFonts w:ascii="Times New Roman" w:cs="Times New Roman" w:eastAsia="Times New Roman" w:hAnsi="Times New Roman"/>
          <w:sz w:val="21"/>
          <w:szCs w:val="21"/>
          <w:color w:val="auto"/>
        </w:rPr>
        <w:t>WHEREAS, Section 4.04(a) of the First Supplemental Indenture requires the Additional Subsidiary Guarantor to execute and deliver to the Trustee a supplemental indenture pursuant to which the Additional Subsidiary Guarantor shall unconditionally guarantee, on a joint and several basis with the Existing Guarantor, all of the Company’s Obligations under the Notes and the Indenture on the terms and conditions set forth herein and under the Indenture (the “</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and</w:t>
      </w:r>
    </w:p>
    <w:p>
      <w:pPr>
        <w:spacing w:after="0" w:line="182" w:lineRule="exact"/>
        <w:rPr>
          <w:sz w:val="20"/>
          <w:szCs w:val="20"/>
          <w:color w:val="auto"/>
        </w:rPr>
      </w:pPr>
    </w:p>
    <w:p>
      <w:pPr>
        <w:ind w:right="140" w:firstLine="636"/>
        <w:spacing w:after="0" w:line="267" w:lineRule="auto"/>
        <w:rPr>
          <w:sz w:val="20"/>
          <w:szCs w:val="20"/>
          <w:color w:val="auto"/>
        </w:rPr>
      </w:pPr>
      <w:r>
        <w:rPr>
          <w:rFonts w:ascii="Times New Roman" w:cs="Times New Roman" w:eastAsia="Times New Roman" w:hAnsi="Times New Roman"/>
          <w:sz w:val="21"/>
          <w:szCs w:val="21"/>
          <w:color w:val="auto"/>
        </w:rPr>
        <w:t>WHEREAS, pursuant to Section 9.01(j) of the Base Indenture and Section 8.01 of the First Supplemental Indenture, the Company and the Trustee are authorized to execute and deliver a supplemental indenture to add additional Guarantors of the Notes under the Indenture, without the consent of any holder of the Notes;</w:t>
      </w:r>
    </w:p>
    <w:p>
      <w:pPr>
        <w:spacing w:after="0" w:line="161" w:lineRule="exact"/>
        <w:rPr>
          <w:sz w:val="20"/>
          <w:szCs w:val="20"/>
          <w:color w:val="auto"/>
        </w:rPr>
      </w:pPr>
    </w:p>
    <w:p>
      <w:pPr>
        <w:jc w:val="both"/>
        <w:ind w:right="140" w:firstLine="636"/>
        <w:spacing w:after="0" w:line="274"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of which is hereby acknowledged, the Additional Subsidiary Guarantor, the Company, and the Trustee mutually covenant and agree for the equal and ratable benefit of the holders of the Notes as follows:</w:t>
      </w:r>
    </w:p>
    <w:p>
      <w:pPr>
        <w:sectPr>
          <w:pgSz w:w="11900" w:h="16838" w:orient="portrait"/>
          <w:cols w:equalWidth="0" w:num="1">
            <w:col w:w="11240"/>
          </w:cols>
          <w:pgMar w:left="320" w:top="1393" w:right="339" w:bottom="1440" w:gutter="0" w:footer="0" w:header="0"/>
        </w:sectPr>
      </w:pPr>
    </w:p>
    <w:bookmarkStart w:id="130" w:name="page131"/>
    <w:bookmarkEnd w:id="130"/>
    <w:p>
      <w:pPr>
        <w:jc w:val="center"/>
        <w:ind w:right="500"/>
        <w:spacing w:after="0"/>
        <w:rPr>
          <w:sz w:val="20"/>
          <w:szCs w:val="20"/>
          <w:color w:val="auto"/>
        </w:rPr>
      </w:pPr>
      <w:r>
        <w:rPr>
          <w:rFonts w:ascii="Times New Roman" w:cs="Times New Roman" w:eastAsia="Times New Roman" w:hAnsi="Times New Roman"/>
          <w:sz w:val="21"/>
          <w:szCs w:val="21"/>
          <w:color w:val="auto"/>
        </w:rPr>
        <w:t>Article 1</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DEFINITIONS</w:t>
      </w:r>
    </w:p>
    <w:p>
      <w:pPr>
        <w:spacing w:after="0" w:line="209" w:lineRule="exact"/>
        <w:rPr>
          <w:sz w:val="20"/>
          <w:szCs w:val="20"/>
          <w:color w:val="auto"/>
        </w:rPr>
      </w:pPr>
    </w:p>
    <w:p>
      <w:pPr>
        <w:ind w:right="360"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Terms not defined herein are used as they are defined in the Base Indenture or in the First Supplemental Indenture. The words “herein,” “hereof” and “hereby” and other words of similar import used in this Second Supplemental Indenture refer to this Second Supplemental Indenture as a whole and not to any particular section hereof.</w:t>
      </w:r>
    </w:p>
    <w:p>
      <w:pPr>
        <w:spacing w:after="0" w:line="1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auto"/>
        </w:rPr>
        <w:t>Article 2</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AGREEMENT TO BE BOUND; GUARANTEE</w:t>
      </w:r>
    </w:p>
    <w:p>
      <w:pPr>
        <w:spacing w:after="0" w:line="222" w:lineRule="exact"/>
        <w:rPr>
          <w:sz w:val="20"/>
          <w:szCs w:val="20"/>
          <w:color w:val="auto"/>
        </w:rPr>
      </w:pPr>
    </w:p>
    <w:p>
      <w:pPr>
        <w:jc w:val="both"/>
        <w:ind w:right="100"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Agreement to be Bound</w:t>
      </w:r>
      <w:r>
        <w:rPr>
          <w:rFonts w:ascii="Times New Roman" w:cs="Times New Roman" w:eastAsia="Times New Roman" w:hAnsi="Times New Roman"/>
          <w:sz w:val="21"/>
          <w:szCs w:val="21"/>
          <w:color w:val="auto"/>
        </w:rPr>
        <w:t>. The Additional Subsidiary Guarantor hereby becomes a party to the Indenture as a Guarantor of the Notes and as such will have all of the rights and be subject to all of the obligations and agreements of a Guarantor under the Indenture.</w:t>
      </w:r>
    </w:p>
    <w:p>
      <w:pPr>
        <w:spacing w:after="0" w:line="148" w:lineRule="exact"/>
        <w:rPr>
          <w:sz w:val="20"/>
          <w:szCs w:val="20"/>
          <w:color w:val="auto"/>
        </w:rPr>
      </w:pPr>
    </w:p>
    <w:p>
      <w:pPr>
        <w:ind w:right="220"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u w:val="single" w:color="auto"/>
          <w:color w:val="auto"/>
        </w:rPr>
        <w:t>Agreement to Guarantee</w:t>
      </w:r>
      <w:r>
        <w:rPr>
          <w:rFonts w:ascii="Times New Roman" w:cs="Times New Roman" w:eastAsia="Times New Roman" w:hAnsi="Times New Roman"/>
          <w:sz w:val="21"/>
          <w:szCs w:val="21"/>
          <w:color w:val="auto"/>
        </w:rPr>
        <w:t>. The Additional Subsidiary Guarantor agrees, on a joint and several basis with the Existing Guarantor, to fully, unconditionally and irrevocably guarantee the Company’s Obligations under the Notes on the terms and subject to the conditions set forth in Article 7 of the First Supplemental Indenture and to be bound by all other applicable provisions of the Indenture.</w:t>
      </w:r>
    </w:p>
    <w:p>
      <w:pPr>
        <w:spacing w:after="0" w:line="19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auto"/>
        </w:rPr>
        <w:t>Article 3</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MISCELLANEOUS</w:t>
      </w:r>
    </w:p>
    <w:p>
      <w:pPr>
        <w:spacing w:after="0" w:line="209" w:lineRule="exact"/>
        <w:rPr>
          <w:sz w:val="20"/>
          <w:szCs w:val="20"/>
          <w:color w:val="auto"/>
        </w:rPr>
      </w:pPr>
    </w:p>
    <w:p>
      <w:pPr>
        <w:jc w:val="both"/>
        <w:ind w:right="460"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to the Additional Subsidiary Guarantor shall be given as provided in the Indenture to the Additional Subsidiary Guarantor, at its address set forth below, with a copy to the Company as provided in the Indenture for notices to the Company.</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CrowdStrike Financial Services, Inc.</w:t>
      </w:r>
    </w:p>
    <w:p>
      <w:pPr>
        <w:spacing w:after="0" w:line="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150 Mathilda Place Suite 300</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Sunnyvale, CA 94086</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Head of Legal</w:t>
      </w:r>
    </w:p>
    <w:p>
      <w:pPr>
        <w:spacing w:after="0" w:line="172" w:lineRule="exact"/>
        <w:rPr>
          <w:sz w:val="20"/>
          <w:szCs w:val="20"/>
          <w:color w:val="auto"/>
        </w:rPr>
      </w:pPr>
    </w:p>
    <w:p>
      <w:pPr>
        <w:ind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Merger, Amalgamation and Consolidation</w:t>
      </w:r>
      <w:r>
        <w:rPr>
          <w:rFonts w:ascii="Times New Roman" w:cs="Times New Roman" w:eastAsia="Times New Roman" w:hAnsi="Times New Roman"/>
          <w:sz w:val="21"/>
          <w:szCs w:val="21"/>
          <w:color w:val="auto"/>
        </w:rPr>
        <w:t>. The Additional Subsidiary Guarantor shall not transfer or lease all or substantially all of its assets to, in one or a series of related transactions, or consolidate with or merge with or into, any Person except in accordance with Section 5.01 of the First Supplemental Indenture.</w:t>
      </w:r>
    </w:p>
    <w:p>
      <w:pPr>
        <w:spacing w:after="0" w:line="148" w:lineRule="exact"/>
        <w:rPr>
          <w:sz w:val="20"/>
          <w:szCs w:val="20"/>
          <w:color w:val="auto"/>
        </w:rPr>
      </w:pPr>
    </w:p>
    <w:p>
      <w:pPr>
        <w:ind w:right="880"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Release of Guarantee</w:t>
      </w:r>
      <w:r>
        <w:rPr>
          <w:rFonts w:ascii="Times New Roman" w:cs="Times New Roman" w:eastAsia="Times New Roman" w:hAnsi="Times New Roman"/>
          <w:sz w:val="21"/>
          <w:szCs w:val="21"/>
          <w:color w:val="auto"/>
        </w:rPr>
        <w:t>. This Guarantee shall be released in accordance with Section 7.05 of the First Supplemental Indenture.</w:t>
      </w:r>
    </w:p>
    <w:p>
      <w:pPr>
        <w:spacing w:after="0" w:line="143" w:lineRule="exact"/>
        <w:rPr>
          <w:sz w:val="20"/>
          <w:szCs w:val="20"/>
          <w:color w:val="auto"/>
        </w:rPr>
      </w:pPr>
    </w:p>
    <w:p>
      <w:pPr>
        <w:jc w:val="both"/>
        <w:ind w:right="100"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Nothing expressed or mentioned herein is intended or shall be construed to give any Person, firm or corporation, other than the holders of the Notes and the Trustee, any legal or equitable right, remedy or claim under or in respect of this Second Supplemental Indenture or the Indenture or any provision herein or therein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11" w:right="359" w:bottom="1440" w:gutter="0" w:footer="0" w:header="0"/>
        </w:sectPr>
      </w:pPr>
    </w:p>
    <w:bookmarkStart w:id="131" w:name="page132"/>
    <w:bookmarkEnd w:id="131"/>
    <w:p>
      <w:pPr>
        <w:ind w:right="100"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SECOND SUPPLEMENTAL INDENTURE SHALL BE GOVERNED BY, AND CONSTRUED IN ACCORDANCE WITH, THE LAWS OF THE STATE OF NEW YORK BUT WITHOUT GIVING EFFECT TO APPLICABLE PRINCIPLES OF CONFLICTS OF LAW TO THE EXTENT THAT THE APPLICATION OF THE LAWS OF ANOTHER JURISDICTION WOULD BE REQUIRED THEREBY.</w:t>
      </w:r>
    </w:p>
    <w:p>
      <w:pPr>
        <w:spacing w:after="0" w:line="150" w:lineRule="exact"/>
        <w:rPr>
          <w:sz w:val="20"/>
          <w:szCs w:val="20"/>
          <w:color w:val="auto"/>
        </w:rPr>
      </w:pPr>
    </w:p>
    <w:p>
      <w:pPr>
        <w:ind w:right="480"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case any provision in this Second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48" w:lineRule="exact"/>
        <w:rPr>
          <w:sz w:val="20"/>
          <w:szCs w:val="20"/>
          <w:color w:val="auto"/>
        </w:rPr>
      </w:pPr>
    </w:p>
    <w:p>
      <w:pPr>
        <w:ind w:right="500" w:firstLine="636"/>
        <w:spacing w:after="0" w:line="226"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Benefits Acknowledged</w:t>
      </w:r>
      <w:r>
        <w:rPr>
          <w:rFonts w:ascii="Times New Roman" w:cs="Times New Roman" w:eastAsia="Times New Roman" w:hAnsi="Times New Roman"/>
          <w:sz w:val="21"/>
          <w:szCs w:val="21"/>
          <w:color w:val="auto"/>
        </w:rPr>
        <w:t>. The Additional Subsidiary Guarantor’s Guarantee is subject to the terms and conditions set forth in the Indenture. The Additional Subsidiary Guarantor acknowledges that it will receive direct and indirect benefits from the financing arrangements contemplated by the Indenture and this Second Supplemental Indenture and that the guarantee and waivers made by it pursuant to this Guarantee are knowingly made in contemplation of such benefits.</w:t>
      </w:r>
    </w:p>
    <w:p>
      <w:pPr>
        <w:spacing w:after="0" w:line="150" w:lineRule="exact"/>
        <w:rPr>
          <w:sz w:val="20"/>
          <w:szCs w:val="20"/>
          <w:color w:val="auto"/>
        </w:rPr>
      </w:pPr>
    </w:p>
    <w:p>
      <w:pPr>
        <w:jc w:val="both"/>
        <w:ind w:right="200"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3.08. </w:t>
      </w:r>
      <w:r>
        <w:rPr>
          <w:rFonts w:ascii="Times New Roman" w:cs="Times New Roman" w:eastAsia="Times New Roman" w:hAnsi="Times New Roman"/>
          <w:sz w:val="21"/>
          <w:szCs w:val="21"/>
          <w:u w:val="single" w:color="auto"/>
          <w:color w:val="auto"/>
        </w:rPr>
        <w:t>Ratification of Indenture; Supplemental Indentures Part of Indenture</w:t>
      </w:r>
      <w:r>
        <w:rPr>
          <w:rFonts w:ascii="Times New Roman" w:cs="Times New Roman" w:eastAsia="Times New Roman" w:hAnsi="Times New Roman"/>
          <w:sz w:val="21"/>
          <w:szCs w:val="21"/>
          <w:color w:val="auto"/>
        </w:rPr>
        <w:t>. Except as expressly amended hereby, the Indenture is in all respects ratified and confirmed and all the terms, conditions and provisions thereof shall remain in full force and effect. This Second Supplemental Indenture shall form a part of the Indenture for all purposes.</w:t>
      </w:r>
    </w:p>
    <w:p>
      <w:pPr>
        <w:spacing w:after="0" w:line="148" w:lineRule="exact"/>
        <w:rPr>
          <w:sz w:val="20"/>
          <w:szCs w:val="20"/>
          <w:color w:val="auto"/>
        </w:rPr>
      </w:pPr>
    </w:p>
    <w:p>
      <w:pPr>
        <w:ind w:right="360" w:firstLine="636"/>
        <w:spacing w:after="0" w:line="232" w:lineRule="auto"/>
        <w:rPr>
          <w:sz w:val="20"/>
          <w:szCs w:val="20"/>
          <w:color w:val="auto"/>
        </w:rPr>
      </w:pPr>
      <w:r>
        <w:rPr>
          <w:rFonts w:ascii="Times New Roman" w:cs="Times New Roman" w:eastAsia="Times New Roman" w:hAnsi="Times New Roman"/>
          <w:sz w:val="21"/>
          <w:szCs w:val="21"/>
          <w:color w:val="auto"/>
        </w:rPr>
        <w:t xml:space="preserve">Section 3.09. </w:t>
      </w:r>
      <w:r>
        <w:rPr>
          <w:rFonts w:ascii="Times New Roman" w:cs="Times New Roman" w:eastAsia="Times New Roman" w:hAnsi="Times New Roman"/>
          <w:sz w:val="21"/>
          <w:szCs w:val="21"/>
          <w:u w:val="single" w:color="auto"/>
          <w:color w:val="auto"/>
        </w:rPr>
        <w:t>Trustee Makes No Representation</w:t>
      </w:r>
      <w:r>
        <w:rPr>
          <w:rFonts w:ascii="Times New Roman" w:cs="Times New Roman" w:eastAsia="Times New Roman" w:hAnsi="Times New Roman"/>
          <w:sz w:val="21"/>
          <w:szCs w:val="21"/>
          <w:color w:val="auto"/>
        </w:rPr>
        <w:t>. The Trustee makes no representation or warranty as to the validity or sufficiency of this Second Supplemental Indenture or with respect to the recitals contained herein, all of which recitals are made solely by the other parties hereto.</w:t>
      </w:r>
    </w:p>
    <w:p>
      <w:pPr>
        <w:spacing w:after="0" w:line="148" w:lineRule="exact"/>
        <w:rPr>
          <w:sz w:val="20"/>
          <w:szCs w:val="20"/>
          <w:color w:val="auto"/>
        </w:rPr>
      </w:pPr>
    </w:p>
    <w:p>
      <w:pPr>
        <w:ind w:firstLine="636"/>
        <w:spacing w:after="0" w:line="221" w:lineRule="auto"/>
        <w:rPr>
          <w:sz w:val="20"/>
          <w:szCs w:val="20"/>
          <w:color w:val="auto"/>
        </w:rPr>
      </w:pPr>
      <w:r>
        <w:rPr>
          <w:rFonts w:ascii="Times New Roman" w:cs="Times New Roman" w:eastAsia="Times New Roman" w:hAnsi="Times New Roman"/>
          <w:sz w:val="21"/>
          <w:szCs w:val="21"/>
          <w:color w:val="auto"/>
        </w:rPr>
        <w:t xml:space="preserve">Section 3.10.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The parties hereto may sign any number of copies of this Second Supplemental Indenture. Each signed copy shall be an original, but all of them together represent the same agreement. The exchange of copies of this Second Supplemental Indenture and of signature pages by facsimile, PDF or other electronic transmission shall constitute effective execution and delivery of this Second Supplemental Indenture as to the parties hereto and may be used in lieu of the original Second Supplemental Indenture for all purposes. Signatures of the parties hereto transmitted by facsimile or other electronic means shall be deemed to be their original signatures for all purposes.</w:t>
      </w:r>
    </w:p>
    <w:p>
      <w:pPr>
        <w:spacing w:after="0" w:line="150" w:lineRule="exact"/>
        <w:rPr>
          <w:sz w:val="20"/>
          <w:szCs w:val="20"/>
          <w:color w:val="auto"/>
        </w:rPr>
      </w:pPr>
    </w:p>
    <w:p>
      <w:pPr>
        <w:ind w:right="200"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Execution and Delivery</w:t>
      </w:r>
      <w:r>
        <w:rPr>
          <w:rFonts w:ascii="Times New Roman" w:cs="Times New Roman" w:eastAsia="Times New Roman" w:hAnsi="Times New Roman"/>
          <w:sz w:val="21"/>
          <w:szCs w:val="21"/>
          <w:color w:val="auto"/>
        </w:rPr>
        <w:t>. The Additional Subsidiary Guarantor agrees that the Guarantee shall remain in full force and effect notwithstanding any failure to endorse on each Note a notation of any such Guarantee.</w:t>
      </w:r>
    </w:p>
    <w:p>
      <w:pPr>
        <w:spacing w:after="0" w:line="143" w:lineRule="exact"/>
        <w:rPr>
          <w:sz w:val="20"/>
          <w:szCs w:val="20"/>
          <w:color w:val="auto"/>
        </w:rPr>
      </w:pPr>
    </w:p>
    <w:p>
      <w:pPr>
        <w:ind w:right="480" w:firstLine="636"/>
        <w:spacing w:after="0" w:line="245" w:lineRule="auto"/>
        <w:rPr>
          <w:sz w:val="20"/>
          <w:szCs w:val="20"/>
          <w:color w:val="auto"/>
        </w:rPr>
      </w:pPr>
      <w:r>
        <w:rPr>
          <w:rFonts w:ascii="Times New Roman" w:cs="Times New Roman" w:eastAsia="Times New Roman" w:hAnsi="Times New Roman"/>
          <w:sz w:val="21"/>
          <w:szCs w:val="21"/>
          <w:color w:val="auto"/>
        </w:rPr>
        <w:t xml:space="preserve">Section 3.12.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of the Articles and the Sections in this Second Supplemental Indenture are for convenience of reference only and shall not be deemed to alter or affect the meaning or interpretation of any provisions hereof.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1" w:right="339" w:bottom="1440" w:gutter="0" w:footer="0" w:header="0"/>
        </w:sectPr>
      </w:pPr>
    </w:p>
    <w:bookmarkStart w:id="132" w:name="page133"/>
    <w:bookmarkEnd w:id="132"/>
    <w:p>
      <w:pPr>
        <w:ind w:firstLine="636"/>
        <w:spacing w:after="0" w:line="285" w:lineRule="auto"/>
        <w:rPr>
          <w:sz w:val="20"/>
          <w:szCs w:val="20"/>
          <w:color w:val="auto"/>
        </w:rPr>
      </w:pPr>
      <w:r>
        <w:rPr>
          <w:rFonts w:ascii="Times New Roman" w:cs="Times New Roman" w:eastAsia="Times New Roman" w:hAnsi="Times New Roman"/>
          <w:sz w:val="21"/>
          <w:szCs w:val="21"/>
          <w:color w:val="auto"/>
        </w:rPr>
        <w:t>IN WITNESS WHEREOF, the parties hereto have caused this Second Supplemental Indenture to be duly executed as of the date first above written.</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CROWDSTRIKE HOLDINGS, INC.</w:t>
      </w:r>
    </w:p>
    <w:p>
      <w:pPr>
        <w:ind w:left="3840"/>
        <w:spacing w:after="0"/>
        <w:rPr>
          <w:sz w:val="20"/>
          <w:szCs w:val="20"/>
          <w:color w:val="auto"/>
        </w:rPr>
      </w:pPr>
      <w:r>
        <w:rPr>
          <w:rFonts w:ascii="Times New Roman" w:cs="Times New Roman" w:eastAsia="Times New Roman" w:hAnsi="Times New Roman"/>
          <w:sz w:val="21"/>
          <w:szCs w:val="21"/>
          <w:color w:val="auto"/>
        </w:rPr>
        <w:t>as the Company</w:t>
      </w:r>
    </w:p>
    <w:p>
      <w:pPr>
        <w:spacing w:after="0" w:line="11" w:lineRule="exact"/>
        <w:rPr>
          <w:sz w:val="20"/>
          <w:szCs w:val="20"/>
          <w:color w:val="auto"/>
        </w:rPr>
      </w:pPr>
    </w:p>
    <w:p>
      <w:pPr>
        <w:ind w:left="384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Burt Podbere</w:t>
      </w:r>
    </w:p>
    <w:p>
      <w:pPr>
        <w:spacing w:after="0" w:line="25" w:lineRule="exact"/>
        <w:rPr>
          <w:sz w:val="20"/>
          <w:szCs w:val="20"/>
          <w:color w:val="auto"/>
        </w:rPr>
      </w:pPr>
    </w:p>
    <w:p>
      <w:pPr>
        <w:ind w:left="4360"/>
        <w:spacing w:after="0"/>
        <w:tabs>
          <w:tab w:leader="none" w:pos="5120" w:val="left"/>
        </w:tabs>
        <w:rPr>
          <w:sz w:val="20"/>
          <w:szCs w:val="20"/>
          <w:color w:val="auto"/>
        </w:rPr>
      </w:pPr>
      <w:r>
        <w:rPr>
          <w:rFonts w:ascii="Times New Roman" w:cs="Times New Roman" w:eastAsia="Times New Roman" w:hAnsi="Times New Roman"/>
          <w:sz w:val="21"/>
          <w:szCs w:val="21"/>
          <w:color w:val="auto"/>
        </w:rPr>
        <w:t>Name:</w:t>
        <w:tab/>
        <w:t>Burt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-152400</wp:posOffset>
            </wp:positionV>
            <wp:extent cx="23050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2305050" cy="8255"/>
                    </a:xfrm>
                    <a:prstGeom prst="rect">
                      <a:avLst/>
                    </a:prstGeom>
                    <a:noFill/>
                  </pic:spPr>
                </pic:pic>
              </a:graphicData>
            </a:graphic>
          </wp:anchor>
        </w:drawing>
      </w:r>
    </w:p>
    <w:p>
      <w:pPr>
        <w:spacing w:after="0" w:line="15" w:lineRule="exact"/>
        <w:rPr>
          <w:sz w:val="20"/>
          <w:szCs w:val="20"/>
          <w:color w:val="auto"/>
        </w:rPr>
      </w:pPr>
    </w:p>
    <w:p>
      <w:pPr>
        <w:jc w:val="center"/>
        <w:ind w:right="-219"/>
        <w:spacing w:after="0"/>
        <w:tabs>
          <w:tab w:leader="none" w:pos="200" w:val="left"/>
        </w:tabs>
        <w:rPr>
          <w:sz w:val="20"/>
          <w:szCs w:val="20"/>
          <w:color w:val="auto"/>
        </w:rPr>
      </w:pPr>
      <w:r>
        <w:rPr>
          <w:rFonts w:ascii="Times New Roman" w:cs="Times New Roman" w:eastAsia="Times New Roman" w:hAnsi="Times New Roman"/>
          <w:sz w:val="21"/>
          <w:szCs w:val="21"/>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CROWDSTRIKE FINANCIAL SERVICES,</w:t>
      </w:r>
    </w:p>
    <w:p>
      <w:pPr>
        <w:ind w:left="3840"/>
        <w:spacing w:after="0" w:line="210" w:lineRule="auto"/>
        <w:rPr>
          <w:sz w:val="20"/>
          <w:szCs w:val="20"/>
          <w:color w:val="auto"/>
        </w:rPr>
      </w:pPr>
      <w:r>
        <w:rPr>
          <w:rFonts w:ascii="Times New Roman" w:cs="Times New Roman" w:eastAsia="Times New Roman" w:hAnsi="Times New Roman"/>
          <w:sz w:val="21"/>
          <w:szCs w:val="21"/>
          <w:color w:val="auto"/>
        </w:rPr>
        <w:t>INC.,</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as the Additional Subsidiary Guarantor</w:t>
      </w:r>
    </w:p>
    <w:p>
      <w:pPr>
        <w:spacing w:after="0" w:line="11" w:lineRule="exact"/>
        <w:rPr>
          <w:sz w:val="20"/>
          <w:szCs w:val="20"/>
          <w:color w:val="auto"/>
        </w:rPr>
      </w:pPr>
    </w:p>
    <w:p>
      <w:pPr>
        <w:ind w:left="384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Michael Forman</w:t>
      </w:r>
    </w:p>
    <w:p>
      <w:pPr>
        <w:spacing w:after="0" w:line="25" w:lineRule="exact"/>
        <w:rPr>
          <w:sz w:val="20"/>
          <w:szCs w:val="20"/>
          <w:color w:val="auto"/>
        </w:rPr>
      </w:pPr>
    </w:p>
    <w:p>
      <w:pPr>
        <w:ind w:left="4360"/>
        <w:spacing w:after="0"/>
        <w:tabs>
          <w:tab w:leader="none" w:pos="5120" w:val="left"/>
        </w:tabs>
        <w:rPr>
          <w:sz w:val="20"/>
          <w:szCs w:val="20"/>
          <w:color w:val="auto"/>
        </w:rPr>
      </w:pPr>
      <w:r>
        <w:rPr>
          <w:rFonts w:ascii="Times New Roman" w:cs="Times New Roman" w:eastAsia="Times New Roman" w:hAnsi="Times New Roman"/>
          <w:sz w:val="21"/>
          <w:szCs w:val="21"/>
          <w:color w:val="auto"/>
        </w:rPr>
        <w:t>Name:</w:t>
        <w:tab/>
        <w:t>Michael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-152400</wp:posOffset>
            </wp:positionV>
            <wp:extent cx="23050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2305050" cy="8255"/>
                    </a:xfrm>
                    <a:prstGeom prst="rect">
                      <a:avLst/>
                    </a:prstGeom>
                    <a:noFill/>
                  </pic:spPr>
                </pic:pic>
              </a:graphicData>
            </a:graphic>
          </wp:anchor>
        </w:drawing>
      </w:r>
    </w:p>
    <w:p>
      <w:pPr>
        <w:spacing w:after="0" w:line="15" w:lineRule="exact"/>
        <w:rPr>
          <w:sz w:val="20"/>
          <w:szCs w:val="20"/>
          <w:color w:val="auto"/>
        </w:rPr>
      </w:pPr>
    </w:p>
    <w:p>
      <w:pPr>
        <w:ind w:left="4360"/>
        <w:spacing w:after="0"/>
        <w:tabs>
          <w:tab w:leader="none" w:pos="5000" w:val="left"/>
        </w:tabs>
        <w:rPr>
          <w:sz w:val="20"/>
          <w:szCs w:val="20"/>
          <w:color w:val="auto"/>
        </w:rPr>
      </w:pPr>
      <w:r>
        <w:rPr>
          <w:rFonts w:ascii="Times New Roman" w:cs="Times New Roman" w:eastAsia="Times New Roman" w:hAnsi="Times New Roman"/>
          <w:sz w:val="21"/>
          <w:szCs w:val="21"/>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U.S. BANK TRUST COMPANY, NATIONAL</w:t>
      </w:r>
    </w:p>
    <w:p>
      <w:pPr>
        <w:ind w:left="3840"/>
        <w:spacing w:after="0" w:line="210" w:lineRule="auto"/>
        <w:rPr>
          <w:sz w:val="20"/>
          <w:szCs w:val="20"/>
          <w:color w:val="auto"/>
        </w:rPr>
      </w:pPr>
      <w:r>
        <w:rPr>
          <w:rFonts w:ascii="Times New Roman" w:cs="Times New Roman" w:eastAsia="Times New Roman" w:hAnsi="Times New Roman"/>
          <w:sz w:val="21"/>
          <w:szCs w:val="21"/>
          <w:color w:val="auto"/>
        </w:rPr>
        <w:t>ASSOCIATION,</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as Trustee</w:t>
      </w:r>
    </w:p>
    <w:p>
      <w:pPr>
        <w:spacing w:after="0" w:line="11" w:lineRule="exact"/>
        <w:rPr>
          <w:sz w:val="20"/>
          <w:szCs w:val="20"/>
          <w:color w:val="auto"/>
        </w:rPr>
      </w:pPr>
    </w:p>
    <w:p>
      <w:pPr>
        <w:ind w:left="384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Bradley E Scarbrough</w:t>
      </w:r>
    </w:p>
    <w:p>
      <w:pPr>
        <w:spacing w:after="0" w:line="25" w:lineRule="exact"/>
        <w:rPr>
          <w:sz w:val="20"/>
          <w:szCs w:val="20"/>
          <w:color w:val="auto"/>
        </w:rPr>
      </w:pPr>
    </w:p>
    <w:p>
      <w:pPr>
        <w:ind w:left="4360"/>
        <w:spacing w:after="0"/>
        <w:tabs>
          <w:tab w:leader="none" w:pos="5120" w:val="left"/>
        </w:tabs>
        <w:rPr>
          <w:sz w:val="20"/>
          <w:szCs w:val="20"/>
          <w:color w:val="auto"/>
        </w:rPr>
      </w:pPr>
      <w:r>
        <w:rPr>
          <w:rFonts w:ascii="Times New Roman" w:cs="Times New Roman" w:eastAsia="Times New Roman" w:hAnsi="Times New Roman"/>
          <w:sz w:val="21"/>
          <w:szCs w:val="21"/>
          <w:color w:val="auto"/>
        </w:rPr>
        <w:t>Name:</w:t>
        <w:tab/>
        <w:t>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-152400</wp:posOffset>
            </wp:positionV>
            <wp:extent cx="23050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2305050" cy="8255"/>
                    </a:xfrm>
                    <a:prstGeom prst="rect">
                      <a:avLst/>
                    </a:prstGeom>
                    <a:noFill/>
                  </pic:spPr>
                </pic:pic>
              </a:graphicData>
            </a:graphic>
          </wp:anchor>
        </w:drawing>
      </w:r>
    </w:p>
    <w:p>
      <w:pPr>
        <w:spacing w:after="0" w:line="15" w:lineRule="exact"/>
        <w:rPr>
          <w:sz w:val="20"/>
          <w:szCs w:val="20"/>
          <w:color w:val="auto"/>
        </w:rPr>
      </w:pPr>
    </w:p>
    <w:p>
      <w:pPr>
        <w:ind w:left="4360"/>
        <w:spacing w:after="0"/>
        <w:tabs>
          <w:tab w:leader="none" w:pos="50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Second Supplemental Indenture</w:t>
      </w:r>
      <w:r>
        <w:rPr>
          <w:rFonts w:ascii="Times New Roman" w:cs="Times New Roman" w:eastAsia="Times New Roman" w:hAnsi="Times New Roman"/>
          <w:sz w:val="21"/>
          <w:szCs w:val="21"/>
          <w:color w:val="auto"/>
        </w:rPr>
        <w:t>]</w:t>
      </w:r>
    </w:p>
    <w:p>
      <w:pPr>
        <w:sectPr>
          <w:pgSz w:w="11900" w:h="16838" w:orient="portrait"/>
          <w:cols w:equalWidth="0" w:num="1">
            <w:col w:w="11140"/>
          </w:cols>
          <w:pgMar w:left="320" w:top="1397" w:right="4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7900" w:type="dxa"/>
            <w:vAlign w:val="bottom"/>
            <w:gridSpan w:val="3"/>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7"/>
              </w:rPr>
              <w:t>LIST OF SUBSIDIARIES</w:t>
            </w:r>
          </w:p>
        </w:tc>
      </w:tr>
      <w:tr>
        <w:trPr>
          <w:trHeight w:val="212"/>
        </w:trPr>
        <w:tc>
          <w:tcPr>
            <w:tcW w:w="3340" w:type="dxa"/>
            <w:vAlign w:val="bottom"/>
          </w:tcPr>
          <w:p>
            <w:pPr>
              <w:spacing w:after="0"/>
              <w:rPr>
                <w:sz w:val="18"/>
                <w:szCs w:val="18"/>
                <w:color w:val="auto"/>
              </w:rPr>
            </w:pPr>
          </w:p>
        </w:tc>
        <w:tc>
          <w:tcPr>
            <w:tcW w:w="7900" w:type="dxa"/>
            <w:vAlign w:val="bottom"/>
            <w:gridSpan w:val="3"/>
          </w:tcPr>
          <w:p>
            <w:pPr>
              <w:jc w:val="center"/>
              <w:ind w:right="3252"/>
              <w:spacing w:after="0"/>
              <w:rPr>
                <w:sz w:val="20"/>
                <w:szCs w:val="20"/>
                <w:color w:val="auto"/>
              </w:rPr>
            </w:pPr>
            <w:r>
              <w:rPr>
                <w:rFonts w:ascii="Times New Roman" w:cs="Times New Roman" w:eastAsia="Times New Roman" w:hAnsi="Times New Roman"/>
                <w:sz w:val="18"/>
                <w:szCs w:val="18"/>
                <w:b w:val="1"/>
                <w:bCs w:val="1"/>
                <w:color w:val="auto"/>
                <w:w w:val="95"/>
              </w:rPr>
              <w:t>OF</w:t>
            </w:r>
          </w:p>
        </w:tc>
      </w:tr>
      <w:tr>
        <w:trPr>
          <w:trHeight w:val="233"/>
        </w:trPr>
        <w:tc>
          <w:tcPr>
            <w:tcW w:w="3340" w:type="dxa"/>
            <w:vAlign w:val="bottom"/>
          </w:tcPr>
          <w:p>
            <w:pPr>
              <w:spacing w:after="0"/>
              <w:rPr>
                <w:sz w:val="20"/>
                <w:szCs w:val="20"/>
                <w:color w:val="auto"/>
              </w:rPr>
            </w:pPr>
          </w:p>
        </w:tc>
        <w:tc>
          <w:tcPr>
            <w:tcW w:w="7900" w:type="dxa"/>
            <w:vAlign w:val="bottom"/>
            <w:gridSpan w:val="3"/>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CROWDSTRIKE HOLDINGS, INC.</w:t>
            </w:r>
          </w:p>
        </w:tc>
      </w:tr>
      <w:tr>
        <w:trPr>
          <w:trHeight w:val="251"/>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8"/>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CrowdStrike, Inc.</w:t>
            </w: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CrowdStrike UK Limited</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 Security Ltd.</w:t>
            </w: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CrowdStrike Israel R&amp;D Ltd.</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2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CrowdStrike GmbH</w:t>
            </w: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Bionic Stork, Ltd.</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2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CrowdStrike India Private Limited</w:t>
            </w: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CrowdStrike Australia Pty LTD</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CrowdStrike Spain S.L.</w:t>
            </w: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r>
    </w:tbl>
    <w:p>
      <w:pPr>
        <w:sectPr>
          <w:pgSz w:w="11900" w:h="16838" w:orient="portrait"/>
          <w:cols w:equalWidth="0" w:num="1">
            <w:col w:w="11240"/>
          </w:cols>
          <w:pgMar w:left="320" w:top="139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1"/>
          <w:szCs w:val="21"/>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SUBSIDIARY GUARANTORS</w:t>
      </w:r>
    </w:p>
    <w:p>
      <w:pPr>
        <w:spacing w:after="0" w:line="222" w:lineRule="exact"/>
        <w:rPr>
          <w:sz w:val="20"/>
          <w:szCs w:val="20"/>
          <w:color w:val="auto"/>
        </w:rPr>
      </w:pPr>
    </w:p>
    <w:p>
      <w:pPr>
        <w:ind w:right="320" w:firstLine="318"/>
        <w:spacing w:after="0" w:line="289" w:lineRule="auto"/>
        <w:rPr>
          <w:sz w:val="20"/>
          <w:szCs w:val="20"/>
          <w:color w:val="auto"/>
        </w:rPr>
      </w:pPr>
      <w:r>
        <w:rPr>
          <w:rFonts w:ascii="Times New Roman" w:cs="Times New Roman" w:eastAsia="Times New Roman" w:hAnsi="Times New Roman"/>
          <w:sz w:val="21"/>
          <w:szCs w:val="21"/>
          <w:color w:val="auto"/>
        </w:rPr>
        <w:t>Each of the following subsidiaries of CrowdStrike Holdings,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is a guarantor of the 3.00% Senior Notes due 2029 issued by the Company.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u w:val="single" w:color="auto"/>
          <w:color w:val="auto"/>
        </w:rPr>
        <w:t>Subsidiary Guarantors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CrowdStrike, Inc.</w:t>
      </w:r>
    </w:p>
    <w:p>
      <w:pPr>
        <w:spacing w:after="0" w:line="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CrowdStrike Financial Services, Inc.</w:t>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2"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333-277724, 333-270378, 333-263610, 333-254460, 333-237343, and 333-232084) of CrowdStrike Holdings, Inc. of our report dated March 10, 2025 relating to the financial statements and the effectiveness of internal control over financial reporting, which appears in this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ectPr>
          <w:pgSz w:w="11900" w:h="16838" w:orient="portrait"/>
          <w:cols w:equalWidth="0" w:num="1">
            <w:col w:w="11240"/>
          </w:cols>
          <w:pgMar w:left="320" w:top="874"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ind w:left="340" w:right="2080"/>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certify that:</w:t>
      </w:r>
    </w:p>
    <w:p>
      <w:pPr>
        <w:spacing w:after="0" w:line="217" w:lineRule="exact"/>
        <w:rPr>
          <w:sz w:val="20"/>
          <w:szCs w:val="20"/>
          <w:color w:val="auto"/>
        </w:rPr>
      </w:pPr>
    </w:p>
    <w:p>
      <w:pPr>
        <w:ind w:left="640" w:hanging="316"/>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CrowdStrike Holdings, Inc.;</w:t>
      </w:r>
    </w:p>
    <w:p>
      <w:pPr>
        <w:spacing w:after="0" w:line="217" w:lineRule="exact"/>
        <w:rPr>
          <w:rFonts w:ascii="Times New Roman" w:cs="Times New Roman" w:eastAsia="Times New Roman" w:hAnsi="Times New Roman"/>
          <w:sz w:val="18"/>
          <w:szCs w:val="18"/>
          <w:color w:val="auto"/>
        </w:rPr>
      </w:pPr>
    </w:p>
    <w:p>
      <w:pPr>
        <w:jc w:val="both"/>
        <w:ind w:left="640" w:right="340" w:hanging="316"/>
        <w:spacing w:after="0" w:line="259" w:lineRule="auto"/>
        <w:tabs>
          <w:tab w:leader="none" w:pos="6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300" w:hanging="316"/>
        <w:spacing w:after="0" w:line="274" w:lineRule="auto"/>
        <w:tabs>
          <w:tab w:leader="none" w:pos="6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5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7"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7"/>
          <w:szCs w:val="17"/>
          <w:color w:val="auto"/>
        </w:rPr>
      </w:pPr>
    </w:p>
    <w:p>
      <w:pPr>
        <w:ind w:left="960" w:right="260" w:hanging="318"/>
        <w:spacing w:after="0" w:line="259" w:lineRule="auto"/>
        <w:tabs>
          <w:tab w:leader="none" w:pos="95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960" w:right="120" w:hanging="318"/>
        <w:spacing w:after="0" w:line="274" w:lineRule="auto"/>
        <w:tabs>
          <w:tab w:leader="none" w:pos="95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65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CROWDSTRIKE HOLDINGS, INC.</w:t>
            </w:r>
          </w:p>
        </w:tc>
      </w:tr>
      <w:tr>
        <w:trPr>
          <w:trHeight w:val="230"/>
        </w:trPr>
        <w:tc>
          <w:tcPr>
            <w:tcW w:w="370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3"/>
        </w:trPr>
        <w:tc>
          <w:tcPr>
            <w:tcW w:w="3700" w:type="dxa"/>
            <w:vAlign w:val="bottom"/>
          </w:tcPr>
          <w:p>
            <w:pPr>
              <w:spacing w:after="0"/>
              <w:rPr>
                <w:sz w:val="18"/>
                <w:szCs w:val="18"/>
                <w:color w:val="auto"/>
              </w:rPr>
            </w:pP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77"/>
        </w:trPr>
        <w:tc>
          <w:tcPr>
            <w:tcW w:w="3700" w:type="dxa"/>
            <w:vAlign w:val="bottom"/>
          </w:tcPr>
          <w:p>
            <w:pPr>
              <w:spacing w:after="0"/>
              <w:rPr>
                <w:sz w:val="15"/>
                <w:szCs w:val="15"/>
                <w:color w:val="auto"/>
              </w:rPr>
            </w:pPr>
          </w:p>
        </w:tc>
        <w:tc>
          <w:tcPr>
            <w:tcW w:w="2820" w:type="dxa"/>
            <w:vAlign w:val="bottom"/>
          </w:tcPr>
          <w:p>
            <w:pPr>
              <w:ind w:left="2140"/>
              <w:spacing w:after="0" w:line="177"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1"/>
        </w:trPr>
        <w:tc>
          <w:tcPr>
            <w:tcW w:w="3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86"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ind w:left="340" w:right="2080"/>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Burt W. Podbere, certify that:</w:t>
      </w:r>
    </w:p>
    <w:p>
      <w:pPr>
        <w:spacing w:after="0" w:line="217" w:lineRule="exact"/>
        <w:rPr>
          <w:sz w:val="20"/>
          <w:szCs w:val="20"/>
          <w:color w:val="auto"/>
        </w:rPr>
      </w:pPr>
    </w:p>
    <w:p>
      <w:pPr>
        <w:ind w:left="640" w:hanging="31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CrowdStrike Holdings, Inc.;</w:t>
      </w:r>
    </w:p>
    <w:p>
      <w:pPr>
        <w:spacing w:after="0" w:line="17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7"/>
          <w:szCs w:val="17"/>
          <w:color w:val="auto"/>
        </w:rPr>
      </w:pPr>
    </w:p>
    <w:p>
      <w:pPr>
        <w:ind w:left="960" w:right="260" w:hanging="318"/>
        <w:spacing w:after="0" w:line="259" w:lineRule="auto"/>
        <w:tabs>
          <w:tab w:leader="none" w:pos="9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960" w:right="120" w:hanging="318"/>
        <w:spacing w:after="0" w:line="274" w:lineRule="auto"/>
        <w:tabs>
          <w:tab w:leader="none" w:pos="9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62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CROWDSTRIKE HOLDINGS, INC.</w:t>
            </w:r>
          </w:p>
        </w:tc>
      </w:tr>
      <w:tr>
        <w:trPr>
          <w:trHeight w:val="230"/>
        </w:trPr>
        <w:tc>
          <w:tcPr>
            <w:tcW w:w="3800" w:type="dxa"/>
            <w:vAlign w:val="bottom"/>
          </w:tcPr>
          <w:p>
            <w:pPr>
              <w:spacing w:after="0"/>
              <w:rPr>
                <w:sz w:val="20"/>
                <w:szCs w:val="20"/>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3"/>
        </w:trPr>
        <w:tc>
          <w:tcPr>
            <w:tcW w:w="3800" w:type="dxa"/>
            <w:vAlign w:val="bottom"/>
          </w:tcPr>
          <w:p>
            <w:pPr>
              <w:spacing w:after="0"/>
              <w:rPr>
                <w:sz w:val="18"/>
                <w:szCs w:val="18"/>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Burt W. Podbere</w:t>
            </w:r>
          </w:p>
        </w:tc>
      </w:tr>
      <w:tr>
        <w:trPr>
          <w:trHeight w:val="185"/>
        </w:trPr>
        <w:tc>
          <w:tcPr>
            <w:tcW w:w="38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3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1"/>
        </w:trPr>
        <w:tc>
          <w:tcPr>
            <w:tcW w:w="3800" w:type="dxa"/>
            <w:vAlign w:val="bottom"/>
          </w:tcPr>
          <w:p>
            <w:pPr>
              <w:spacing w:after="0"/>
              <w:rPr>
                <w:sz w:val="20"/>
                <w:szCs w:val="20"/>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91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 George Kurtz, the President and Chief Executive Officer of CrowdStrike Holdings, Inc., certify, pursuant to 18 U.S.C. Section 1350, as adopted pursuant to Section 906 of the Sarbanes-Oxley Act of 2002, that the Annual Report on Form 10-K of CrowdStrike Holdings, Inc. for the fiscal year ended January 31, 2025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4" w:lineRule="exact"/>
        <w:rPr>
          <w:sz w:val="20"/>
          <w:szCs w:val="20"/>
          <w:color w:val="auto"/>
        </w:rPr>
      </w:pPr>
    </w:p>
    <w:tbl>
      <w:tblPr>
        <w:tblLayout w:type="fixed"/>
        <w:tblInd w:w="6740" w:type="dxa"/>
        <w:tblCellMar>
          <w:top w:w="0" w:type="dxa"/>
          <w:left w:w="0" w:type="dxa"/>
          <w:bottom w:w="0" w:type="dxa"/>
          <w:right w:w="0" w:type="dxa"/>
        </w:tblCellMar>
      </w:tblPr>
      <w:tr>
        <w:trPr>
          <w:trHeight w:val="2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George Kurtz</w:t>
            </w:r>
          </w:p>
        </w:tc>
      </w:tr>
      <w:tr>
        <w:trPr>
          <w:trHeight w:val="177"/>
        </w:trPr>
        <w:tc>
          <w:tcPr>
            <w:tcW w:w="7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1"/>
        </w:trPr>
        <w:tc>
          <w:tcPr>
            <w:tcW w:w="7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 Burt W. Podbere, the Chief Financial Officer of CrowdStrike Holdings, Inc., certify, pursuant to 18 U.S.C. Section 1350, as adopted pursuant to Section 906 of the Sarbanes-Oxley Act of 2002, that the Annual Report on Form 10-K of CrowdStrike Holdings, Inc. for the fiscal year ended January 31, 2025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4" w:lineRule="exact"/>
        <w:rPr>
          <w:sz w:val="20"/>
          <w:szCs w:val="20"/>
          <w:color w:val="auto"/>
        </w:rPr>
      </w:pPr>
    </w:p>
    <w:tbl>
      <w:tblPr>
        <w:tblLayout w:type="fixed"/>
        <w:tblInd w:w="6740" w:type="dxa"/>
        <w:tblCellMar>
          <w:top w:w="0" w:type="dxa"/>
          <w:left w:w="0" w:type="dxa"/>
          <w:bottom w:w="0" w:type="dxa"/>
          <w:right w:w="0" w:type="dxa"/>
        </w:tblCellMar>
      </w:tblPr>
      <w:tr>
        <w:trPr>
          <w:trHeight w:val="2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Burt W. Podbere</w:t>
            </w:r>
          </w:p>
        </w:tc>
      </w:tr>
      <w:tr>
        <w:trPr>
          <w:trHeight w:val="177"/>
        </w:trPr>
        <w:tc>
          <w:tcPr>
            <w:tcW w:w="760" w:type="dxa"/>
            <w:vAlign w:val="bottom"/>
          </w:tcPr>
          <w:p>
            <w:pPr>
              <w:spacing w:after="0"/>
              <w:rPr>
                <w:sz w:val="15"/>
                <w:szCs w:val="15"/>
                <w:color w:val="auto"/>
              </w:rPr>
            </w:pPr>
          </w:p>
        </w:tc>
        <w:tc>
          <w:tcPr>
            <w:tcW w:w="37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4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74" w:right="339" w:bottom="1440" w:gutter="0" w:footer="0" w:header="0"/>
        </w:sectPr>
      </w:pPr>
    </w:p>
    <w:bookmarkStart w:id="139" w:name="page140"/>
    <w:bookmarkEnd w:id="139"/>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Insider Trading Policy</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Purpose</w:t>
      </w:r>
    </w:p>
    <w:p>
      <w:pPr>
        <w:spacing w:after="0" w:line="251"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Securities laws in the United States and other countries prohibit insiders of a public company, such as employees, officers, members of the board of directors, contractors and consultants, from trading in the securities of that company on the basis of “inside” information. It is a serious crime to violate these insider trading laws. The U.S. Securities and Exchange Commission (“</w:t>
      </w:r>
      <w:r>
        <w:rPr>
          <w:rFonts w:ascii="Arial" w:cs="Arial" w:eastAsia="Arial" w:hAnsi="Arial"/>
          <w:sz w:val="21"/>
          <w:szCs w:val="21"/>
          <w:b w:val="1"/>
          <w:bCs w:val="1"/>
          <w:color w:val="auto"/>
        </w:rPr>
        <w:t>SEC</w:t>
      </w:r>
      <w:r>
        <w:rPr>
          <w:rFonts w:ascii="Arial" w:cs="Arial" w:eastAsia="Arial" w:hAnsi="Arial"/>
          <w:sz w:val="21"/>
          <w:szCs w:val="21"/>
          <w:color w:val="auto"/>
        </w:rPr>
        <w:t>”) and the Financial Industry Regulatory Authority vigilantly monitor stock trading and routinely investigate suspicious activity worldwide. Violations can lead to serious consequences, including severe financial penalties and federal prison time. In addition to the direct liability insiders may face for insider trading violations, public companies and members of their board of directors and officers may be liable for failures to take reasonable steps to prevent such violations by company insiders. As a result, CrowdStrike Holdings, Inc. has adopted this Insider Trading Policy. Throughout this policy, we refer to CrowdStrike Holdings, Inc. and its subsidiaries simply as “</w:t>
      </w:r>
      <w:r>
        <w:rPr>
          <w:rFonts w:ascii="Arial" w:cs="Arial" w:eastAsia="Arial" w:hAnsi="Arial"/>
          <w:sz w:val="21"/>
          <w:szCs w:val="21"/>
          <w:b w:val="1"/>
          <w:bCs w:val="1"/>
          <w:color w:val="auto"/>
        </w:rPr>
        <w:t>CrowdStrike</w:t>
      </w:r>
      <w:r>
        <w:rPr>
          <w:rFonts w:ascii="Arial" w:cs="Arial" w:eastAsia="Arial" w:hAnsi="Arial"/>
          <w:sz w:val="21"/>
          <w:szCs w:val="21"/>
          <w:color w:val="auto"/>
        </w:rPr>
        <w:t>.”</w:t>
      </w:r>
    </w:p>
    <w:p>
      <w:pPr>
        <w:spacing w:after="0" w:line="187" w:lineRule="exact"/>
        <w:rPr>
          <w:sz w:val="20"/>
          <w:szCs w:val="20"/>
          <w:color w:val="auto"/>
        </w:rPr>
      </w:pPr>
    </w:p>
    <w:p>
      <w:pPr>
        <w:ind w:right="240"/>
        <w:spacing w:after="0" w:line="267" w:lineRule="auto"/>
        <w:rPr>
          <w:sz w:val="20"/>
          <w:szCs w:val="20"/>
          <w:color w:val="auto"/>
        </w:rPr>
      </w:pPr>
      <w:r>
        <w:rPr>
          <w:rFonts w:ascii="Arial" w:cs="Arial" w:eastAsia="Arial" w:hAnsi="Arial"/>
          <w:sz w:val="21"/>
          <w:szCs w:val="21"/>
          <w:color w:val="auto"/>
        </w:rPr>
        <w:t>CrowdStrike’s Insider Trading Policy includes strict requirements about securities trading and is designed to help you comply with the insider trading laws, so that you and CrowdStrike can avoid even the appearance of wrongdoing. However, it is your primary responsibility to understand and comply with all applicable securities laws, and you should not rely on this policy to replace that responsibility.</w:t>
      </w:r>
    </w:p>
    <w:p>
      <w:pPr>
        <w:spacing w:after="0" w:line="184" w:lineRule="exact"/>
        <w:rPr>
          <w:sz w:val="20"/>
          <w:szCs w:val="20"/>
          <w:color w:val="auto"/>
        </w:rPr>
      </w:pPr>
    </w:p>
    <w:p>
      <w:pPr>
        <w:ind w:right="180"/>
        <w:spacing w:after="0" w:line="267" w:lineRule="auto"/>
        <w:rPr>
          <w:sz w:val="20"/>
          <w:szCs w:val="20"/>
          <w:color w:val="auto"/>
        </w:rPr>
      </w:pPr>
      <w:r>
        <w:rPr>
          <w:rFonts w:ascii="Arial" w:cs="Arial" w:eastAsia="Arial" w:hAnsi="Arial"/>
          <w:sz w:val="21"/>
          <w:szCs w:val="21"/>
          <w:color w:val="auto"/>
        </w:rPr>
        <w:t>Violating this policy may result in personnel action, up to and including termination of your employment or other relationship with CrowdStrike. If you have any questions about this policy, you are encouraged to contact the Legal Department by submitting a ticket through the Corporate Legal Request tool, which is part of the Legal Services Portal on ServiceNow at [intentionally omitted], or by emailing Stock Administration at [intentionally omitted].</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Who is Subject to this Policy?</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This policy applies to all:</w:t>
      </w:r>
    </w:p>
    <w:p>
      <w:pPr>
        <w:spacing w:after="0" w:line="169" w:lineRule="exact"/>
        <w:rPr>
          <w:sz w:val="20"/>
          <w:szCs w:val="20"/>
          <w:color w:val="auto"/>
        </w:rPr>
      </w:pPr>
    </w:p>
    <w:p>
      <w:pPr>
        <w:ind w:left="640" w:hanging="316"/>
        <w:spacing w:after="0"/>
        <w:tabs>
          <w:tab w:leader="none" w:pos="640" w:val="left"/>
        </w:tabs>
        <w:numPr>
          <w:ilvl w:val="0"/>
          <w:numId w:val="66"/>
        </w:numPr>
        <w:rPr>
          <w:rFonts w:ascii="Calibri" w:cs="Calibri" w:eastAsia="Calibri" w:hAnsi="Calibri"/>
          <w:sz w:val="21"/>
          <w:szCs w:val="21"/>
          <w:color w:val="auto"/>
        </w:rPr>
      </w:pPr>
      <w:r>
        <w:rPr>
          <w:rFonts w:ascii="Arial" w:cs="Arial" w:eastAsia="Arial" w:hAnsi="Arial"/>
          <w:sz w:val="21"/>
          <w:szCs w:val="21"/>
          <w:color w:val="auto"/>
        </w:rPr>
        <w:t>CrowdStrike employees and officers;</w:t>
      </w:r>
    </w:p>
    <w:p>
      <w:pPr>
        <w:spacing w:after="0" w:line="180" w:lineRule="exact"/>
        <w:rPr>
          <w:rFonts w:ascii="Calibri" w:cs="Calibri" w:eastAsia="Calibri" w:hAnsi="Calibri"/>
          <w:sz w:val="21"/>
          <w:szCs w:val="21"/>
          <w:color w:val="auto"/>
        </w:rPr>
      </w:pPr>
    </w:p>
    <w:p>
      <w:pPr>
        <w:ind w:left="640" w:hanging="316"/>
        <w:spacing w:after="0"/>
        <w:tabs>
          <w:tab w:leader="none" w:pos="640" w:val="left"/>
        </w:tabs>
        <w:numPr>
          <w:ilvl w:val="0"/>
          <w:numId w:val="66"/>
        </w:numPr>
        <w:rPr>
          <w:rFonts w:ascii="Calibri" w:cs="Calibri" w:eastAsia="Calibri" w:hAnsi="Calibri"/>
          <w:sz w:val="21"/>
          <w:szCs w:val="21"/>
          <w:color w:val="auto"/>
        </w:rPr>
      </w:pPr>
      <w:r>
        <w:rPr>
          <w:rFonts w:ascii="Arial" w:cs="Arial" w:eastAsia="Arial" w:hAnsi="Arial"/>
          <w:sz w:val="21"/>
          <w:szCs w:val="21"/>
          <w:color w:val="auto"/>
        </w:rPr>
        <w:t>contractors or consultants to CrowdStrike who have access to material non-public information; and</w:t>
      </w:r>
    </w:p>
    <w:p>
      <w:pPr>
        <w:spacing w:after="0" w:line="194" w:lineRule="exact"/>
        <w:rPr>
          <w:rFonts w:ascii="Calibri" w:cs="Calibri" w:eastAsia="Calibri" w:hAnsi="Calibri"/>
          <w:sz w:val="21"/>
          <w:szCs w:val="21"/>
          <w:color w:val="auto"/>
        </w:rPr>
      </w:pPr>
    </w:p>
    <w:p>
      <w:pPr>
        <w:ind w:left="640" w:hanging="316"/>
        <w:spacing w:after="0"/>
        <w:tabs>
          <w:tab w:leader="none" w:pos="640" w:val="left"/>
        </w:tabs>
        <w:numPr>
          <w:ilvl w:val="0"/>
          <w:numId w:val="66"/>
        </w:numPr>
        <w:rPr>
          <w:rFonts w:ascii="Calibri" w:cs="Calibri" w:eastAsia="Calibri" w:hAnsi="Calibri"/>
          <w:sz w:val="21"/>
          <w:szCs w:val="21"/>
          <w:color w:val="auto"/>
        </w:rPr>
      </w:pPr>
      <w:r>
        <w:rPr>
          <w:rFonts w:ascii="Arial" w:cs="Arial" w:eastAsia="Arial" w:hAnsi="Arial"/>
          <w:sz w:val="21"/>
          <w:szCs w:val="21"/>
          <w:color w:val="auto"/>
        </w:rPr>
        <w:t>members of CrowdStrike’s board of directors.</w:t>
      </w:r>
    </w:p>
    <w:p>
      <w:pPr>
        <w:sectPr>
          <w:pgSz w:w="11900" w:h="16838" w:orient="portrait"/>
          <w:cols w:equalWidth="0" w:num="1">
            <w:col w:w="11240"/>
          </w:cols>
          <w:pgMar w:left="320" w:top="107" w:right="339" w:bottom="1440" w:gutter="0" w:footer="0" w:header="0"/>
        </w:sectPr>
      </w:pPr>
    </w:p>
    <w:bookmarkStart w:id="140" w:name="page141"/>
    <w:bookmarkEnd w:id="140"/>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We refer to these individuals as “</w:t>
      </w:r>
      <w:r>
        <w:rPr>
          <w:rFonts w:ascii="Arial" w:cs="Arial" w:eastAsia="Arial" w:hAnsi="Arial"/>
          <w:sz w:val="21"/>
          <w:szCs w:val="21"/>
          <w:b w:val="1"/>
          <w:bCs w:val="1"/>
          <w:color w:val="auto"/>
        </w:rPr>
        <w:t>CrowdStrike Personnel</w:t>
      </w:r>
      <w:r>
        <w:rPr>
          <w:rFonts w:ascii="Arial" w:cs="Arial" w:eastAsia="Arial" w:hAnsi="Arial"/>
          <w:sz w:val="21"/>
          <w:szCs w:val="21"/>
          <w:color w:val="auto"/>
        </w:rPr>
        <w:t>” in this policy. If you are covered by this policy, it also applies to (i) anyone living in your household, (ii) any individuals (whether or not living in your household) whose securities transactions are</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21"/>
          <w:szCs w:val="21"/>
          <w:color w:val="auto"/>
        </w:rPr>
        <w:t>subject to your influence or control, and (iii) any entities such as corporations, partnerships, trusts and estates, whose securities transactions you control (“</w:t>
      </w:r>
      <w:r>
        <w:rPr>
          <w:rFonts w:ascii="Arial" w:cs="Arial" w:eastAsia="Arial" w:hAnsi="Arial"/>
          <w:sz w:val="21"/>
          <w:szCs w:val="21"/>
          <w:b w:val="1"/>
          <w:bCs w:val="1"/>
          <w:color w:val="auto"/>
        </w:rPr>
        <w:t>Related Persons and Entities</w:t>
      </w:r>
      <w:r>
        <w:rPr>
          <w:rFonts w:ascii="Arial" w:cs="Arial" w:eastAsia="Arial" w:hAnsi="Arial"/>
          <w:sz w:val="21"/>
          <w:szCs w:val="21"/>
          <w:color w:val="auto"/>
        </w:rPr>
        <w:t>”). You are responsible for the transactions of these Related Persons and Entities and therefore you should make them aware of the need to confer with you before they trade in CrowdStrike securities. For purposes of this policy and the securities laws, you should consider all such transactions by Related Persons and Entities as if the transactions were for your own account. CrowdStrike Personnel and Related Persons and Entities are collectively referred to as “</w:t>
      </w:r>
      <w:r>
        <w:rPr>
          <w:rFonts w:ascii="Arial" w:cs="Arial" w:eastAsia="Arial" w:hAnsi="Arial"/>
          <w:sz w:val="21"/>
          <w:szCs w:val="21"/>
          <w:b w:val="1"/>
          <w:bCs w:val="1"/>
          <w:color w:val="auto"/>
        </w:rPr>
        <w:t>CrowdStrike Insiders</w:t>
      </w:r>
      <w:r>
        <w:rPr>
          <w:rFonts w:ascii="Arial" w:cs="Arial" w:eastAsia="Arial" w:hAnsi="Arial"/>
          <w:sz w:val="21"/>
          <w:szCs w:val="21"/>
          <w:color w:val="auto"/>
        </w:rPr>
        <w:t>” in this policy.</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Financial Advisors and Brokers</w:t>
      </w:r>
    </w:p>
    <w:p>
      <w:pPr>
        <w:spacing w:after="0" w:line="247" w:lineRule="exact"/>
        <w:rPr>
          <w:sz w:val="20"/>
          <w:szCs w:val="20"/>
          <w:color w:val="auto"/>
        </w:rPr>
      </w:pPr>
    </w:p>
    <w:p>
      <w:pPr>
        <w:ind w:right="160"/>
        <w:spacing w:after="0" w:line="269" w:lineRule="auto"/>
        <w:rPr>
          <w:sz w:val="20"/>
          <w:szCs w:val="20"/>
          <w:color w:val="auto"/>
        </w:rPr>
      </w:pPr>
      <w:r>
        <w:rPr>
          <w:rFonts w:ascii="Arial" w:cs="Arial" w:eastAsia="Arial" w:hAnsi="Arial"/>
          <w:sz w:val="21"/>
          <w:szCs w:val="21"/>
          <w:color w:val="auto"/>
        </w:rPr>
        <w:t>You are responsible for making sure your financial advisors and brokers are aware of this policy and that any actions they take on your behalf are compliant with this policy. Even if your financial advisor or broker has discretionary control over your accounts, all transactions must comply with this policy, including the trading windows.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CROWDSTRIKE’S POLICY</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color w:val="auto"/>
        </w:rPr>
        <w:t>CrowdStrike is committed to complying with all applicable insider trading laws. Our policy is simple:</w:t>
      </w:r>
    </w:p>
    <w:p>
      <w:pPr>
        <w:spacing w:after="0" w:line="249" w:lineRule="exact"/>
        <w:rPr>
          <w:sz w:val="20"/>
          <w:szCs w:val="20"/>
          <w:color w:val="auto"/>
        </w:rPr>
      </w:pPr>
    </w:p>
    <w:p>
      <w:pPr>
        <w:ind w:left="640" w:right="240" w:hanging="316"/>
        <w:spacing w:after="0" w:line="288" w:lineRule="auto"/>
        <w:tabs>
          <w:tab w:leader="none" w:pos="569" w:val="left"/>
        </w:tabs>
        <w:numPr>
          <w:ilvl w:val="0"/>
          <w:numId w:val="67"/>
        </w:numPr>
        <w:rPr>
          <w:rFonts w:ascii="Arial" w:cs="Arial" w:eastAsia="Arial" w:hAnsi="Arial"/>
          <w:sz w:val="21"/>
          <w:szCs w:val="21"/>
          <w:color w:val="auto"/>
        </w:rPr>
      </w:pPr>
      <w:r>
        <w:rPr>
          <w:rFonts w:ascii="Arial" w:cs="Arial" w:eastAsia="Arial" w:hAnsi="Arial"/>
          <w:sz w:val="21"/>
          <w:szCs w:val="21"/>
          <w:color w:val="auto"/>
        </w:rPr>
        <w:t>You may not trade CrowdStrike securities, or the stock of other companies working with CrowdStrike, when you have material non-public information.</w:t>
      </w:r>
    </w:p>
    <w:p>
      <w:pPr>
        <w:spacing w:after="0" w:line="162" w:lineRule="exact"/>
        <w:rPr>
          <w:rFonts w:ascii="Arial" w:cs="Arial" w:eastAsia="Arial" w:hAnsi="Arial"/>
          <w:sz w:val="21"/>
          <w:szCs w:val="21"/>
          <w:color w:val="auto"/>
        </w:rPr>
      </w:pPr>
    </w:p>
    <w:p>
      <w:pPr>
        <w:ind w:left="640" w:right="40" w:hanging="316"/>
        <w:spacing w:after="0" w:line="288" w:lineRule="auto"/>
        <w:tabs>
          <w:tab w:leader="none" w:pos="569" w:val="left"/>
        </w:tabs>
        <w:numPr>
          <w:ilvl w:val="0"/>
          <w:numId w:val="67"/>
        </w:numPr>
        <w:rPr>
          <w:rFonts w:ascii="Arial" w:cs="Arial" w:eastAsia="Arial" w:hAnsi="Arial"/>
          <w:sz w:val="21"/>
          <w:szCs w:val="21"/>
          <w:color w:val="auto"/>
        </w:rPr>
      </w:pPr>
      <w:r>
        <w:rPr>
          <w:rFonts w:ascii="Arial" w:cs="Arial" w:eastAsia="Arial" w:hAnsi="Arial"/>
          <w:sz w:val="21"/>
          <w:szCs w:val="21"/>
          <w:color w:val="auto"/>
        </w:rPr>
        <w:t>You may not disclose CrowdStrike’s material non-public information to other people – that can be “tipping” and it’s illegal.</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Further details are described below.</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Buying, Selling or Gifting CrowdStrike Securities</w:t>
      </w:r>
    </w:p>
    <w:p>
      <w:pPr>
        <w:spacing w:after="0" w:line="251" w:lineRule="exact"/>
        <w:rPr>
          <w:sz w:val="20"/>
          <w:szCs w:val="20"/>
          <w:color w:val="auto"/>
        </w:rPr>
      </w:pPr>
    </w:p>
    <w:p>
      <w:pPr>
        <w:ind w:right="160"/>
        <w:spacing w:after="0" w:line="269" w:lineRule="auto"/>
        <w:rPr>
          <w:sz w:val="20"/>
          <w:szCs w:val="20"/>
          <w:color w:val="auto"/>
        </w:rPr>
      </w:pPr>
      <w:r>
        <w:rPr>
          <w:rFonts w:ascii="Arial" w:cs="Arial" w:eastAsia="Arial" w:hAnsi="Arial"/>
          <w:sz w:val="21"/>
          <w:szCs w:val="21"/>
          <w:color w:val="auto"/>
        </w:rPr>
        <w:t xml:space="preserve">CrowdStrike Insiders may only buy, sell or gift CrowdStrike securities when not in possession of material non-public information (defined below) </w:t>
      </w:r>
      <w:r>
        <w:rPr>
          <w:rFonts w:ascii="Arial" w:cs="Arial" w:eastAsia="Arial" w:hAnsi="Arial"/>
          <w:sz w:val="21"/>
          <w:szCs w:val="21"/>
          <w:b w:val="1"/>
          <w:bCs w:val="1"/>
          <w:u w:val="single" w:color="auto"/>
          <w:color w:val="auto"/>
        </w:rPr>
        <w:t>and</w:t>
      </w:r>
      <w:r>
        <w:rPr>
          <w:rFonts w:ascii="Arial" w:cs="Arial" w:eastAsia="Arial" w:hAnsi="Arial"/>
          <w:sz w:val="21"/>
          <w:szCs w:val="21"/>
          <w:color w:val="auto"/>
        </w:rPr>
        <w:t xml:space="preserve"> the trading window is open. You may not buy, sell or gift CrowdStrike securities during a closed trading window regardless of whether you have material non-public information.</w:t>
      </w:r>
    </w:p>
    <w:p>
      <w:pPr>
        <w:sectPr>
          <w:pgSz w:w="11900" w:h="16838" w:orient="portrait"/>
          <w:cols w:equalWidth="0" w:num="1">
            <w:col w:w="11240"/>
          </w:cols>
          <w:pgMar w:left="320" w:top="107" w:right="339" w:bottom="1440" w:gutter="0" w:footer="0" w:header="0"/>
        </w:sectPr>
      </w:pPr>
    </w:p>
    <w:bookmarkStart w:id="141" w:name="page142"/>
    <w:bookmarkEnd w:id="141"/>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263" w:lineRule="auto"/>
        <w:rPr>
          <w:sz w:val="20"/>
          <w:szCs w:val="20"/>
          <w:color w:val="auto"/>
        </w:rPr>
      </w:pPr>
      <w:r>
        <w:rPr>
          <w:rFonts w:ascii="Arial" w:cs="Arial" w:eastAsia="Arial" w:hAnsi="Arial"/>
          <w:sz w:val="21"/>
          <w:szCs w:val="21"/>
          <w:color w:val="auto"/>
        </w:rPr>
        <w:t>Your personal circumstances do not matter. Insider trading laws do not recognize mitigating circumstances such as an unexpected financial hardship. Related Persons and Entities similarly may not buy, sell or gift CrowdStrike securities when in the possession of, or when related CrowdStrike Personnel are in the possession of, material non-public information. This includes distributions to any of your securityholders, including stockholders, general partners, or limited partners.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is Material Non-Public Information?</w:t>
      </w:r>
    </w:p>
    <w:p>
      <w:pPr>
        <w:spacing w:after="0" w:line="249" w:lineRule="exact"/>
        <w:rPr>
          <w:sz w:val="20"/>
          <w:szCs w:val="20"/>
          <w:color w:val="auto"/>
        </w:rPr>
      </w:pPr>
    </w:p>
    <w:p>
      <w:pPr>
        <w:ind w:right="20"/>
        <w:spacing w:after="0" w:line="267" w:lineRule="auto"/>
        <w:rPr>
          <w:sz w:val="20"/>
          <w:szCs w:val="20"/>
          <w:color w:val="auto"/>
        </w:rPr>
      </w:pPr>
      <w:r>
        <w:rPr>
          <w:rFonts w:ascii="Arial" w:cs="Arial" w:eastAsia="Arial" w:hAnsi="Arial"/>
          <w:sz w:val="21"/>
          <w:szCs w:val="21"/>
          <w:color w:val="auto"/>
        </w:rPr>
        <w:t xml:space="preserve">Information is </w:t>
      </w:r>
      <w:r>
        <w:rPr>
          <w:rFonts w:ascii="Arial" w:cs="Arial" w:eastAsia="Arial" w:hAnsi="Arial"/>
          <w:sz w:val="21"/>
          <w:szCs w:val="21"/>
          <w:b w:val="1"/>
          <w:bCs w:val="1"/>
          <w:u w:val="single" w:color="auto"/>
          <w:color w:val="auto"/>
        </w:rPr>
        <w:t>material</w:t>
      </w:r>
      <w:r>
        <w:rPr>
          <w:rFonts w:ascii="Arial" w:cs="Arial" w:eastAsia="Arial" w:hAnsi="Arial"/>
          <w:sz w:val="21"/>
          <w:szCs w:val="21"/>
          <w:color w:val="auto"/>
        </w:rPr>
        <w:t xml:space="preserve"> if a reasonable investor would consider it important in deciding to buy or sell securities. Material information can be positive or negative. Examples of material information may include, but are not limited to, financial results, cybersecurity incidents or data breaches, major customer or partner developments or announcements, potential mergers or acquisitions, litigation filings or results, and key personnel hires or departures.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 xml:space="preserve">Information is </w:t>
      </w:r>
      <w:r>
        <w:rPr>
          <w:rFonts w:ascii="Arial" w:cs="Arial" w:eastAsia="Arial" w:hAnsi="Arial"/>
          <w:sz w:val="21"/>
          <w:szCs w:val="21"/>
          <w:b w:val="1"/>
          <w:bCs w:val="1"/>
          <w:u w:val="single" w:color="auto"/>
          <w:color w:val="auto"/>
        </w:rPr>
        <w:t>non-public</w:t>
      </w:r>
      <w:r>
        <w:rPr>
          <w:rFonts w:ascii="Arial" w:cs="Arial" w:eastAsia="Arial" w:hAnsi="Arial"/>
          <w:sz w:val="21"/>
          <w:szCs w:val="21"/>
          <w:color w:val="auto"/>
        </w:rPr>
        <w:t xml:space="preserve"> if it has not yet been released and adequately disclosed to the public. Adequate disclosure means the information has been publicly released and sufficient time has passed for the securities markets to digest the information. You should assume information is non-public unless you can point to its official release by CrowdStrike in a press release or on its investor relations website; in a public SEC filing such as Form 10-K, 10-Q, 8-K, proxy statement or prospectus; or in a publicly available webinar or conference call.</w:t>
      </w:r>
    </w:p>
    <w:p>
      <w:pPr>
        <w:spacing w:after="0" w:line="189" w:lineRule="exact"/>
        <w:rPr>
          <w:sz w:val="20"/>
          <w:szCs w:val="20"/>
          <w:color w:val="auto"/>
        </w:rPr>
      </w:pPr>
    </w:p>
    <w:p>
      <w:pPr>
        <w:ind w:right="200"/>
        <w:spacing w:after="0" w:line="269" w:lineRule="auto"/>
        <w:rPr>
          <w:sz w:val="20"/>
          <w:szCs w:val="20"/>
          <w:color w:val="auto"/>
        </w:rPr>
      </w:pPr>
      <w:r>
        <w:rPr>
          <w:rFonts w:ascii="Arial" w:cs="Arial" w:eastAsia="Arial" w:hAnsi="Arial"/>
          <w:sz w:val="21"/>
          <w:szCs w:val="21"/>
          <w:color w:val="auto"/>
        </w:rPr>
        <w:t xml:space="preserve">Through your position at CrowdStrike, you may learn material non-public information about our customers, partners or competitors. It is illegal to trade the securities of </w:t>
      </w:r>
      <w:r>
        <w:rPr>
          <w:rFonts w:ascii="Arial" w:cs="Arial" w:eastAsia="Arial" w:hAnsi="Arial"/>
          <w:sz w:val="21"/>
          <w:szCs w:val="21"/>
          <w:b w:val="1"/>
          <w:bCs w:val="1"/>
          <w:u w:val="single" w:color="auto"/>
          <w:color w:val="auto"/>
        </w:rPr>
        <w:t>any</w:t>
      </w:r>
      <w:r>
        <w:rPr>
          <w:rFonts w:ascii="Arial" w:cs="Arial" w:eastAsia="Arial" w:hAnsi="Arial"/>
          <w:sz w:val="21"/>
          <w:szCs w:val="21"/>
          <w:color w:val="auto"/>
        </w:rPr>
        <w:t xml:space="preserve"> company while in possession of material non-public information about that company.</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are CrowdStrike Securities?</w:t>
      </w:r>
    </w:p>
    <w:p>
      <w:pPr>
        <w:spacing w:after="0" w:line="262" w:lineRule="exact"/>
        <w:rPr>
          <w:sz w:val="20"/>
          <w:szCs w:val="20"/>
          <w:color w:val="auto"/>
        </w:rPr>
      </w:pPr>
    </w:p>
    <w:p>
      <w:pPr>
        <w:ind w:right="220"/>
        <w:spacing w:after="0" w:line="260" w:lineRule="auto"/>
        <w:rPr>
          <w:sz w:val="20"/>
          <w:szCs w:val="20"/>
          <w:color w:val="auto"/>
        </w:rPr>
      </w:pPr>
      <w:r>
        <w:rPr>
          <w:rFonts w:ascii="Arial" w:cs="Arial" w:eastAsia="Arial" w:hAnsi="Arial"/>
          <w:sz w:val="21"/>
          <w:szCs w:val="21"/>
          <w:color w:val="auto"/>
        </w:rPr>
        <w:t>CrowdStrike securities include CrowdStrike common stock, restricted stock units (“</w:t>
      </w:r>
      <w:r>
        <w:rPr>
          <w:rFonts w:ascii="Arial" w:cs="Arial" w:eastAsia="Arial" w:hAnsi="Arial"/>
          <w:sz w:val="21"/>
          <w:szCs w:val="21"/>
          <w:b w:val="1"/>
          <w:bCs w:val="1"/>
          <w:color w:val="auto"/>
        </w:rPr>
        <w:t>RSUs</w:t>
      </w:r>
      <w:r>
        <w:rPr>
          <w:rFonts w:ascii="Arial" w:cs="Arial" w:eastAsia="Arial" w:hAnsi="Arial"/>
          <w:sz w:val="21"/>
          <w:szCs w:val="21"/>
          <w:color w:val="auto"/>
        </w:rPr>
        <w:t>”), performance stock units (“</w:t>
      </w:r>
      <w:r>
        <w:rPr>
          <w:rFonts w:ascii="Arial" w:cs="Arial" w:eastAsia="Arial" w:hAnsi="Arial"/>
          <w:sz w:val="21"/>
          <w:szCs w:val="21"/>
          <w:b w:val="1"/>
          <w:bCs w:val="1"/>
          <w:color w:val="auto"/>
        </w:rPr>
        <w:t>PSUs</w:t>
      </w:r>
      <w:r>
        <w:rPr>
          <w:rFonts w:ascii="Arial" w:cs="Arial" w:eastAsia="Arial" w:hAnsi="Arial"/>
          <w:sz w:val="21"/>
          <w:szCs w:val="21"/>
          <w:color w:val="auto"/>
        </w:rPr>
        <w:t>”), options and warrants to purchase stock and any other debt or equity securities CrowdStrike may issue from time to time, such as bonds, preferred stock, or convertible notes. If you owned CrowdStrike securities before you became a CrowdStrike Insider, such securities are subject to this policy, just like any CrowdStrike securities you may acquire while you are a CrowdStrike Insider.</w:t>
      </w:r>
    </w:p>
    <w:p>
      <w:pPr>
        <w:sectPr>
          <w:pgSz w:w="11900" w:h="16838" w:orient="portrait"/>
          <w:cols w:equalWidth="0" w:num="1">
            <w:col w:w="11240"/>
          </w:cols>
          <w:pgMar w:left="320" w:top="107" w:right="339" w:bottom="1440" w:gutter="0" w:footer="0" w:header="0"/>
        </w:sectPr>
      </w:pPr>
    </w:p>
    <w:bookmarkStart w:id="142" w:name="page143"/>
    <w:bookmarkEnd w:id="142"/>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Exchange Traded Funds and Mutual Funds Which Hold CrowdStrike Stock</w:t>
      </w:r>
    </w:p>
    <w:p>
      <w:pPr>
        <w:spacing w:after="0" w:line="247"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You may buy shares in an exchange traded fund or a mutual fund that holds shares of CrowdStrike, subject to certain limitations. If CrowdStrike’s stock comprises more than 5% of the value of the fund, you should treat shares of those funds that the same as if it were CrowdStrike stock – you may only buy and sell shares of those funds when you are not in possession of material non-public information and the trading window is open. If CrowdStrike stock comprises less than 5% of the value of the fund, you may trade in shares of such funds at any time.</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Trading Windows and Blackout Periods</w:t>
      </w:r>
    </w:p>
    <w:p>
      <w:pPr>
        <w:spacing w:after="0" w:line="251" w:lineRule="exact"/>
        <w:rPr>
          <w:sz w:val="20"/>
          <w:szCs w:val="20"/>
          <w:color w:val="auto"/>
        </w:rPr>
      </w:pPr>
    </w:p>
    <w:p>
      <w:pPr>
        <w:ind w:right="940"/>
        <w:spacing w:after="0" w:line="266" w:lineRule="auto"/>
        <w:rPr>
          <w:sz w:val="20"/>
          <w:szCs w:val="20"/>
          <w:color w:val="auto"/>
        </w:rPr>
      </w:pPr>
      <w:r>
        <w:rPr>
          <w:rFonts w:ascii="Arial" w:cs="Arial" w:eastAsia="Arial" w:hAnsi="Arial"/>
          <w:sz w:val="21"/>
          <w:szCs w:val="21"/>
          <w:color w:val="auto"/>
        </w:rPr>
        <w:t>Trading windows are periods of time when CrowdStrike Insiders are either permitted or prohibited from trading CrowdStrike securities. When the trading window is open,</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21"/>
          <w:szCs w:val="21"/>
          <w:color w:val="auto"/>
        </w:rPr>
        <w:t xml:space="preserve">CrowdStrike Insiders may buy, sell or gift CrowdStrike securities provided they are not in possession of material non-public information. When the trading window is closed (also known as a “ </w:t>
      </w:r>
      <w:r>
        <w:rPr>
          <w:rFonts w:ascii="Arial" w:cs="Arial" w:eastAsia="Arial" w:hAnsi="Arial"/>
          <w:sz w:val="21"/>
          <w:szCs w:val="21"/>
          <w:b w:val="1"/>
          <w:bCs w:val="1"/>
          <w:color w:val="auto"/>
        </w:rPr>
        <w:t>blackout period</w:t>
      </w:r>
      <w:r>
        <w:rPr>
          <w:rFonts w:ascii="Arial" w:cs="Arial" w:eastAsia="Arial" w:hAnsi="Arial"/>
          <w:sz w:val="21"/>
          <w:szCs w:val="21"/>
          <w:color w:val="auto"/>
        </w:rPr>
        <w:t>”), CrowdStrike Insiders may not buy, sell or gift CrowdStrike securities because there is a greater risk that CrowdStrike Insiders may have or be assumed to have material non-public information. It is your responsibility to terminate any open trades when CrowdStrike’s trading window closes.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Quarterly Blackout Periods</w:t>
      </w:r>
    </w:p>
    <w:p>
      <w:pPr>
        <w:spacing w:after="0" w:line="247" w:lineRule="exact"/>
        <w:rPr>
          <w:sz w:val="20"/>
          <w:szCs w:val="20"/>
          <w:color w:val="auto"/>
        </w:rPr>
      </w:pPr>
    </w:p>
    <w:p>
      <w:pPr>
        <w:jc w:val="both"/>
        <w:ind w:right="80"/>
        <w:spacing w:after="0" w:line="269" w:lineRule="auto"/>
        <w:rPr>
          <w:sz w:val="20"/>
          <w:szCs w:val="20"/>
          <w:color w:val="auto"/>
        </w:rPr>
      </w:pPr>
      <w:r>
        <w:rPr>
          <w:rFonts w:ascii="Arial" w:cs="Arial" w:eastAsia="Arial" w:hAnsi="Arial"/>
          <w:sz w:val="21"/>
          <w:szCs w:val="21"/>
          <w:color w:val="auto"/>
        </w:rPr>
        <w:t>CrowdStrike’s window period will be communicated by email to CrowdStrike Personnel. You can find a calendar of our trading windows on the Stock Administration intranet page. The quarterly blackout periods are subject to change at any time in CrowdStrike’s full discretion, so you should check the calendar regularly prior to any planned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Event-Specific Blackouts</w:t>
      </w:r>
    </w:p>
    <w:p>
      <w:pPr>
        <w:spacing w:after="0" w:line="260" w:lineRule="exact"/>
        <w:rPr>
          <w:sz w:val="20"/>
          <w:szCs w:val="20"/>
          <w:color w:val="auto"/>
        </w:rPr>
      </w:pPr>
    </w:p>
    <w:p>
      <w:pPr>
        <w:ind w:right="440"/>
        <w:spacing w:after="0" w:line="262" w:lineRule="auto"/>
        <w:rPr>
          <w:sz w:val="20"/>
          <w:szCs w:val="20"/>
          <w:color w:val="auto"/>
        </w:rPr>
      </w:pPr>
      <w:r>
        <w:rPr>
          <w:rFonts w:ascii="Arial" w:cs="Arial" w:eastAsia="Arial" w:hAnsi="Arial"/>
          <w:sz w:val="21"/>
          <w:szCs w:val="21"/>
          <w:color w:val="auto"/>
        </w:rPr>
        <w:t>From time-to-time CrowdStrike may need to close its trading window to some or all CrowdStrike Personnel without notice. If this occurs, impacted CrowdStrike Personnel will be notified by email. If you are among the impacted CrowdStrike Personnel, you are responsible for notifying your broker and any Related Persons and Entities that the trading window closed and to terminate any open trades.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Pre-Clearance</w:t>
      </w:r>
    </w:p>
    <w:p>
      <w:pPr>
        <w:spacing w:after="0" w:line="260" w:lineRule="exact"/>
        <w:rPr>
          <w:sz w:val="20"/>
          <w:szCs w:val="20"/>
          <w:color w:val="auto"/>
        </w:rPr>
      </w:pPr>
    </w:p>
    <w:p>
      <w:pPr>
        <w:ind w:right="120"/>
        <w:spacing w:after="0" w:line="269" w:lineRule="auto"/>
        <w:rPr>
          <w:sz w:val="20"/>
          <w:szCs w:val="20"/>
          <w:color w:val="auto"/>
        </w:rPr>
      </w:pPr>
      <w:r>
        <w:rPr>
          <w:rFonts w:ascii="Arial" w:cs="Arial" w:eastAsia="Arial" w:hAnsi="Arial"/>
          <w:sz w:val="21"/>
          <w:szCs w:val="21"/>
          <w:color w:val="auto"/>
        </w:rPr>
        <w:t>Special pre-clearance rules apply to CrowdStrike’s board of directors, Section 16 officers, and certain other designated individuals, even when the trading window is open. Those individuals should consult “Pre-Clearance for Board Members, Section 16 Officers, and other Designated Individuals” below.</w:t>
      </w:r>
    </w:p>
    <w:p>
      <w:pPr>
        <w:sectPr>
          <w:pgSz w:w="11900" w:h="16838" w:orient="portrait"/>
          <w:cols w:equalWidth="0" w:num="1">
            <w:col w:w="11240"/>
          </w:cols>
          <w:pgMar w:left="320" w:top="107" w:right="339" w:bottom="1440" w:gutter="0" w:footer="0" w:header="0"/>
        </w:sectPr>
      </w:pPr>
    </w:p>
    <w:bookmarkStart w:id="143" w:name="page144"/>
    <w:bookmarkEnd w:id="143"/>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Disclosure of Material Non-Public Information and Tipping</w:t>
      </w:r>
    </w:p>
    <w:p>
      <w:pPr>
        <w:spacing w:after="0" w:line="251" w:lineRule="exact"/>
        <w:rPr>
          <w:sz w:val="20"/>
          <w:szCs w:val="20"/>
          <w:color w:val="auto"/>
        </w:rPr>
      </w:pPr>
    </w:p>
    <w:p>
      <w:pPr>
        <w:ind w:right="100"/>
        <w:spacing w:after="0" w:line="267" w:lineRule="auto"/>
        <w:rPr>
          <w:sz w:val="20"/>
          <w:szCs w:val="20"/>
          <w:color w:val="auto"/>
        </w:rPr>
      </w:pPr>
      <w:r>
        <w:rPr>
          <w:rFonts w:ascii="Arial" w:cs="Arial" w:eastAsia="Arial" w:hAnsi="Arial"/>
          <w:sz w:val="21"/>
          <w:szCs w:val="21"/>
          <w:color w:val="auto"/>
        </w:rPr>
        <w:t>You may only disclose material non-public information about CrowdStrike to CrowdStrike Personnel and third-parties who are subject to contractual non-disclosure obligations and have a legitimate business need to know the information. You may never recommend to another person that they buy, hold or sell CrowdStrike securities. These rules are to ensure that no CrowdStrike Insider engages in “tipping”, which is a violation of insider trading laws.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Illegal tipping includes:</w:t>
      </w:r>
    </w:p>
    <w:p>
      <w:pPr>
        <w:spacing w:after="0" w:line="249" w:lineRule="exact"/>
        <w:rPr>
          <w:sz w:val="20"/>
          <w:szCs w:val="20"/>
          <w:color w:val="auto"/>
        </w:rPr>
      </w:pPr>
    </w:p>
    <w:p>
      <w:pPr>
        <w:ind w:left="460" w:hanging="136"/>
        <w:spacing w:after="0"/>
        <w:tabs>
          <w:tab w:leader="none" w:pos="46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disclosing material non-public information to someone who uses the information to buy or sell securities; and</w:t>
      </w:r>
    </w:p>
    <w:p>
      <w:pPr>
        <w:spacing w:after="0" w:line="247" w:lineRule="exact"/>
        <w:rPr>
          <w:rFonts w:ascii="Times New Roman" w:cs="Times New Roman" w:eastAsia="Times New Roman" w:hAnsi="Times New Roman"/>
          <w:sz w:val="21"/>
          <w:szCs w:val="21"/>
          <w:color w:val="auto"/>
        </w:rPr>
      </w:pPr>
    </w:p>
    <w:p>
      <w:pPr>
        <w:ind w:left="640" w:right="380" w:hanging="316"/>
        <w:spacing w:after="0" w:line="300" w:lineRule="auto"/>
        <w:tabs>
          <w:tab w:leader="none" w:pos="449"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telling or encouraging someone to buy, sell or hold securities while you are in possession of material non-public information.</w:t>
      </w:r>
    </w:p>
    <w:p>
      <w:pPr>
        <w:spacing w:after="0" w:line="150" w:lineRule="exact"/>
        <w:rPr>
          <w:sz w:val="20"/>
          <w:szCs w:val="20"/>
          <w:color w:val="auto"/>
        </w:rPr>
      </w:pPr>
    </w:p>
    <w:p>
      <w:pPr>
        <w:ind w:right="280"/>
        <w:spacing w:after="0" w:line="269" w:lineRule="auto"/>
        <w:rPr>
          <w:sz w:val="20"/>
          <w:szCs w:val="20"/>
          <w:color w:val="auto"/>
        </w:rPr>
      </w:pPr>
      <w:r>
        <w:rPr>
          <w:rFonts w:ascii="Arial" w:cs="Arial" w:eastAsia="Arial" w:hAnsi="Arial"/>
          <w:sz w:val="21"/>
          <w:szCs w:val="21"/>
          <w:color w:val="auto"/>
        </w:rPr>
        <w:t>Tipping violations can spread. If a person you told – a tippee – tells other people who trade on the information, the person you told becomes a tipper and can be found guilty of insider trading. Don’t put your spouse, family member or friend at risk of violating insider trading laws – even if they don’t trade, you never know who they may tell.</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Websites and Social Media</w:t>
      </w:r>
    </w:p>
    <w:p>
      <w:pPr>
        <w:spacing w:after="0" w:line="247" w:lineRule="exact"/>
        <w:rPr>
          <w:sz w:val="20"/>
          <w:szCs w:val="20"/>
          <w:color w:val="auto"/>
        </w:rPr>
      </w:pPr>
    </w:p>
    <w:p>
      <w:pPr>
        <w:jc w:val="both"/>
        <w:ind w:right="140"/>
        <w:spacing w:after="0" w:line="275" w:lineRule="auto"/>
        <w:rPr>
          <w:sz w:val="20"/>
          <w:szCs w:val="20"/>
          <w:color w:val="auto"/>
        </w:rPr>
      </w:pPr>
      <w:r>
        <w:rPr>
          <w:rFonts w:ascii="Arial" w:cs="Arial" w:eastAsia="Arial" w:hAnsi="Arial"/>
          <w:sz w:val="21"/>
          <w:szCs w:val="21"/>
          <w:color w:val="auto"/>
        </w:rPr>
        <w:t>Never discuss or comment on CrowdStrike stock, our stock price or our financial performance on the Internet including any blogs, social media forums or other electronic discussion groups. All other participation in online forums is subject to CrowdStrike’s Media and Social Media Policy.</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Research Groups and “Expert Networks”</w:t>
      </w:r>
    </w:p>
    <w:p>
      <w:pPr>
        <w:spacing w:after="0" w:line="247"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Certain actors may seek to entice you to share material non-public information. These clever adversaries may disguise their intent by asking you to take a survey, participate in an interview, speak on a panel or otherwise “share your expertise”. These actors and their inquiries may seem to be mundane or benign, but beware – they are piecing together information about CrowdStrike from many sources to try to get an “edge” in investing, and they don’t care if you get in trouble for tipping. Don’t respond to calls or emails from these organizations.</w:t>
      </w:r>
    </w:p>
    <w:p>
      <w:pPr>
        <w:sectPr>
          <w:pgSz w:w="11900" w:h="16838" w:orient="portrait"/>
          <w:cols w:equalWidth="0" w:num="1">
            <w:col w:w="11240"/>
          </w:cols>
          <w:pgMar w:left="320" w:top="107" w:right="339" w:bottom="1440" w:gutter="0" w:footer="0" w:header="0"/>
        </w:sectPr>
      </w:pPr>
    </w:p>
    <w:bookmarkStart w:id="144" w:name="page145"/>
    <w:bookmarkEnd w:id="144"/>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Prohibited Transactions</w:t>
      </w:r>
    </w:p>
    <w:p>
      <w:pPr>
        <w:spacing w:after="0" w:line="251" w:lineRule="exact"/>
        <w:rPr>
          <w:sz w:val="20"/>
          <w:szCs w:val="20"/>
          <w:color w:val="auto"/>
        </w:rPr>
      </w:pPr>
    </w:p>
    <w:p>
      <w:pPr>
        <w:ind w:right="120"/>
        <w:spacing w:after="0" w:line="275" w:lineRule="auto"/>
        <w:rPr>
          <w:sz w:val="20"/>
          <w:szCs w:val="20"/>
          <w:color w:val="auto"/>
        </w:rPr>
      </w:pPr>
      <w:r>
        <w:rPr>
          <w:rFonts w:ascii="Arial" w:cs="Arial" w:eastAsia="Arial" w:hAnsi="Arial"/>
          <w:sz w:val="21"/>
          <w:szCs w:val="21"/>
          <w:color w:val="auto"/>
        </w:rPr>
        <w:t>CrowdStrike is dedicated to building stockholder value. The following transactions are prohibited because they result in CrowdStrike Insiders no longer having objectives that are aligned with CrowdStrike’s stockholders, or may otherwise cause a CrowdStrike Insider to violate this policy.</w:t>
      </w:r>
    </w:p>
    <w:p>
      <w:pPr>
        <w:spacing w:after="0" w:line="175" w:lineRule="exact"/>
        <w:rPr>
          <w:sz w:val="20"/>
          <w:szCs w:val="20"/>
          <w:color w:val="auto"/>
        </w:rPr>
      </w:pPr>
    </w:p>
    <w:p>
      <w:pPr>
        <w:ind w:left="640" w:right="60" w:hanging="634"/>
        <w:spacing w:after="0" w:line="266" w:lineRule="auto"/>
        <w:tabs>
          <w:tab w:leader="none" w:pos="640" w:val="left"/>
        </w:tabs>
        <w:numPr>
          <w:ilvl w:val="0"/>
          <w:numId w:val="69"/>
        </w:numPr>
        <w:rPr>
          <w:rFonts w:ascii="Calibri" w:cs="Calibri" w:eastAsia="Calibri" w:hAnsi="Calibri"/>
          <w:sz w:val="21"/>
          <w:szCs w:val="21"/>
          <w:color w:val="auto"/>
        </w:rPr>
      </w:pPr>
      <w:r>
        <w:rPr>
          <w:rFonts w:ascii="Arial" w:cs="Arial" w:eastAsia="Arial" w:hAnsi="Arial"/>
          <w:sz w:val="21"/>
          <w:szCs w:val="21"/>
          <w:b w:val="1"/>
          <w:bCs w:val="1"/>
          <w:color w:val="auto"/>
        </w:rPr>
        <w:t xml:space="preserve">Derivative Securities and Hedging: </w:t>
      </w:r>
      <w:r>
        <w:rPr>
          <w:rFonts w:ascii="Arial" w:cs="Arial" w:eastAsia="Arial" w:hAnsi="Arial"/>
          <w:sz w:val="21"/>
          <w:szCs w:val="21"/>
          <w:color w:val="auto"/>
        </w:rPr>
        <w:t>You may not trade derivative securities of CrowdStrike and you may not</w:t>
      </w:r>
      <w:r>
        <w:rPr>
          <w:rFonts w:ascii="Arial" w:cs="Arial" w:eastAsia="Arial" w:hAnsi="Arial"/>
          <w:sz w:val="21"/>
          <w:szCs w:val="21"/>
          <w:b w:val="1"/>
          <w:bCs w:val="1"/>
          <w:color w:val="auto"/>
        </w:rPr>
        <w:t xml:space="preserve"> </w:t>
      </w:r>
      <w:r>
        <w:rPr>
          <w:rFonts w:ascii="Arial" w:cs="Arial" w:eastAsia="Arial" w:hAnsi="Arial"/>
          <w:sz w:val="21"/>
          <w:szCs w:val="21"/>
          <w:color w:val="auto"/>
        </w:rPr>
        <w:t>engage in any transactions that are designed to hedge or speculate on any change in the market value of CrowdStrike’s securities. Derivative securities include, but are not limited to, options, puts, calls, prepaid variable forward contracts, equity swaps, collars and exchange funds. Employee stock options are not derivative securities.</w:t>
      </w:r>
    </w:p>
    <w:p>
      <w:pPr>
        <w:spacing w:after="0" w:line="182" w:lineRule="exact"/>
        <w:rPr>
          <w:rFonts w:ascii="Calibri" w:cs="Calibri" w:eastAsia="Calibri" w:hAnsi="Calibri"/>
          <w:sz w:val="21"/>
          <w:szCs w:val="21"/>
          <w:color w:val="auto"/>
        </w:rPr>
      </w:pPr>
    </w:p>
    <w:p>
      <w:pPr>
        <w:jc w:val="both"/>
        <w:ind w:left="640" w:right="60" w:hanging="634"/>
        <w:spacing w:after="0" w:line="274" w:lineRule="auto"/>
        <w:tabs>
          <w:tab w:leader="none" w:pos="640" w:val="left"/>
        </w:tabs>
        <w:numPr>
          <w:ilvl w:val="0"/>
          <w:numId w:val="69"/>
        </w:numPr>
        <w:rPr>
          <w:rFonts w:ascii="Calibri" w:cs="Calibri" w:eastAsia="Calibri" w:hAnsi="Calibri"/>
          <w:sz w:val="21"/>
          <w:szCs w:val="21"/>
          <w:color w:val="auto"/>
        </w:rPr>
      </w:pPr>
      <w:r>
        <w:rPr>
          <w:rFonts w:ascii="Arial" w:cs="Arial" w:eastAsia="Arial" w:hAnsi="Arial"/>
          <w:sz w:val="21"/>
          <w:szCs w:val="21"/>
          <w:b w:val="1"/>
          <w:bCs w:val="1"/>
          <w:color w:val="auto"/>
        </w:rPr>
        <w:t xml:space="preserve">Short Selling: </w:t>
      </w:r>
      <w:r>
        <w:rPr>
          <w:rFonts w:ascii="Arial" w:cs="Arial" w:eastAsia="Arial" w:hAnsi="Arial"/>
          <w:sz w:val="21"/>
          <w:szCs w:val="21"/>
          <w:color w:val="auto"/>
        </w:rPr>
        <w:t>Short selling includes transactions in which you borrow stock from a broker, sell it, and eventually</w:t>
      </w:r>
      <w:r>
        <w:rPr>
          <w:rFonts w:ascii="Arial" w:cs="Arial" w:eastAsia="Arial" w:hAnsi="Arial"/>
          <w:sz w:val="21"/>
          <w:szCs w:val="21"/>
          <w:b w:val="1"/>
          <w:bCs w:val="1"/>
          <w:color w:val="auto"/>
        </w:rPr>
        <w:t xml:space="preserve"> </w:t>
      </w:r>
      <w:r>
        <w:rPr>
          <w:rFonts w:ascii="Arial" w:cs="Arial" w:eastAsia="Arial" w:hAnsi="Arial"/>
          <w:sz w:val="21"/>
          <w:szCs w:val="21"/>
          <w:color w:val="auto"/>
        </w:rPr>
        <w:t>buy it back on the market to return the borrowed shares to the broker. Profit is made through the expectation that the stock price will decrease during the period of borrowing.</w:t>
      </w:r>
    </w:p>
    <w:p>
      <w:pPr>
        <w:spacing w:after="0" w:line="176" w:lineRule="exact"/>
        <w:rPr>
          <w:rFonts w:ascii="Calibri" w:cs="Calibri" w:eastAsia="Calibri" w:hAnsi="Calibri"/>
          <w:sz w:val="21"/>
          <w:szCs w:val="21"/>
          <w:color w:val="auto"/>
        </w:rPr>
      </w:pPr>
    </w:p>
    <w:p>
      <w:pPr>
        <w:ind w:left="640" w:right="20" w:hanging="634"/>
        <w:spacing w:after="0" w:line="262" w:lineRule="auto"/>
        <w:tabs>
          <w:tab w:leader="none" w:pos="640" w:val="left"/>
        </w:tabs>
        <w:numPr>
          <w:ilvl w:val="0"/>
          <w:numId w:val="69"/>
        </w:numPr>
        <w:rPr>
          <w:rFonts w:ascii="Calibri" w:cs="Calibri" w:eastAsia="Calibri" w:hAnsi="Calibri"/>
          <w:sz w:val="21"/>
          <w:szCs w:val="21"/>
          <w:color w:val="auto"/>
        </w:rPr>
      </w:pPr>
      <w:r>
        <w:rPr>
          <w:rFonts w:ascii="Arial" w:cs="Arial" w:eastAsia="Arial" w:hAnsi="Arial"/>
          <w:sz w:val="21"/>
          <w:szCs w:val="21"/>
          <w:b w:val="1"/>
          <w:bCs w:val="1"/>
          <w:color w:val="auto"/>
        </w:rPr>
        <w:t xml:space="preserve">Margin Loans and Accounts: </w:t>
      </w:r>
      <w:r>
        <w:rPr>
          <w:rFonts w:ascii="Arial" w:cs="Arial" w:eastAsia="Arial" w:hAnsi="Arial"/>
          <w:sz w:val="21"/>
          <w:szCs w:val="21"/>
          <w:color w:val="auto"/>
        </w:rPr>
        <w:t>You may not purchase CrowdStrike securities on margin or hold them in a margin</w:t>
      </w:r>
      <w:r>
        <w:rPr>
          <w:rFonts w:ascii="Arial" w:cs="Arial" w:eastAsia="Arial" w:hAnsi="Arial"/>
          <w:sz w:val="21"/>
          <w:szCs w:val="21"/>
          <w:b w:val="1"/>
          <w:bCs w:val="1"/>
          <w:color w:val="auto"/>
        </w:rPr>
        <w:t xml:space="preserve"> </w:t>
      </w:r>
      <w:r>
        <w:rPr>
          <w:rFonts w:ascii="Arial" w:cs="Arial" w:eastAsia="Arial" w:hAnsi="Arial"/>
          <w:sz w:val="21"/>
          <w:szCs w:val="21"/>
          <w:color w:val="auto"/>
        </w:rPr>
        <w:t>account. Purchasing securities on margin is the use of borrowed money from a brokerage firm to purchase securities. Holding our securities in a margin account includes holding the securities in an account in which the shares can be sold to pay a loan to the brokerage firm. These transactions are prohibited because they are subject to a margin call whether or not you are in a closed trading window or possess material non-public information.</w:t>
      </w:r>
    </w:p>
    <w:p>
      <w:pPr>
        <w:spacing w:after="0" w:line="190" w:lineRule="exact"/>
        <w:rPr>
          <w:rFonts w:ascii="Calibri" w:cs="Calibri" w:eastAsia="Calibri" w:hAnsi="Calibri"/>
          <w:sz w:val="21"/>
          <w:szCs w:val="21"/>
          <w:color w:val="auto"/>
        </w:rPr>
      </w:pPr>
    </w:p>
    <w:p>
      <w:pPr>
        <w:ind w:left="640" w:right="600" w:hanging="634"/>
        <w:spacing w:after="0" w:line="281" w:lineRule="auto"/>
        <w:tabs>
          <w:tab w:leader="none" w:pos="640" w:val="left"/>
        </w:tabs>
        <w:numPr>
          <w:ilvl w:val="0"/>
          <w:numId w:val="69"/>
        </w:numPr>
        <w:rPr>
          <w:rFonts w:ascii="Calibri" w:cs="Calibri" w:eastAsia="Calibri" w:hAnsi="Calibri"/>
          <w:sz w:val="21"/>
          <w:szCs w:val="21"/>
          <w:color w:val="auto"/>
        </w:rPr>
      </w:pPr>
      <w:r>
        <w:rPr>
          <w:rFonts w:ascii="Arial" w:cs="Arial" w:eastAsia="Arial" w:hAnsi="Arial"/>
          <w:sz w:val="21"/>
          <w:szCs w:val="21"/>
          <w:b w:val="1"/>
          <w:bCs w:val="1"/>
          <w:color w:val="auto"/>
        </w:rPr>
        <w:t xml:space="preserve">Pledging and Loan Collateral: </w:t>
      </w:r>
      <w:r>
        <w:rPr>
          <w:rFonts w:ascii="Arial" w:cs="Arial" w:eastAsia="Arial" w:hAnsi="Arial"/>
          <w:sz w:val="21"/>
          <w:szCs w:val="21"/>
          <w:color w:val="auto"/>
        </w:rPr>
        <w:t>You may not pledge CrowdStrike securities to secure a loan, including any</w:t>
      </w:r>
      <w:r>
        <w:rPr>
          <w:rFonts w:ascii="Arial" w:cs="Arial" w:eastAsia="Arial" w:hAnsi="Arial"/>
          <w:sz w:val="21"/>
          <w:szCs w:val="21"/>
          <w:b w:val="1"/>
          <w:bCs w:val="1"/>
          <w:color w:val="auto"/>
        </w:rPr>
        <w:t xml:space="preserve"> </w:t>
      </w:r>
      <w:r>
        <w:rPr>
          <w:rFonts w:ascii="Arial" w:cs="Arial" w:eastAsia="Arial" w:hAnsi="Arial"/>
          <w:sz w:val="21"/>
          <w:szCs w:val="21"/>
          <w:color w:val="auto"/>
        </w:rPr>
        <w:t>equity line of credit. These transactions are prohibited because they may require you to sell CrowdStrike securities while you are in a closed trading window or possess material non-public information.</w:t>
      </w:r>
    </w:p>
    <w:p>
      <w:pPr>
        <w:spacing w:after="0" w:line="170" w:lineRule="exact"/>
        <w:rPr>
          <w:sz w:val="20"/>
          <w:szCs w:val="20"/>
          <w:color w:val="auto"/>
        </w:rPr>
      </w:pPr>
    </w:p>
    <w:p>
      <w:pPr>
        <w:ind w:right="800"/>
        <w:spacing w:after="0" w:line="260" w:lineRule="auto"/>
        <w:rPr>
          <w:sz w:val="20"/>
          <w:szCs w:val="20"/>
          <w:color w:val="auto"/>
        </w:rPr>
      </w:pPr>
      <w:r>
        <w:rPr>
          <w:rFonts w:ascii="Arial" w:cs="Arial" w:eastAsia="Arial" w:hAnsi="Arial"/>
          <w:sz w:val="21"/>
          <w:szCs w:val="21"/>
          <w:color w:val="auto"/>
        </w:rPr>
        <w:t>In extremely limited cases, CrowdStrike securities may be pledged or held in a margin account with the express advance permission of the Chief Legal Officer and CrowdStrike Holdings, Inc.’s Board of Directors.</w:t>
      </w:r>
    </w:p>
    <w:p>
      <w:pPr>
        <w:spacing w:after="0"/>
        <w:rPr>
          <w:sz w:val="20"/>
          <w:szCs w:val="20"/>
          <w:color w:val="auto"/>
        </w:rPr>
      </w:pPr>
      <w:r>
        <w:rPr>
          <w:rFonts w:ascii="Arial" w:cs="Arial" w:eastAsia="Arial" w:hAnsi="Arial"/>
          <w:sz w:val="21"/>
          <w:szCs w:val="21"/>
          <w:b w:val="1"/>
          <w:bCs w:val="1"/>
          <w:color w:val="auto"/>
        </w:rPr>
        <w:t>Pre-Clearance for Board Members, Section 16 Officers, and other Designated Individuals</w:t>
      </w:r>
    </w:p>
    <w:p>
      <w:pPr>
        <w:spacing w:after="0" w:line="242" w:lineRule="exact"/>
        <w:rPr>
          <w:sz w:val="20"/>
          <w:szCs w:val="20"/>
          <w:color w:val="auto"/>
        </w:rPr>
      </w:pPr>
    </w:p>
    <w:p>
      <w:pPr>
        <w:ind w:right="140"/>
        <w:spacing w:after="0" w:line="269" w:lineRule="auto"/>
        <w:rPr>
          <w:sz w:val="20"/>
          <w:szCs w:val="20"/>
          <w:color w:val="auto"/>
        </w:rPr>
      </w:pPr>
      <w:r>
        <w:rPr>
          <w:rFonts w:ascii="Arial" w:cs="Arial" w:eastAsia="Arial" w:hAnsi="Arial"/>
          <w:sz w:val="21"/>
          <w:szCs w:val="21"/>
          <w:color w:val="auto"/>
        </w:rPr>
        <w:t>All trades by CrowdStrike’s board of directors, Section 16 officers, and other persons designated from time-to-time by the Legal Department (other than trades pursuant to an approved 10b5-1 plan) are subject to prior review and must be pre-cleared by the Chief Legal Officer or VP of Corporate Legal, regardless of whether the trading window is open.</w:t>
      </w:r>
    </w:p>
    <w:p>
      <w:pPr>
        <w:sectPr>
          <w:pgSz w:w="11900" w:h="16838" w:orient="portrait"/>
          <w:cols w:equalWidth="0" w:num="1">
            <w:col w:w="11240"/>
          </w:cols>
          <w:pgMar w:left="320" w:top="107" w:right="339" w:bottom="1440" w:gutter="0" w:footer="0" w:header="0"/>
        </w:sectPr>
      </w:pPr>
    </w:p>
    <w:bookmarkStart w:id="145" w:name="page146"/>
    <w:bookmarkEnd w:id="145"/>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To request pre-clearance, send an email to [intentionally omitted] with the following information:</w:t>
      </w:r>
    </w:p>
    <w:p>
      <w:pPr>
        <w:spacing w:after="0" w:line="249" w:lineRule="exact"/>
        <w:rPr>
          <w:sz w:val="20"/>
          <w:szCs w:val="20"/>
          <w:color w:val="auto"/>
        </w:rPr>
      </w:pPr>
    </w:p>
    <w:p>
      <w:pPr>
        <w:ind w:left="640" w:hanging="634"/>
        <w:spacing w:after="0"/>
        <w:tabs>
          <w:tab w:leader="none" w:pos="640" w:val="left"/>
        </w:tabs>
        <w:numPr>
          <w:ilvl w:val="0"/>
          <w:numId w:val="70"/>
        </w:numPr>
        <w:rPr>
          <w:rFonts w:ascii="Calibri" w:cs="Calibri" w:eastAsia="Calibri" w:hAnsi="Calibri"/>
          <w:sz w:val="21"/>
          <w:szCs w:val="21"/>
          <w:color w:val="auto"/>
        </w:rPr>
      </w:pPr>
      <w:r>
        <w:rPr>
          <w:rFonts w:ascii="Arial" w:cs="Arial" w:eastAsia="Arial" w:hAnsi="Arial"/>
          <w:sz w:val="21"/>
          <w:szCs w:val="21"/>
          <w:color w:val="auto"/>
        </w:rPr>
        <w:t>the nature and desired date of the proposed trade;</w:t>
      </w:r>
    </w:p>
    <w:p>
      <w:pPr>
        <w:spacing w:after="0" w:line="180" w:lineRule="exact"/>
        <w:rPr>
          <w:rFonts w:ascii="Calibri" w:cs="Calibri" w:eastAsia="Calibri" w:hAnsi="Calibri"/>
          <w:sz w:val="21"/>
          <w:szCs w:val="21"/>
          <w:color w:val="auto"/>
        </w:rPr>
      </w:pPr>
    </w:p>
    <w:p>
      <w:pPr>
        <w:ind w:left="640" w:hanging="634"/>
        <w:spacing w:after="0"/>
        <w:tabs>
          <w:tab w:leader="none" w:pos="640" w:val="left"/>
        </w:tabs>
        <w:numPr>
          <w:ilvl w:val="0"/>
          <w:numId w:val="70"/>
        </w:numPr>
        <w:rPr>
          <w:rFonts w:ascii="Calibri" w:cs="Calibri" w:eastAsia="Calibri" w:hAnsi="Calibri"/>
          <w:sz w:val="21"/>
          <w:szCs w:val="21"/>
          <w:color w:val="auto"/>
        </w:rPr>
      </w:pPr>
      <w:r>
        <w:rPr>
          <w:rFonts w:ascii="Arial" w:cs="Arial" w:eastAsia="Arial" w:hAnsi="Arial"/>
          <w:sz w:val="21"/>
          <w:szCs w:val="21"/>
          <w:color w:val="auto"/>
        </w:rPr>
        <w:t>the amount of securities; and</w:t>
      </w:r>
    </w:p>
    <w:p>
      <w:pPr>
        <w:spacing w:after="0" w:line="194" w:lineRule="exact"/>
        <w:rPr>
          <w:rFonts w:ascii="Calibri" w:cs="Calibri" w:eastAsia="Calibri" w:hAnsi="Calibri"/>
          <w:sz w:val="21"/>
          <w:szCs w:val="21"/>
          <w:color w:val="auto"/>
        </w:rPr>
      </w:pPr>
    </w:p>
    <w:p>
      <w:pPr>
        <w:ind w:left="640" w:hanging="634"/>
        <w:spacing w:after="0"/>
        <w:tabs>
          <w:tab w:leader="none" w:pos="640" w:val="left"/>
        </w:tabs>
        <w:numPr>
          <w:ilvl w:val="0"/>
          <w:numId w:val="70"/>
        </w:numPr>
        <w:rPr>
          <w:rFonts w:ascii="Calibri" w:cs="Calibri" w:eastAsia="Calibri" w:hAnsi="Calibri"/>
          <w:sz w:val="21"/>
          <w:szCs w:val="21"/>
          <w:color w:val="auto"/>
        </w:rPr>
      </w:pPr>
      <w:r>
        <w:rPr>
          <w:rFonts w:ascii="Arial" w:cs="Arial" w:eastAsia="Arial" w:hAnsi="Arial"/>
          <w:sz w:val="21"/>
          <w:szCs w:val="21"/>
          <w:color w:val="auto"/>
        </w:rPr>
        <w:t>a statement confirming that you are not in possession of material non-public information.</w:t>
      </w:r>
    </w:p>
    <w:p>
      <w:pPr>
        <w:spacing w:after="0" w:line="260" w:lineRule="exact"/>
        <w:rPr>
          <w:sz w:val="20"/>
          <w:szCs w:val="20"/>
          <w:color w:val="auto"/>
        </w:rPr>
      </w:pPr>
    </w:p>
    <w:p>
      <w:pPr>
        <w:ind w:right="60"/>
        <w:spacing w:after="0" w:line="269" w:lineRule="auto"/>
        <w:rPr>
          <w:sz w:val="20"/>
          <w:szCs w:val="20"/>
          <w:color w:val="auto"/>
        </w:rPr>
      </w:pPr>
      <w:r>
        <w:rPr>
          <w:rFonts w:ascii="Arial" w:cs="Arial" w:eastAsia="Arial" w:hAnsi="Arial"/>
          <w:sz w:val="21"/>
          <w:szCs w:val="21"/>
          <w:color w:val="auto"/>
        </w:rPr>
        <w:t>You may not trade until you receive written confirmation from our Chief Legal Officer or VP of Corporate Legal approving the trade. Please allot at least one full business day for pre-clearance on a trade. Pre-clearance is at the sole discretion of CrowdStrike.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Exceptions to this Policy</w:t>
      </w:r>
    </w:p>
    <w:p>
      <w:pPr>
        <w:spacing w:after="0" w:line="262" w:lineRule="exact"/>
        <w:rPr>
          <w:sz w:val="20"/>
          <w:szCs w:val="20"/>
          <w:color w:val="auto"/>
        </w:rPr>
      </w:pPr>
    </w:p>
    <w:p>
      <w:pPr>
        <w:ind w:left="640" w:right="200" w:hanging="634"/>
        <w:spacing w:after="0" w:line="262" w:lineRule="auto"/>
        <w:tabs>
          <w:tab w:leader="none" w:pos="640" w:val="left"/>
        </w:tabs>
        <w:numPr>
          <w:ilvl w:val="0"/>
          <w:numId w:val="71"/>
        </w:numPr>
        <w:rPr>
          <w:rFonts w:ascii="Calibri" w:cs="Calibri" w:eastAsia="Calibri" w:hAnsi="Calibri"/>
          <w:sz w:val="21"/>
          <w:szCs w:val="21"/>
          <w:color w:val="auto"/>
        </w:rPr>
      </w:pPr>
      <w:r>
        <w:rPr>
          <w:rFonts w:ascii="Arial" w:cs="Arial" w:eastAsia="Arial" w:hAnsi="Arial"/>
          <w:sz w:val="21"/>
          <w:szCs w:val="21"/>
          <w:b w:val="1"/>
          <w:bCs w:val="1"/>
          <w:color w:val="auto"/>
        </w:rPr>
        <w:t>Option Exercises</w:t>
      </w:r>
      <w:r>
        <w:rPr>
          <w:rFonts w:ascii="Arial" w:cs="Arial" w:eastAsia="Arial" w:hAnsi="Arial"/>
          <w:sz w:val="21"/>
          <w:szCs w:val="21"/>
          <w:color w:val="auto"/>
        </w:rPr>
        <w:t>: You may exercise stock options granted under CrowdStrike’s equity incentive plans at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time. Note that this exception </w:t>
      </w:r>
      <w:r>
        <w:rPr>
          <w:rFonts w:ascii="Arial" w:cs="Arial" w:eastAsia="Arial" w:hAnsi="Arial"/>
          <w:sz w:val="21"/>
          <w:szCs w:val="21"/>
          <w:b w:val="1"/>
          <w:bCs w:val="1"/>
          <w:u w:val="single" w:color="auto"/>
          <w:color w:val="auto"/>
        </w:rPr>
        <w:t>does not include</w:t>
      </w:r>
      <w:r>
        <w:rPr>
          <w:rFonts w:ascii="Arial" w:cs="Arial" w:eastAsia="Arial" w:hAnsi="Arial"/>
          <w:sz w:val="21"/>
          <w:szCs w:val="21"/>
          <w:color w:val="auto"/>
        </w:rPr>
        <w:t xml:space="preserve"> cashless exercise or a subsequent sale of the shares acquired pursuant to the exercise of the option into the market (</w:t>
      </w:r>
      <w:r>
        <w:rPr>
          <w:rFonts w:ascii="Arial" w:cs="Arial" w:eastAsia="Arial" w:hAnsi="Arial"/>
          <w:sz w:val="21"/>
          <w:szCs w:val="21"/>
          <w:i w:val="1"/>
          <w:iCs w:val="1"/>
          <w:color w:val="auto"/>
        </w:rPr>
        <w:t>e.g.</w:t>
      </w:r>
      <w:r>
        <w:rPr>
          <w:rFonts w:ascii="Arial" w:cs="Arial" w:eastAsia="Arial" w:hAnsi="Arial"/>
          <w:sz w:val="21"/>
          <w:szCs w:val="21"/>
          <w:color w:val="auto"/>
        </w:rPr>
        <w:t>, “sell-to-cover” or “same day sale”). The exception only permits the exercise and holding of the shares. If you choose to exercise options and hold the shares, you will be responsible at that time for any taxes due.</w:t>
      </w:r>
    </w:p>
    <w:p>
      <w:pPr>
        <w:spacing w:after="0" w:line="189" w:lineRule="exact"/>
        <w:rPr>
          <w:rFonts w:ascii="Calibri" w:cs="Calibri" w:eastAsia="Calibri" w:hAnsi="Calibri"/>
          <w:sz w:val="21"/>
          <w:szCs w:val="21"/>
          <w:color w:val="auto"/>
        </w:rPr>
      </w:pPr>
    </w:p>
    <w:p>
      <w:pPr>
        <w:ind w:left="640" w:right="220" w:hanging="634"/>
        <w:spacing w:after="0" w:line="324" w:lineRule="auto"/>
        <w:tabs>
          <w:tab w:leader="none" w:pos="640" w:val="left"/>
        </w:tabs>
        <w:numPr>
          <w:ilvl w:val="0"/>
          <w:numId w:val="71"/>
        </w:numPr>
        <w:rPr>
          <w:rFonts w:ascii="Calibri" w:cs="Calibri" w:eastAsia="Calibri" w:hAnsi="Calibri"/>
          <w:sz w:val="21"/>
          <w:szCs w:val="21"/>
          <w:color w:val="auto"/>
        </w:rPr>
      </w:pPr>
      <w:r>
        <w:rPr>
          <w:rFonts w:ascii="Arial" w:cs="Arial" w:eastAsia="Arial" w:hAnsi="Arial"/>
          <w:sz w:val="21"/>
          <w:szCs w:val="21"/>
          <w:b w:val="1"/>
          <w:bCs w:val="1"/>
          <w:color w:val="auto"/>
        </w:rPr>
        <w:t xml:space="preserve">RSU and PSU Vesting: </w:t>
      </w:r>
      <w:r>
        <w:rPr>
          <w:rFonts w:ascii="Arial" w:cs="Arial" w:eastAsia="Arial" w:hAnsi="Arial"/>
          <w:sz w:val="21"/>
          <w:szCs w:val="21"/>
          <w:color w:val="auto"/>
        </w:rPr>
        <w:t>The vesting of shares pursuant to an RSU or a PSU is not subject to the restrictions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this policy. Note that this exception </w:t>
      </w:r>
      <w:r>
        <w:rPr>
          <w:rFonts w:ascii="Arial" w:cs="Arial" w:eastAsia="Arial" w:hAnsi="Arial"/>
          <w:sz w:val="21"/>
          <w:szCs w:val="21"/>
          <w:b w:val="1"/>
          <w:bCs w:val="1"/>
          <w:u w:val="single" w:color="auto"/>
          <w:color w:val="auto"/>
        </w:rPr>
        <w:t>does not include</w:t>
      </w:r>
      <w:r>
        <w:rPr>
          <w:rFonts w:ascii="Arial" w:cs="Arial" w:eastAsia="Arial" w:hAnsi="Arial"/>
          <w:sz w:val="21"/>
          <w:szCs w:val="21"/>
          <w:color w:val="auto"/>
        </w:rPr>
        <w:t xml:space="preserve"> the subsequent sale of the vested shares.</w:t>
      </w:r>
    </w:p>
    <w:p>
      <w:pPr>
        <w:spacing w:after="0" w:line="109" w:lineRule="exact"/>
        <w:rPr>
          <w:rFonts w:ascii="Calibri" w:cs="Calibri" w:eastAsia="Calibri" w:hAnsi="Calibri"/>
          <w:sz w:val="21"/>
          <w:szCs w:val="21"/>
          <w:color w:val="auto"/>
        </w:rPr>
      </w:pPr>
    </w:p>
    <w:p>
      <w:pPr>
        <w:ind w:left="640" w:hanging="634"/>
        <w:spacing w:after="0" w:line="266" w:lineRule="auto"/>
        <w:tabs>
          <w:tab w:leader="none" w:pos="640" w:val="left"/>
        </w:tabs>
        <w:numPr>
          <w:ilvl w:val="0"/>
          <w:numId w:val="71"/>
        </w:numPr>
        <w:rPr>
          <w:rFonts w:ascii="Calibri" w:cs="Calibri" w:eastAsia="Calibri" w:hAnsi="Calibri"/>
          <w:sz w:val="21"/>
          <w:szCs w:val="21"/>
          <w:color w:val="auto"/>
        </w:rPr>
      </w:pPr>
      <w:r>
        <w:rPr>
          <w:rFonts w:ascii="Arial" w:cs="Arial" w:eastAsia="Arial" w:hAnsi="Arial"/>
          <w:sz w:val="21"/>
          <w:szCs w:val="21"/>
          <w:b w:val="1"/>
          <w:bCs w:val="1"/>
          <w:color w:val="auto"/>
        </w:rPr>
        <w:t xml:space="preserve">Mandatory Sales to Cover Taxes on RSU and PSU Vesting: </w:t>
      </w:r>
      <w:r>
        <w:rPr>
          <w:rFonts w:ascii="Arial" w:cs="Arial" w:eastAsia="Arial" w:hAnsi="Arial"/>
          <w:sz w:val="21"/>
          <w:szCs w:val="21"/>
          <w:color w:val="auto"/>
        </w:rPr>
        <w:t>For all CrowdStrike employees, CrowdStrike shall</w:t>
      </w:r>
      <w:r>
        <w:rPr>
          <w:rFonts w:ascii="Arial" w:cs="Arial" w:eastAsia="Arial" w:hAnsi="Arial"/>
          <w:sz w:val="21"/>
          <w:szCs w:val="21"/>
          <w:b w:val="1"/>
          <w:bCs w:val="1"/>
          <w:color w:val="auto"/>
        </w:rPr>
        <w:t xml:space="preserve"> </w:t>
      </w:r>
      <w:r>
        <w:rPr>
          <w:rFonts w:ascii="Arial" w:cs="Arial" w:eastAsia="Arial" w:hAnsi="Arial"/>
          <w:sz w:val="21"/>
          <w:szCs w:val="21"/>
          <w:color w:val="auto"/>
        </w:rPr>
        <w:t>sell a portion of shares acquired through the vesting of any RSUs or PSUs to cover non-discretionary statutory withholding taxes owed as a result of the vesting (</w:t>
      </w:r>
      <w:r>
        <w:rPr>
          <w:rFonts w:ascii="Arial" w:cs="Arial" w:eastAsia="Arial" w:hAnsi="Arial"/>
          <w:sz w:val="21"/>
          <w:szCs w:val="21"/>
          <w:i w:val="1"/>
          <w:iCs w:val="1"/>
          <w:color w:val="auto"/>
        </w:rPr>
        <w:t>i.e.</w:t>
      </w:r>
      <w:r>
        <w:rPr>
          <w:rFonts w:ascii="Arial" w:cs="Arial" w:eastAsia="Arial" w:hAnsi="Arial"/>
          <w:sz w:val="21"/>
          <w:szCs w:val="21"/>
          <w:color w:val="auto"/>
        </w:rPr>
        <w:t>, “sell-to-cover”). This sale is mandatory for all employees and will be automatically conducted by CrowdStrike regardless of whether an individual employee is in an open or closed trading window.</w:t>
      </w:r>
    </w:p>
    <w:p>
      <w:pPr>
        <w:spacing w:after="0" w:line="182" w:lineRule="exact"/>
        <w:rPr>
          <w:rFonts w:ascii="Calibri" w:cs="Calibri" w:eastAsia="Calibri" w:hAnsi="Calibri"/>
          <w:sz w:val="21"/>
          <w:szCs w:val="21"/>
          <w:color w:val="auto"/>
        </w:rPr>
      </w:pPr>
    </w:p>
    <w:p>
      <w:pPr>
        <w:ind w:left="640" w:right="40" w:hanging="634"/>
        <w:spacing w:after="0" w:line="274" w:lineRule="auto"/>
        <w:tabs>
          <w:tab w:leader="none" w:pos="640" w:val="left"/>
        </w:tabs>
        <w:numPr>
          <w:ilvl w:val="0"/>
          <w:numId w:val="71"/>
        </w:numPr>
        <w:rPr>
          <w:rFonts w:ascii="Calibri" w:cs="Calibri" w:eastAsia="Calibri" w:hAnsi="Calibri"/>
          <w:sz w:val="21"/>
          <w:szCs w:val="21"/>
          <w:color w:val="auto"/>
        </w:rPr>
      </w:pPr>
      <w:r>
        <w:rPr>
          <w:rFonts w:ascii="Arial" w:cs="Arial" w:eastAsia="Arial" w:hAnsi="Arial"/>
          <w:sz w:val="21"/>
          <w:szCs w:val="21"/>
          <w:b w:val="1"/>
          <w:bCs w:val="1"/>
          <w:color w:val="auto"/>
        </w:rPr>
        <w:t xml:space="preserve">Employee Stock Purchase Plan (ESPP) Purchases: </w:t>
      </w:r>
      <w:r>
        <w:rPr>
          <w:rFonts w:ascii="Arial" w:cs="Arial" w:eastAsia="Arial" w:hAnsi="Arial"/>
          <w:sz w:val="21"/>
          <w:szCs w:val="21"/>
          <w:color w:val="auto"/>
        </w:rPr>
        <w:t>The purchase of shares under CrowdStrike’s ESPP is not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subject to the restrictions in this policy. Note that this exception </w:t>
      </w:r>
      <w:r>
        <w:rPr>
          <w:rFonts w:ascii="Arial" w:cs="Arial" w:eastAsia="Arial" w:hAnsi="Arial"/>
          <w:sz w:val="21"/>
          <w:szCs w:val="21"/>
          <w:b w:val="1"/>
          <w:bCs w:val="1"/>
          <w:u w:val="single" w:color="auto"/>
          <w:color w:val="auto"/>
        </w:rPr>
        <w:t>does not include</w:t>
      </w:r>
      <w:r>
        <w:rPr>
          <w:rFonts w:ascii="Arial" w:cs="Arial" w:eastAsia="Arial" w:hAnsi="Arial"/>
          <w:sz w:val="21"/>
          <w:szCs w:val="21"/>
          <w:color w:val="auto"/>
        </w:rPr>
        <w:t xml:space="preserve"> the subsequent sale of the shares acquired pursuant to the ESPP.</w:t>
      </w:r>
    </w:p>
    <w:p>
      <w:pPr>
        <w:sectPr>
          <w:pgSz w:w="11900" w:h="16838" w:orient="portrait"/>
          <w:cols w:equalWidth="0" w:num="1">
            <w:col w:w="11240"/>
          </w:cols>
          <w:pgMar w:left="320" w:top="107" w:right="339" w:bottom="1440" w:gutter="0" w:footer="0" w:header="0"/>
        </w:sectPr>
      </w:pPr>
    </w:p>
    <w:bookmarkStart w:id="146" w:name="page147"/>
    <w:bookmarkEnd w:id="146"/>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right="80" w:hanging="634"/>
        <w:spacing w:after="0" w:line="261" w:lineRule="exact"/>
        <w:tabs>
          <w:tab w:leader="none" w:pos="640" w:val="left"/>
        </w:tabs>
        <w:numPr>
          <w:ilvl w:val="0"/>
          <w:numId w:val="72"/>
        </w:numPr>
        <w:rPr>
          <w:rFonts w:ascii="Calibri" w:cs="Calibri" w:eastAsia="Calibri" w:hAnsi="Calibri"/>
          <w:sz w:val="21"/>
          <w:szCs w:val="21"/>
          <w:color w:val="auto"/>
        </w:rPr>
      </w:pPr>
      <w:r>
        <w:rPr>
          <w:rFonts w:ascii="Arial" w:cs="Arial" w:eastAsia="Arial" w:hAnsi="Arial"/>
          <w:sz w:val="21"/>
          <w:szCs w:val="21"/>
          <w:b w:val="1"/>
          <w:bCs w:val="1"/>
          <w:color w:val="auto"/>
        </w:rPr>
        <w:t>10b5-1 Plan Transactions</w:t>
      </w:r>
      <w:r>
        <w:rPr>
          <w:rFonts w:ascii="Arial" w:cs="Arial" w:eastAsia="Arial" w:hAnsi="Arial"/>
          <w:sz w:val="21"/>
          <w:szCs w:val="21"/>
          <w:color w:val="auto"/>
        </w:rPr>
        <w:t>: Notwithstanding the prohibitions above, members of the board of directors, officers</w:t>
      </w:r>
      <w:r>
        <w:rPr>
          <w:rFonts w:ascii="Arial" w:cs="Arial" w:eastAsia="Arial" w:hAnsi="Arial"/>
          <w:sz w:val="21"/>
          <w:szCs w:val="21"/>
          <w:b w:val="1"/>
          <w:bCs w:val="1"/>
          <w:color w:val="auto"/>
        </w:rPr>
        <w:t xml:space="preserve"> </w:t>
      </w:r>
      <w:r>
        <w:rPr>
          <w:rFonts w:ascii="Arial" w:cs="Arial" w:eastAsia="Arial" w:hAnsi="Arial"/>
          <w:sz w:val="21"/>
          <w:szCs w:val="21"/>
          <w:color w:val="auto"/>
        </w:rPr>
        <w:t>and other employees approved by the Legal Department may establish written programs pursuant to Rule 10b5</w:t>
      </w:r>
      <w:r>
        <w:rPr>
          <w:rFonts w:ascii="MS PGothic" w:cs="MS PGothic" w:eastAsia="MS PGothic" w:hAnsi="MS PGothic"/>
          <w:sz w:val="21"/>
          <w:szCs w:val="21"/>
          <w:color w:val="auto"/>
        </w:rPr>
        <w:t>‐</w:t>
      </w:r>
      <w:r>
        <w:rPr>
          <w:rFonts w:ascii="Arial" w:cs="Arial" w:eastAsia="Arial" w:hAnsi="Arial"/>
          <w:sz w:val="21"/>
          <w:szCs w:val="21"/>
          <w:color w:val="auto"/>
        </w:rPr>
        <w:t xml:space="preserve"> 1(c) of the Securities Exchange Act of 1934 (a “</w:t>
      </w:r>
      <w:r>
        <w:rPr>
          <w:rFonts w:ascii="Arial" w:cs="Arial" w:eastAsia="Arial" w:hAnsi="Arial"/>
          <w:sz w:val="21"/>
          <w:szCs w:val="21"/>
          <w:b w:val="1"/>
          <w:bCs w:val="1"/>
          <w:color w:val="auto"/>
        </w:rPr>
        <w:t>program</w:t>
      </w:r>
      <w:r>
        <w:rPr>
          <w:rFonts w:ascii="Arial" w:cs="Arial" w:eastAsia="Arial" w:hAnsi="Arial"/>
          <w:sz w:val="21"/>
          <w:szCs w:val="21"/>
          <w:color w:val="auto"/>
        </w:rPr>
        <w:t>” or “</w:t>
      </w:r>
      <w:r>
        <w:rPr>
          <w:rFonts w:ascii="Arial" w:cs="Arial" w:eastAsia="Arial" w:hAnsi="Arial"/>
          <w:sz w:val="21"/>
          <w:szCs w:val="21"/>
          <w:b w:val="1"/>
          <w:bCs w:val="1"/>
          <w:color w:val="auto"/>
        </w:rPr>
        <w:t>10b5</w:t>
      </w:r>
      <w:r>
        <w:rPr>
          <w:rFonts w:ascii="MS PGothic" w:cs="MS PGothic" w:eastAsia="MS PGothic" w:hAnsi="MS PGothic"/>
          <w:sz w:val="21"/>
          <w:szCs w:val="21"/>
          <w:color w:val="auto"/>
          <w:strike w:val="1"/>
        </w:rPr>
        <w:t>‐</w:t>
      </w:r>
      <w:r>
        <w:rPr>
          <w:rFonts w:ascii="Arial" w:cs="Arial" w:eastAsia="Arial" w:hAnsi="Arial"/>
          <w:sz w:val="21"/>
          <w:szCs w:val="21"/>
          <w:b w:val="1"/>
          <w:bCs w:val="1"/>
          <w:color w:val="auto"/>
        </w:rPr>
        <w:t>1 Plan</w:t>
      </w:r>
      <w:r>
        <w:rPr>
          <w:rFonts w:ascii="Arial" w:cs="Arial" w:eastAsia="Arial" w:hAnsi="Arial"/>
          <w:sz w:val="21"/>
          <w:szCs w:val="21"/>
          <w:color w:val="auto"/>
        </w:rPr>
        <w:t>”) which permit automatic trading of our stock according to a predetermined schedule, and which are otherwise in accordance with CrowdStrike’s 10b5</w:t>
      </w:r>
      <w:r>
        <w:rPr>
          <w:rFonts w:ascii="MS PGothic" w:cs="MS PGothic" w:eastAsia="MS PGothic" w:hAnsi="MS PGothic"/>
          <w:sz w:val="21"/>
          <w:szCs w:val="21"/>
          <w:color w:val="auto"/>
        </w:rPr>
        <w:t>‐</w:t>
      </w:r>
      <w:r>
        <w:rPr>
          <w:rFonts w:ascii="Arial" w:cs="Arial" w:eastAsia="Arial" w:hAnsi="Arial"/>
          <w:sz w:val="21"/>
          <w:szCs w:val="21"/>
          <w:color w:val="auto"/>
        </w:rPr>
        <w:t>1 Trading Plan Guidelines. So long as the program is properly established, trading pursuant to a 10b5</w:t>
      </w:r>
      <w:r>
        <w:rPr>
          <w:rFonts w:ascii="MS PGothic" w:cs="MS PGothic" w:eastAsia="MS PGothic" w:hAnsi="MS PGothic"/>
          <w:sz w:val="21"/>
          <w:szCs w:val="21"/>
          <w:color w:val="auto"/>
        </w:rPr>
        <w:t>‐</w:t>
      </w:r>
      <w:r>
        <w:rPr>
          <w:rFonts w:ascii="Arial" w:cs="Arial" w:eastAsia="Arial" w:hAnsi="Arial"/>
          <w:sz w:val="21"/>
          <w:szCs w:val="21"/>
          <w:color w:val="auto"/>
        </w:rPr>
        <w:t>1 Plan may occur outside of our “window period” or when the plan participant is aware of material non</w:t>
      </w:r>
      <w:r>
        <w:rPr>
          <w:rFonts w:ascii="MS PGothic" w:cs="MS PGothic" w:eastAsia="MS PGothic" w:hAnsi="MS PGothic"/>
          <w:sz w:val="21"/>
          <w:szCs w:val="21"/>
          <w:color w:val="auto"/>
        </w:rPr>
        <w:t>‐</w:t>
      </w:r>
      <w:r>
        <w:rPr>
          <w:rFonts w:ascii="Arial" w:cs="Arial" w:eastAsia="Arial" w:hAnsi="Arial"/>
          <w:sz w:val="21"/>
          <w:szCs w:val="21"/>
          <w:color w:val="auto"/>
        </w:rPr>
        <w:t>public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Reporting Violations</w:t>
      </w:r>
    </w:p>
    <w:p>
      <w:pPr>
        <w:spacing w:after="0" w:line="264" w:lineRule="exact"/>
        <w:rPr>
          <w:sz w:val="20"/>
          <w:szCs w:val="20"/>
          <w:color w:val="auto"/>
        </w:rPr>
      </w:pPr>
    </w:p>
    <w:p>
      <w:pPr>
        <w:ind w:right="40"/>
        <w:spacing w:after="0" w:line="288" w:lineRule="auto"/>
        <w:rPr>
          <w:sz w:val="20"/>
          <w:szCs w:val="20"/>
          <w:color w:val="auto"/>
        </w:rPr>
      </w:pPr>
      <w:r>
        <w:rPr>
          <w:rFonts w:ascii="Arial" w:cs="Arial" w:eastAsia="Arial" w:hAnsi="Arial"/>
          <w:sz w:val="21"/>
          <w:szCs w:val="21"/>
          <w:color w:val="auto"/>
        </w:rPr>
        <w:t>You must report any suspected violation of this policy that comes to your attention. CrowdStrike will not retaliate against any individual for reporting violations in good faith. Reports may be made through any of the following channels:</w:t>
      </w:r>
    </w:p>
    <w:p>
      <w:pPr>
        <w:spacing w:after="0" w:line="321" w:lineRule="exact"/>
        <w:rPr>
          <w:sz w:val="20"/>
          <w:szCs w:val="20"/>
          <w:color w:val="auto"/>
        </w:rPr>
      </w:pPr>
    </w:p>
    <w:p>
      <w:pPr>
        <w:ind w:left="640" w:hanging="634"/>
        <w:spacing w:after="0"/>
        <w:tabs>
          <w:tab w:leader="none" w:pos="640" w:val="left"/>
        </w:tabs>
        <w:numPr>
          <w:ilvl w:val="0"/>
          <w:numId w:val="73"/>
        </w:numPr>
        <w:rPr>
          <w:rFonts w:ascii="Calibri" w:cs="Calibri" w:eastAsia="Calibri" w:hAnsi="Calibri"/>
          <w:sz w:val="21"/>
          <w:szCs w:val="21"/>
          <w:color w:val="auto"/>
        </w:rPr>
      </w:pPr>
      <w:r>
        <w:rPr>
          <w:rFonts w:ascii="Arial" w:cs="Arial" w:eastAsia="Arial" w:hAnsi="Arial"/>
          <w:sz w:val="21"/>
          <w:szCs w:val="21"/>
          <w:color w:val="auto"/>
        </w:rPr>
        <w:t>the Chief Legal Officer, the VP of Corporate Legal or the VP of Compliance Legal;</w:t>
      </w:r>
    </w:p>
    <w:p>
      <w:pPr>
        <w:spacing w:after="0" w:line="180" w:lineRule="exact"/>
        <w:rPr>
          <w:rFonts w:ascii="Calibri" w:cs="Calibri" w:eastAsia="Calibri" w:hAnsi="Calibri"/>
          <w:sz w:val="21"/>
          <w:szCs w:val="21"/>
          <w:color w:val="auto"/>
        </w:rPr>
      </w:pPr>
    </w:p>
    <w:p>
      <w:pPr>
        <w:ind w:left="640" w:hanging="634"/>
        <w:spacing w:after="0"/>
        <w:tabs>
          <w:tab w:leader="none" w:pos="640" w:val="left"/>
        </w:tabs>
        <w:numPr>
          <w:ilvl w:val="0"/>
          <w:numId w:val="73"/>
        </w:numPr>
        <w:rPr>
          <w:rFonts w:ascii="Calibri" w:cs="Calibri" w:eastAsia="Calibri" w:hAnsi="Calibri"/>
          <w:sz w:val="21"/>
          <w:szCs w:val="21"/>
          <w:color w:val="auto"/>
        </w:rPr>
      </w:pPr>
      <w:r>
        <w:rPr>
          <w:rFonts w:ascii="Arial" w:cs="Arial" w:eastAsia="Arial" w:hAnsi="Arial"/>
          <w:sz w:val="21"/>
          <w:szCs w:val="21"/>
          <w:color w:val="auto"/>
        </w:rPr>
        <w:t>the Chief Financial Officer, Chief Accounting Officer, or VP of Internal Audit or equivalent;</w:t>
      </w:r>
    </w:p>
    <w:p>
      <w:pPr>
        <w:spacing w:after="0" w:line="180" w:lineRule="exact"/>
        <w:rPr>
          <w:rFonts w:ascii="Calibri" w:cs="Calibri" w:eastAsia="Calibri" w:hAnsi="Calibri"/>
          <w:sz w:val="21"/>
          <w:szCs w:val="21"/>
          <w:color w:val="auto"/>
        </w:rPr>
      </w:pPr>
    </w:p>
    <w:p>
      <w:pPr>
        <w:ind w:left="640" w:hanging="634"/>
        <w:spacing w:after="0"/>
        <w:tabs>
          <w:tab w:leader="none" w:pos="640" w:val="left"/>
        </w:tabs>
        <w:numPr>
          <w:ilvl w:val="0"/>
          <w:numId w:val="73"/>
        </w:numPr>
        <w:rPr>
          <w:rFonts w:ascii="Calibri" w:cs="Calibri" w:eastAsia="Calibri" w:hAnsi="Calibri"/>
          <w:sz w:val="21"/>
          <w:szCs w:val="21"/>
          <w:color w:val="auto"/>
        </w:rPr>
      </w:pPr>
      <w:r>
        <w:rPr>
          <w:rFonts w:ascii="Arial" w:cs="Arial" w:eastAsia="Arial" w:hAnsi="Arial"/>
          <w:sz w:val="21"/>
          <w:szCs w:val="21"/>
          <w:color w:val="auto"/>
        </w:rPr>
        <w:t>by email to [intentionally omitted]; and</w:t>
      </w:r>
    </w:p>
    <w:p>
      <w:pPr>
        <w:spacing w:after="0" w:line="180" w:lineRule="exact"/>
        <w:rPr>
          <w:rFonts w:ascii="Calibri" w:cs="Calibri" w:eastAsia="Calibri" w:hAnsi="Calibri"/>
          <w:sz w:val="21"/>
          <w:szCs w:val="21"/>
          <w:color w:val="auto"/>
        </w:rPr>
      </w:pPr>
    </w:p>
    <w:p>
      <w:pPr>
        <w:ind w:left="640" w:right="140" w:hanging="634"/>
        <w:spacing w:after="0" w:line="285" w:lineRule="auto"/>
        <w:tabs>
          <w:tab w:leader="none" w:pos="640" w:val="left"/>
        </w:tabs>
        <w:numPr>
          <w:ilvl w:val="0"/>
          <w:numId w:val="73"/>
        </w:numPr>
        <w:rPr>
          <w:rFonts w:ascii="Calibri" w:cs="Calibri" w:eastAsia="Calibri" w:hAnsi="Calibri"/>
          <w:sz w:val="21"/>
          <w:szCs w:val="21"/>
          <w:color w:val="auto"/>
        </w:rPr>
      </w:pPr>
      <w:r>
        <w:rPr>
          <w:rFonts w:ascii="Arial" w:cs="Arial" w:eastAsia="Arial" w:hAnsi="Arial"/>
          <w:sz w:val="21"/>
          <w:szCs w:val="21"/>
          <w:color w:val="auto"/>
        </w:rPr>
        <w:t>an attributed or anonymous report through our third-party hosted hotline online at [intentionally omitted], by phone at [intentionally omitted] (USA/Canada) or by international toll-free access numbers available through the online hotline URL above (collectively, “</w:t>
      </w:r>
      <w:r>
        <w:rPr>
          <w:rFonts w:ascii="Arial" w:cs="Arial" w:eastAsia="Arial" w:hAnsi="Arial"/>
          <w:sz w:val="21"/>
          <w:szCs w:val="21"/>
          <w:b w:val="1"/>
          <w:bCs w:val="1"/>
          <w:color w:val="auto"/>
        </w:rPr>
        <w:t>EthicsPoint</w:t>
      </w:r>
      <w:r>
        <w:rPr>
          <w:rFonts w:ascii="Arial" w:cs="Arial" w:eastAsia="Arial" w:hAnsi="Arial"/>
          <w:sz w:val="21"/>
          <w:szCs w:val="21"/>
          <w:color w:val="auto"/>
        </w:rPr>
        <w:t>”). EthicsPoint is operated by a third-party service provider.</w:t>
      </w:r>
    </w:p>
    <w:p>
      <w:pPr>
        <w:spacing w:after="0" w:line="156" w:lineRule="exact"/>
        <w:rPr>
          <w:sz w:val="20"/>
          <w:szCs w:val="20"/>
          <w:color w:val="auto"/>
        </w:rPr>
      </w:pPr>
    </w:p>
    <w:p>
      <w:pPr>
        <w:ind w:right="540"/>
        <w:spacing w:after="0" w:line="288" w:lineRule="auto"/>
        <w:rPr>
          <w:sz w:val="20"/>
          <w:szCs w:val="20"/>
          <w:color w:val="auto"/>
        </w:rPr>
      </w:pPr>
      <w:r>
        <w:rPr>
          <w:rFonts w:ascii="Arial" w:cs="Arial" w:eastAsia="Arial" w:hAnsi="Arial"/>
          <w:sz w:val="21"/>
          <w:szCs w:val="21"/>
          <w:color w:val="auto"/>
        </w:rPr>
        <w:t>Non-US CrowdStrike Personnel: You may not use EthicsPoint for matters that are required to be handled locally in accordance with local law. If you are unsure, please reach out to Legal Leadership.</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Departing From CrowdStrike</w:t>
      </w:r>
    </w:p>
    <w:p>
      <w:pPr>
        <w:spacing w:after="0" w:line="264" w:lineRule="exact"/>
        <w:rPr>
          <w:sz w:val="20"/>
          <w:szCs w:val="20"/>
          <w:color w:val="auto"/>
        </w:rPr>
      </w:pPr>
    </w:p>
    <w:p>
      <w:pPr>
        <w:ind w:right="20"/>
        <w:spacing w:after="0" w:line="262" w:lineRule="auto"/>
        <w:rPr>
          <w:sz w:val="20"/>
          <w:szCs w:val="20"/>
          <w:color w:val="auto"/>
        </w:rPr>
      </w:pPr>
      <w:r>
        <w:rPr>
          <w:rFonts w:ascii="Arial" w:cs="Arial" w:eastAsia="Arial" w:hAnsi="Arial"/>
          <w:sz w:val="21"/>
          <w:szCs w:val="21"/>
          <w:color w:val="auto"/>
        </w:rPr>
        <w:t>You are still subject to insider trading laws, even if your relationship with CrowdStrike ends. Therefore, you may not buy, sell or gift CrowdStrike securities if you are in possession of material non-public information about CrowdStrike regardless of your employment or service relationship with CrowdStrike. That obligation stays with you until the information you possess has been made public or is no longer material.</w:t>
      </w:r>
    </w:p>
    <w:p>
      <w:pPr>
        <w:sectPr>
          <w:pgSz w:w="11900" w:h="16838" w:orient="portrait"/>
          <w:cols w:equalWidth="0" w:num="1">
            <w:col w:w="11240"/>
          </w:cols>
          <w:pgMar w:left="320" w:top="107" w:right="339" w:bottom="1440" w:gutter="0" w:footer="0" w:header="0"/>
        </w:sectPr>
      </w:pPr>
    </w:p>
    <w:bookmarkStart w:id="147" w:name="page148"/>
    <w:bookmarkEnd w:id="147"/>
    <w:p>
      <w:pPr>
        <w:jc w:val="right"/>
        <w:spacing w:after="0"/>
        <w:rPr>
          <w:sz w:val="20"/>
          <w:szCs w:val="20"/>
          <w:color w:val="auto"/>
        </w:rPr>
      </w:pPr>
      <w:r>
        <w:rPr>
          <w:rFonts w:ascii="Calibri" w:cs="Calibri" w:eastAsia="Calibri" w:hAnsi="Calibri"/>
          <w:sz w:val="21"/>
          <w:szCs w:val="2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Disclaimer</w:t>
      </w:r>
    </w:p>
    <w:p>
      <w:pPr>
        <w:spacing w:after="0" w:line="251" w:lineRule="exact"/>
        <w:rPr>
          <w:sz w:val="20"/>
          <w:szCs w:val="20"/>
          <w:color w:val="auto"/>
        </w:rPr>
      </w:pPr>
    </w:p>
    <w:p>
      <w:pPr>
        <w:ind w:right="340"/>
        <w:spacing w:after="0" w:line="263" w:lineRule="auto"/>
        <w:rPr>
          <w:sz w:val="20"/>
          <w:szCs w:val="20"/>
          <w:color w:val="auto"/>
        </w:rPr>
      </w:pPr>
      <w:r>
        <w:rPr>
          <w:rFonts w:ascii="Arial" w:cs="Arial" w:eastAsia="Arial" w:hAnsi="Arial"/>
          <w:sz w:val="21"/>
          <w:szCs w:val="21"/>
          <w:color w:val="auto"/>
        </w:rPr>
        <w:t>Neither CrowdStrike nor any CrowdStrike Personnel responsible for administering this policy will be liable for any act taken pursuant to this policy, including any failure to approve a trade or for imposing any closed trading window. This policy is not intended to, and does not, create any legal rights in any CrowdStrike Insiders or third parties, including investors, partners, creditors, customers, suppliers and others having relationships with CrowdStrike or CrowdStrike Insiders.</w:t>
      </w:r>
    </w:p>
    <w:sectPr>
      <w:pgSz w:w="11900" w:h="16838" w:orient="portrait"/>
      <w:cols w:equalWidth="0" w:num="1">
        <w:col w:w="11240"/>
      </w:cols>
      <w:pgMar w:left="320" w:top="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lowerLetter"/>
      <w:start w:val="2"/>
    </w:lvl>
  </w:abstractNum>
  <w:abstractNum w:abstractNumId="45">
    <w:nsid w:val="15B5AF5C"/>
    <w:multiLevelType w:val="hybridMultilevel"/>
    <w:lvl w:ilvl="0">
      <w:lvlJc w:val="left"/>
      <w:lvlText w:val="%1."/>
      <w:numFmt w:val="upperLetter"/>
      <w:start w:val="35"/>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606"/>
    </w:lvl>
    <w:lvl w:ilvl="1">
      <w:lvlJc w:val="left"/>
      <w:lvlText w:val="(%2)"/>
      <w:numFmt w:val="decimal"/>
      <w:start w:val="2"/>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3"/>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decimal"/>
      <w:start w:val="8"/>
    </w:lvl>
  </w:abstractNum>
  <w:abstractNum w:abstractNumId="53">
    <w:nsid w:val="579BE4F1"/>
    <w:multiLevelType w:val="hybridMultilevel"/>
    <w:lvl w:ilvl="0">
      <w:lvlJc w:val="left"/>
      <w:lvlText w:val="(%1)"/>
      <w:numFmt w:val="lowerRoman"/>
      <w:start w:val="3"/>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0"/>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decimal"/>
      <w:start w:val="1"/>
    </w:lvl>
    <w:lvl w:ilvl="1">
      <w:lvlJc w:val="left"/>
      <w:lvlText w:val="(%2)"/>
      <w:numFmt w:val="lowerLetter"/>
      <w:start w:val="1"/>
    </w:lvl>
  </w:abstractNum>
  <w:abstractNum w:abstractNumId="64">
    <w:nsid w:val="6590700B"/>
    <w:multiLevelType w:val="hybridMultilevel"/>
    <w:lvl w:ilvl="0">
      <w:lvlJc w:val="left"/>
      <w:lvlText w:val="%1."/>
      <w:numFmt w:val="decimal"/>
      <w:start w:val="1"/>
    </w:lvl>
    <w:lvl w:ilvl="1">
      <w:lvlJc w:val="left"/>
      <w:lvlText w:val="(%2)"/>
      <w:numFmt w:val="lowerLetter"/>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81"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161" Type="http://schemas.openxmlformats.org/officeDocument/2006/relationships/hyperlink" Target="https://www.sec.gov/Archives/edgar/data/1535527/000110465919035685/a19-11597_1ex3d1.htm" TargetMode="External"/><Relationship Id="rId162" Type="http://schemas.openxmlformats.org/officeDocument/2006/relationships/hyperlink" Target="https://www.sec.gov/Archives/edgar/data/1535527/000153552724000026/crowdstrikeholdingsincam.htm" TargetMode="External"/><Relationship Id="rId163" Type="http://schemas.openxmlformats.org/officeDocument/2006/relationships/hyperlink" Target="https://www.sec.gov/Archives/edgar/data/1535527/000110465924128515/tm2430723d1_ex3-1.htm" TargetMode="External"/><Relationship Id="rId164" Type="http://schemas.openxmlformats.org/officeDocument/2006/relationships/hyperlink" Target="https://www.sec.gov/Archives/edgar/data/1535527/000104746919003095/a2238800zex-4_1.htm" TargetMode="External"/><Relationship Id="rId165" Type="http://schemas.openxmlformats.org/officeDocument/2006/relationships/hyperlink" Target="https://www.sec.gov/Archives/edgar/data/1535527/000104746919003095/a2238800zex-4_2.htm" TargetMode="External"/><Relationship Id="rId166" Type="http://schemas.openxmlformats.org/officeDocument/2006/relationships/hyperlink" Target="https://www.sec.gov/Archives/edgar/data/1535527/000104746919003341/a2238881zex-4_3.htm" TargetMode="External"/><Relationship Id="rId167" Type="http://schemas.openxmlformats.org/officeDocument/2006/relationships/hyperlink" Target="https://www.sec.gov/Archives/edgar/data/1535527/000110465921005883/tm213272d1_ex4-1.htm" TargetMode="External"/><Relationship Id="rId168" Type="http://schemas.openxmlformats.org/officeDocument/2006/relationships/hyperlink" Target="https://www.sec.gov/Archives/edgar/data/1535527/000110465921005883/tm213272d1_ex4-2.htm" TargetMode="External"/><Relationship Id="rId169" Type="http://schemas.openxmlformats.org/officeDocument/2006/relationships/hyperlink" Target="https://www.sec.gov/Archives/edgar/data/1535527/000104746919003095/a2238800zex-10_1.htm" TargetMode="External"/><Relationship Id="rId170" Type="http://schemas.openxmlformats.org/officeDocument/2006/relationships/hyperlink" Target="https://www.sec.gov/Archives/edgar/data/1535527/000104746919003341/a2238881zex-10_2.htm" TargetMode="External"/><Relationship Id="rId171" Type="http://schemas.openxmlformats.org/officeDocument/2006/relationships/hyperlink" Target="https://www.sec.gov/Archives/edgar/data/1535527/000153552720000019/ex-101formofdirectoran.htm" TargetMode="External"/><Relationship Id="rId172" Type="http://schemas.openxmlformats.org/officeDocument/2006/relationships/hyperlink" Target="https://www.sec.gov/Archives/edgar/data/1535527/000153552721000007/exhibit104_crwd-directorin.htm" TargetMode="External"/><Relationship Id="rId173" Type="http://schemas.openxmlformats.org/officeDocument/2006/relationships/hyperlink" Target="https://www.sec.gov/Archives/edgar/data/1535527/000153552720000012/crwd-20200430xex101.htm" TargetMode="External"/><Relationship Id="rId174" Type="http://schemas.openxmlformats.org/officeDocument/2006/relationships/hyperlink" Target="https://www.sec.gov/Archives/edgar/data/1535527/000104746919003095/a2238800zex-10_4.htm" TargetMode="External"/><Relationship Id="rId175" Type="http://schemas.openxmlformats.org/officeDocument/2006/relationships/hyperlink" Target="https://www.sec.gov/Archives/edgar/data/0001535527/000153552721000022/crowdstrike-2019espp.htm" TargetMode="External"/><Relationship Id="rId176" Type="http://schemas.openxmlformats.org/officeDocument/2006/relationships/hyperlink" Target="https://www.sec.gov/Archives/edgar/data/1535527/000153552723000014/crwd-fy24ciptcs42423.htm" TargetMode="External"/><Relationship Id="rId177" Type="http://schemas.openxmlformats.org/officeDocument/2006/relationships/hyperlink" Target="https://www.sec.gov/Archives/edgar/data/1535527/000153552724000020/outsidedirectorcompensatio.htm" TargetMode="External"/><Relationship Id="rId178" Type="http://schemas.openxmlformats.org/officeDocument/2006/relationships/hyperlink" Target="https://www.sec.gov/Archives/edgar/data/1535527/000104746919003095/a2238800zex-10_6.htm" TargetMode="External"/><Relationship Id="rId179" Type="http://schemas.openxmlformats.org/officeDocument/2006/relationships/hyperlink" Target="https://www.sec.gov/Archives/edgar/data/1535527/000104746919003095/a2238800zex-10_8.htm" TargetMode="External"/><Relationship Id="rId180" Type="http://schemas.openxmlformats.org/officeDocument/2006/relationships/hyperlink" Target="https://www.sec.gov/Archives/edgar/data/1535527/000153552722000006/ex-1018_crowdstrikeaustinl.htm" TargetMode="External"/><Relationship Id="rId182" Type="http://schemas.openxmlformats.org/officeDocument/2006/relationships/hyperlink" Target="https://www.sec.gov/Archives/edgar/data/1535527/000153552722000006/ex-1019_crowdstrikeaustin1.htm" TargetMode="External"/><Relationship Id="rId183" Type="http://schemas.openxmlformats.org/officeDocument/2006/relationships/hyperlink" Target="https://www.sec.gov/Archives/edgar/data/1535527/000153552722000006/ex-1020_crowdstrikexarcred.htm" TargetMode="External"/><Relationship Id="rId184" Type="http://schemas.openxmlformats.org/officeDocument/2006/relationships/hyperlink" Target="https://www.sec.gov/Archives/edgar/data/1535527/000153552721000022/gk-specialpsuawardagreemen.htm" TargetMode="External"/><Relationship Id="rId185" Type="http://schemas.openxmlformats.org/officeDocument/2006/relationships/hyperlink" Target="https://www.sec.gov/Archives/edgar/data/1535527/000153552721000022/crowdstrike-ceocicandsever.htm" TargetMode="External"/><Relationship Id="rId186" Type="http://schemas.openxmlformats.org/officeDocument/2006/relationships/hyperlink" Target="https://www.sec.gov/Archives/edgar/data/1535527/000110465922004504/tm222862d1_ex10-1.htm" TargetMode="External"/><Relationship Id="rId187" Type="http://schemas.openxmlformats.org/officeDocument/2006/relationships/hyperlink" Target="https://www.sec.gov/Archives/edgar/data/1535527/000153552721000013/a102_henrysupdated.htm" TargetMode="External"/><Relationship Id="rId188" Type="http://schemas.openxmlformats.org/officeDocument/2006/relationships/hyperlink" Target="https://www.sec.gov/Archives/edgar/data/1535527/000153552723000008/austin_xsecondxamendment.htm" TargetMode="External"/><Relationship Id="rId189" Type="http://schemas.openxmlformats.org/officeDocument/2006/relationships/hyperlink" Target="https://www.sec.gov/Archives/edgar/data/1535527/000153552724000007/dcpadoptionagreementdate.htm" TargetMode="External"/><Relationship Id="rId190" Type="http://schemas.openxmlformats.org/officeDocument/2006/relationships/hyperlink" Target="https://www.sec.gov/Archives/edgar/data/1535527/000153552724000007/dcpdated1123.htm" TargetMode="External"/><Relationship Id="rId191" Type="http://schemas.openxmlformats.org/officeDocument/2006/relationships/hyperlink" Target="https://www.sec.gov/Archives/edgar/data/1535527/000153552724000013/sentonas_michaelx-xusxof.htm" TargetMode="External"/><Relationship Id="rId192" Type="http://schemas.openxmlformats.org/officeDocument/2006/relationships/hyperlink" Target="https://www.sec.gov/Archives/edgar/data/1535527/000153552724000007/clawbackpolicy2023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2025-03-10T07:57:39Z</dcterms:created>
  <dcterms:modified xsi:type="dcterms:W3CDTF">2025-03-10T07:57:39Z</dcterms:modified>
</cp:coreProperties>
</file>