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8"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2025</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001-38933</w:t>
      </w:r>
    </w:p>
    <w:p>
      <w:pPr>
        <w:spacing w:after="0" w:line="30"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CROWDSTRIKE HOLDINGS,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35"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45-3788918</w:t>
            </w:r>
          </w:p>
        </w:tc>
      </w:tr>
      <w:tr>
        <w:trPr>
          <w:trHeight w:val="168"/>
        </w:trPr>
        <w:tc>
          <w:tcPr>
            <w:tcW w:w="4680" w:type="dxa"/>
            <w:vAlign w:val="bottom"/>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220" w:type="dxa"/>
            <w:vAlign w:val="bottom"/>
          </w:tcPr>
          <w:p>
            <w:pPr>
              <w:jc w:val="center"/>
              <w:ind w:left="259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206 E. 9th Street, Suite 1400, Austin, Texas 78701</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512-8906</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$0.0005 per share</w:t>
            </w:r>
          </w:p>
        </w:tc>
        <w:tc>
          <w:tcPr>
            <w:tcW w:w="1260" w:type="dxa"/>
            <w:vAlign w:val="bottom"/>
          </w:tcPr>
          <w:p>
            <w:pPr>
              <w:spacing w:after="0"/>
              <w:rPr>
                <w:sz w:val="17"/>
                <w:szCs w:val="17"/>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Times New Roman" w:cs="Times New Roman" w:eastAsia="Times New Roman" w:hAnsi="Times New Roman"/>
                <w:sz w:val="16"/>
                <w:szCs w:val="16"/>
                <w:color w:val="auto"/>
                <w:w w:val="99"/>
              </w:rPr>
              <w:t>CRWD</w:t>
            </w:r>
          </w:p>
        </w:tc>
        <w:tc>
          <w:tcPr>
            <w:tcW w:w="440" w:type="dxa"/>
            <w:vAlign w:val="bottom"/>
          </w:tcPr>
          <w:p>
            <w:pPr>
              <w:spacing w:after="0"/>
              <w:rPr>
                <w:sz w:val="17"/>
                <w:szCs w:val="17"/>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43"/>
        </w:trPr>
        <w:tc>
          <w:tcPr>
            <w:tcW w:w="130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47"/>
        </w:trPr>
        <w:tc>
          <w:tcPr>
            <w:tcW w:w="13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bl>
    <w:p>
      <w:pPr>
        <w:spacing w:after="0" w:line="364" w:lineRule="exact"/>
        <w:rPr>
          <w:sz w:val="24"/>
          <w:szCs w:val="24"/>
          <w:color w:val="auto"/>
        </w:rPr>
      </w:pPr>
    </w:p>
    <w:p>
      <w:pPr>
        <w:jc w:val="both"/>
        <w:ind w:right="30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8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20" w:firstLine="648"/>
        <w:spacing w:after="0" w:line="26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 Act.</w:t>
      </w:r>
    </w:p>
    <w:p>
      <w:pPr>
        <w:spacing w:after="0" w:line="2" w:lineRule="exact"/>
        <w:rPr>
          <w:sz w:val="24"/>
          <w:szCs w:val="24"/>
          <w:color w:val="auto"/>
        </w:rPr>
      </w:pPr>
    </w:p>
    <w:tbl>
      <w:tblPr>
        <w:tblLayout w:type="fixed"/>
        <w:tblInd w:w="1880" w:type="dxa"/>
        <w:tblCellMar>
          <w:top w:w="0" w:type="dxa"/>
          <w:left w:w="0" w:type="dxa"/>
          <w:bottom w:w="0" w:type="dxa"/>
          <w:right w:w="0" w:type="dxa"/>
        </w:tblCellMar>
      </w:tblPr>
      <w:tr>
        <w:trPr>
          <w:trHeight w:val="231"/>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Non-accelerated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46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 w:lineRule="exact"/>
        <w:rPr>
          <w:sz w:val="24"/>
          <w:szCs w:val="24"/>
          <w:color w:val="auto"/>
        </w:rPr>
      </w:pPr>
    </w:p>
    <w:p>
      <w:pPr>
        <w:ind w:left="660" w:right="2000"/>
        <w:spacing w:after="0" w:line="27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May 29, 2025, the number of shares of the registrant’s common stock outstanding was 249,248,174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Page No.</w:t>
            </w:r>
          </w:p>
        </w:tc>
      </w:t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60" w:type="dxa"/>
            <w:vAlign w:val="bottom"/>
            <w:gridSpan w:val="13"/>
          </w:tcPr>
          <w:p>
            <w:pPr>
              <w:jc w:val="center"/>
              <w:ind w:right="32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920" w:type="dxa"/>
            <w:vAlign w:val="bottom"/>
          </w:tcPr>
          <w:p>
            <w:pPr>
              <w:spacing w:after="0"/>
              <w:rPr>
                <w:sz w:val="18"/>
                <w:szCs w:val="18"/>
                <w:color w:val="auto"/>
              </w:rPr>
            </w:pPr>
          </w:p>
        </w:tc>
      </w:tr>
      <w:tr>
        <w:trPr>
          <w:trHeight w:val="3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28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3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20" w:type="dxa"/>
            <w:vAlign w:val="bottom"/>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April 30, 2025 and January 31, 2025</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3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April 30, 2025 and April 30, 2024</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April 30, 2025 and April 30, 2024</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3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April 30, 2025 and April 30, 2024</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980" w:type="dxa"/>
            <w:vAlign w:val="bottom"/>
            <w:tcBorders>
              <w:top w:val="single" w:sz="8" w:color="0000FF"/>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April 30, 2025 and April 30, 2024</w:t>
            </w:r>
          </w:p>
        </w:tc>
        <w:tc>
          <w:tcPr>
            <w:tcW w:w="360" w:type="dxa"/>
            <w:vAlign w:val="bottom"/>
            <w:tcBorders>
              <w:top w:val="single" w:sz="8" w:color="CCEEFF"/>
            </w:tcBorders>
            <w:gridSpan w:val="2"/>
          </w:tcPr>
          <w:p>
            <w:pPr>
              <w:spacing w:after="0"/>
              <w:rPr>
                <w:sz w:val="16"/>
                <w:szCs w:val="16"/>
                <w:color w:val="auto"/>
              </w:rPr>
            </w:pPr>
          </w:p>
        </w:tc>
        <w:tc>
          <w:tcPr>
            <w:tcW w:w="92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540" w:type="dxa"/>
            <w:vAlign w:val="bottom"/>
            <w:tcBorders>
              <w:bottom w:val="single" w:sz="8" w:color="CCEEFF"/>
            </w:tcBorders>
            <w:gridSpan w:val="9"/>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r>
      <w:tr>
        <w:trPr>
          <w:trHeight w:val="189"/>
        </w:trPr>
        <w:tc>
          <w:tcPr>
            <w:tcW w:w="20" w:type="dxa"/>
            <w:vAlign w:val="bottom"/>
          </w:tcPr>
          <w:p>
            <w:pPr>
              <w:spacing w:after="0"/>
              <w:rPr>
                <w:sz w:val="16"/>
                <w:szCs w:val="16"/>
                <w:color w:val="auto"/>
              </w:rPr>
            </w:pPr>
          </w:p>
        </w:tc>
        <w:tc>
          <w:tcPr>
            <w:tcW w:w="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500" w:type="dxa"/>
            <w:vAlign w:val="bottom"/>
            <w:gridSpan w:val="23"/>
          </w:tcPr>
          <w:p>
            <w:pPr>
              <w:ind w:left="1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28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0000FF"/>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20" w:type="dxa"/>
            <w:vAlign w:val="bottom"/>
            <w:tcBorders>
              <w:bottom w:val="single" w:sz="8" w:color="CCEEFF"/>
            </w:tcBorders>
            <w:gridSpan w:val="11"/>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189"/>
        </w:trPr>
        <w:tc>
          <w:tcPr>
            <w:tcW w:w="20" w:type="dxa"/>
            <w:vAlign w:val="bottom"/>
          </w:tcPr>
          <w:p>
            <w:pPr>
              <w:spacing w:after="0"/>
              <w:rPr>
                <w:sz w:val="16"/>
                <w:szCs w:val="16"/>
                <w:color w:val="auto"/>
              </w:rPr>
            </w:pPr>
          </w:p>
        </w:tc>
        <w:tc>
          <w:tcPr>
            <w:tcW w:w="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500" w:type="dxa"/>
            <w:vAlign w:val="bottom"/>
            <w:gridSpan w:val="23"/>
          </w:tcPr>
          <w:p>
            <w:pPr>
              <w:ind w:left="1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60" w:type="dxa"/>
            <w:vAlign w:val="bottom"/>
            <w:gridSpan w:val="13"/>
          </w:tcPr>
          <w:p>
            <w:pPr>
              <w:jc w:val="center"/>
              <w:ind w:right="3260"/>
              <w:spacing w:after="0" w:line="189" w:lineRule="exact"/>
              <w:rPr>
                <w:sz w:val="20"/>
                <w:szCs w:val="20"/>
                <w:color w:val="auto"/>
              </w:rPr>
            </w:pPr>
            <w:r>
              <w:rPr>
                <w:rFonts w:ascii="Times New Roman" w:cs="Times New Roman" w:eastAsia="Times New Roman" w:hAnsi="Times New Roman"/>
                <w:sz w:val="18"/>
                <w:szCs w:val="18"/>
                <w:color w:val="0000FF"/>
                <w:w w:val="98"/>
              </w:rPr>
              <w:t>PART II. OTHER INFORMATION</w:t>
            </w:r>
          </w:p>
        </w:tc>
        <w:tc>
          <w:tcPr>
            <w:tcW w:w="9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500" w:type="dxa"/>
            <w:vAlign w:val="bottom"/>
            <w:gridSpan w:val="23"/>
          </w:tcPr>
          <w:p>
            <w:pPr>
              <w:ind w:left="1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500" w:type="dxa"/>
            <w:vAlign w:val="bottom"/>
            <w:gridSpan w:val="2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3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Unregistered Shares of Equity Securities and Use of Proceeds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80</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7"/>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280" w:type="dxa"/>
            <w:vAlign w:val="bottom"/>
            <w:gridSpan w:val="2"/>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3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80</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280" w:type="dxa"/>
            <w:vAlign w:val="bottom"/>
            <w:tcBorders>
              <w:top w:val="single" w:sz="8" w:color="CCEEFF"/>
            </w:tcBorders>
            <w:gridSpan w:val="2"/>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20" w:type="dxa"/>
            <w:vAlign w:val="bottom"/>
            <w:tcBorders>
              <w:top w:val="single" w:sz="8" w:color="CCEEFF"/>
            </w:tcBorders>
            <w:gridSpan w:val="15"/>
          </w:tcPr>
          <w:p>
            <w:pPr>
              <w:spacing w:after="0"/>
              <w:rPr>
                <w:sz w:val="16"/>
                <w:szCs w:val="16"/>
                <w:color w:val="auto"/>
              </w:rPr>
            </w:pPr>
          </w:p>
        </w:tc>
        <w:tc>
          <w:tcPr>
            <w:tcW w:w="92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80</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28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20" w:type="dxa"/>
            <w:vAlign w:val="bottom"/>
            <w:tcBorders>
              <w:bottom w:val="single" w:sz="8" w:color="CCEEFF"/>
            </w:tcBorders>
            <w:gridSpan w:val="18"/>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80</w:t>
            </w:r>
          </w:p>
        </w:tc>
      </w:tr>
      <w:tr>
        <w:trPr>
          <w:trHeight w:val="189"/>
        </w:trPr>
        <w:tc>
          <w:tcPr>
            <w:tcW w:w="20" w:type="dxa"/>
            <w:vAlign w:val="bottom"/>
          </w:tcPr>
          <w:p>
            <w:pPr>
              <w:spacing w:after="0"/>
              <w:rPr>
                <w:sz w:val="16"/>
                <w:szCs w:val="16"/>
                <w:color w:val="auto"/>
              </w:rPr>
            </w:pPr>
          </w:p>
        </w:tc>
        <w:tc>
          <w:tcPr>
            <w:tcW w:w="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500" w:type="dxa"/>
            <w:vAlign w:val="bottom"/>
            <w:gridSpan w:val="23"/>
          </w:tcPr>
          <w:p>
            <w:pPr>
              <w:ind w:left="16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80</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500" w:type="dxa"/>
            <w:vAlign w:val="bottom"/>
            <w:gridSpan w:val="2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225" w:lineRule="exact"/>
        <w:rPr>
          <w:sz w:val="20"/>
          <w:szCs w:val="20"/>
          <w:color w:val="auto"/>
        </w:rPr>
      </w:pPr>
    </w:p>
    <w:p>
      <w:pPr>
        <w:jc w:val="both"/>
        <w:ind w:left="1140" w:hanging="322"/>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including by attracting new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solutions, or enhancements to our existing solutions, and bring them to market in a timely manner;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associated investments;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including channel partners and technology alliance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 respond to government investigations and inquiries;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22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and cash equivalents, cash flow from operations, and our revolving credit facility to meet cash needs for at least the next 12 months;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relating to our valuation allowances for our deferred tax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225" w:lineRule="exact"/>
        <w:rPr>
          <w:rFonts w:ascii="Times New Roman" w:cs="Times New Roman" w:eastAsia="Times New Roman" w:hAnsi="Times New Roman"/>
          <w:sz w:val="18"/>
          <w:szCs w:val="18"/>
          <w:color w:val="auto"/>
        </w:rPr>
      </w:pPr>
    </w:p>
    <w:p>
      <w:pPr>
        <w:ind w:left="1140" w:right="36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improve our internal control over financial reporting;</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inflation and instability in the global credit and financial markets;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close and integrate acquisitions to contribute to our growth objectives;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225"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19 Incident (as defined below), including potential or anticipated developments, our remediation and other efforts in connection with the incident, the outcome of lawsuits, claims and inquiries related to the incident, our customer commitment packages, and the effect on our customer and partner relationships and our business, results of operations and financial condition; and</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Plan (as defined below).</w:t>
      </w:r>
    </w:p>
    <w:p>
      <w:pPr>
        <w:spacing w:after="0" w:line="22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80" w:lineRule="exact"/>
        <w:rPr>
          <w:sz w:val="20"/>
          <w:szCs w:val="20"/>
          <w:color w:val="auto"/>
        </w:rPr>
      </w:pPr>
    </w:p>
    <w:p>
      <w:pPr>
        <w:ind w:left="660" w:right="6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19 Incident has had, and is expected to continue to have, an adverse effect on our business, sales, customer and partner relations, reputation,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if we do not manage our future growth, our business and results of operations will be adversely affected.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while we have achieved profitability in certain periods, including fiscal 2024, we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organizations do not adopt cloud-based SaaS-delivered endpoint security solutions, our ability to grow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660" w:right="48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future results of operations could be harmed.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renew their subscriptions for our products and add additional cloud modules to their subscriptions, our future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and our sales efforts require considerable time and expense.</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3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key technical, sales and management personnel to grow our business, and the loss of one or more key employees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personnel, our business could be harmed.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which could make our future results difficult to predict and could cause our results of operations to fall below expectations.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CrowdStrike and Falcon brands and our reputation as a provider of high-efficacy security solutions,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in the future become, involved in litigation that may adversely affect us.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rFonts w:ascii="Times New Roman" w:cs="Times New Roman" w:eastAsia="Times New Roman" w:hAnsi="Times New Roman"/>
          <w:sz w:val="18"/>
          <w:szCs w:val="18"/>
          <w:color w:val="auto"/>
        </w:rPr>
      </w:pPr>
    </w:p>
    <w:p>
      <w:pPr>
        <w:jc w:val="both"/>
        <w:ind w:left="660" w:righ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6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4,323,295</w:t>
            </w:r>
          </w:p>
        </w:tc>
        <w:tc>
          <w:tcPr>
            <w:tcW w:w="0" w:type="dxa"/>
            <w:vAlign w:val="bottom"/>
          </w:tcPr>
          <w:p>
            <w:pPr>
              <w:spacing w:after="0"/>
              <w:rPr>
                <w:sz w:val="1"/>
                <w:szCs w:val="1"/>
                <w:color w:val="auto"/>
              </w:rPr>
            </w:pPr>
          </w:p>
        </w:tc>
      </w:tr>
      <w:tr>
        <w:trPr>
          <w:trHeight w:val="135"/>
        </w:trPr>
        <w:tc>
          <w:tcPr>
            <w:tcW w:w="81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$2.7 million and $2.8 million as of April 30, 2025 and January 31, 2025,</w:t>
            </w:r>
          </w:p>
        </w:tc>
        <w:tc>
          <w:tcPr>
            <w:tcW w:w="3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808,694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1,128,564</w:t>
            </w:r>
          </w:p>
        </w:tc>
        <w:tc>
          <w:tcPr>
            <w:tcW w:w="0" w:type="dxa"/>
            <w:vAlign w:val="bottom"/>
          </w:tcPr>
          <w:p>
            <w:pPr>
              <w:spacing w:after="0"/>
              <w:rPr>
                <w:sz w:val="1"/>
                <w:szCs w:val="1"/>
                <w:color w:val="auto"/>
              </w:rPr>
            </w:pPr>
          </w:p>
        </w:tc>
      </w:tr>
      <w:tr>
        <w:trPr>
          <w:trHeight w:val="200"/>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347,042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314,444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6,070,798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6,113,345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Strategic investments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788,640</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912,805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133,114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137,459</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8,720,362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8,701,578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191,349</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319,243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13,811</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2,733,005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72,755</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3,282,534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3,461,050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743,983</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1,024,258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995,672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150,849</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5,229,348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5,382,661</w:t>
            </w:r>
          </w:p>
        </w:tc>
        <w:tc>
          <w:tcPr>
            <w:tcW w:w="0" w:type="dxa"/>
            <w:vAlign w:val="bottom"/>
          </w:tcPr>
          <w:p>
            <w:pPr>
              <w:spacing w:after="0"/>
              <w:rPr>
                <w:sz w:val="1"/>
                <w:szCs w:val="1"/>
                <w:color w:val="auto"/>
              </w:rPr>
            </w:pPr>
          </w:p>
        </w:tc>
      </w:tr>
      <w:tr>
        <w:trPr>
          <w:trHeight w:val="17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 $0.0005 par value; 100,000 shares authorized as of April 30, 2025 and January 31, 2025; no shares issued and outstanding</w:t>
            </w:r>
          </w:p>
        </w:tc>
        <w:tc>
          <w:tcPr>
            <w:tcW w:w="30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April 30, 2025 and January 31, 2025.</w:t>
            </w:r>
          </w:p>
        </w:tc>
        <w:tc>
          <w:tcPr>
            <w:tcW w:w="3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Class A common stock, $0.0005 par value; 2,000,000 shares authorized as of April 30, 2025 and January 31, 2025; 249,074 shares and</w:t>
            </w: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247,872 shares issued and outstanding as of April 30, 2025 and January 31, 2025, respectively; Class B common stock, $0.0005 par value;</w:t>
            </w: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92,364 shares authorized as of April 30, 2025 and January 31, 2025; 0 shares issued and outstanding as of April 30, 2025 and January 31,</w:t>
            </w:r>
          </w:p>
        </w:tc>
        <w:tc>
          <w:tcPr>
            <w:tcW w:w="3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4,633,211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4,367,070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(1,188,314)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(1,078,107)</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(9,593)</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CrowdStrike Holdings, Inc. stockholders’ equity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3,450,877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3,279,494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39,423</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3,491,014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3,318,917</w:t>
            </w:r>
          </w:p>
        </w:tc>
        <w:tc>
          <w:tcPr>
            <w:tcW w:w="0" w:type="dxa"/>
            <w:vAlign w:val="bottom"/>
          </w:tcPr>
          <w:p>
            <w:pPr>
              <w:spacing w:after="0"/>
              <w:rPr>
                <w:sz w:val="1"/>
                <w:szCs w:val="1"/>
                <w:color w:val="auto"/>
              </w:rPr>
            </w:pPr>
          </w:p>
        </w:tc>
      </w:tr>
      <w:tr>
        <w:trPr>
          <w:trHeight w:val="212"/>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8,720,362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8,701,578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23"/>
        </w:trPr>
        <w:tc>
          <w:tcPr>
            <w:tcW w:w="7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872,172</w:t>
            </w: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48,864</w:t>
            </w:r>
          </w:p>
        </w:tc>
      </w:tr>
      <w:tr>
        <w:trPr>
          <w:trHeight w:val="223"/>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921,036</w:t>
            </w:r>
          </w:p>
        </w:tc>
      </w:tr>
      <w:tr>
        <w:trPr>
          <w:trHeight w:val="250"/>
        </w:trPr>
        <w:tc>
          <w:tcPr>
            <w:tcW w:w="7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189,657</w:t>
            </w: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35,346</w:t>
            </w:r>
          </w:p>
        </w:tc>
      </w:tr>
      <w:tr>
        <w:trPr>
          <w:trHeight w:val="22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225,003</w:t>
            </w:r>
          </w:p>
        </w:tc>
      </w:tr>
      <w:tr>
        <w:trPr>
          <w:trHeight w:val="250"/>
        </w:trPr>
        <w:tc>
          <w:tcPr>
            <w:tcW w:w="7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696,033</w:t>
            </w:r>
          </w:p>
        </w:tc>
      </w:tr>
      <w:tr>
        <w:trPr>
          <w:trHeight w:val="270"/>
        </w:trPr>
        <w:tc>
          <w:tcPr>
            <w:tcW w:w="7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350,114</w:t>
            </w: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235,249</w:t>
            </w: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103,734</w:t>
            </w:r>
          </w:p>
        </w:tc>
      </w:tr>
      <w:tr>
        <w:trPr>
          <w:trHeight w:val="22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689,097</w:t>
            </w:r>
          </w:p>
        </w:tc>
      </w:tr>
      <w:tr>
        <w:trPr>
          <w:trHeight w:val="250"/>
        </w:trPr>
        <w:tc>
          <w:tcPr>
            <w:tcW w:w="7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45,850</w:t>
            </w: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w:t>
            </w:r>
          </w:p>
        </w:tc>
      </w:tr>
      <w:tr>
        <w:trPr>
          <w:trHeight w:val="250"/>
        </w:trPr>
        <w:tc>
          <w:tcPr>
            <w:tcW w:w="7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53,931</w:t>
            </w:r>
          </w:p>
        </w:tc>
      </w:tr>
      <w:tr>
        <w:trPr>
          <w:trHeight w:val="270"/>
        </w:trPr>
        <w:tc>
          <w:tcPr>
            <w:tcW w:w="7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r>
      <w:tr>
        <w:trPr>
          <w:trHeight w:val="250"/>
        </w:trPr>
        <w:tc>
          <w:tcPr>
            <w:tcW w:w="7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46,264</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42,820</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CrowdStrike common stockholders: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5"/>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75"/>
        </w:trPr>
        <w:tc>
          <w:tcPr>
            <w:tcW w:w="7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CrowdStrike common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242,389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248,432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250,164</w:t>
            </w:r>
          </w:p>
        </w:tc>
      </w:tr>
      <w:tr>
        <w:trPr>
          <w:trHeight w:val="21"/>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r>
      <w:tr>
        <w:trPr>
          <w:trHeight w:val="211"/>
        </w:trPr>
        <w:tc>
          <w:tcPr>
            <w:tcW w:w="8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46,264</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loss on cash equivalents and short-term investments, net of tax</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29"/>
        </w:trPr>
        <w:tc>
          <w:tcPr>
            <w:tcW w:w="8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w:t>
            </w:r>
          </w:p>
        </w:tc>
      </w:tr>
      <w:tr>
        <w:trPr>
          <w:trHeight w:val="248"/>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 attributable to CrowdStrike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Three Months Ended April 30, 2025 and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247,872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4,367,070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(1,078,107)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39,423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3,318,917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252,129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13,291</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(110,993)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15,448</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April 30,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249,074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4,633,211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(1,188,314)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40,137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3,491,014</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241,865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3,364,328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(1,058,836)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2,337,089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181,633</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7,966</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of replacement equity awards attributable to pre-</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service</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(3,341)</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April 30,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243,184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3,556,194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(1,016,016)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33,242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2,568,782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ind w:left="4060"/>
        <w:spacing w:after="0" w:line="20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r>
      <w:tr>
        <w:trPr>
          <w:trHeight w:val="171"/>
        </w:trPr>
        <w:tc>
          <w:tcPr>
            <w:tcW w:w="8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r>
      <w:tr>
        <w:trPr>
          <w:trHeight w:val="16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(110,993)</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46,264</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56,423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42,689</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5,995</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102,903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74,128</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3,372</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253,604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183,125</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Realized gains on strategic investments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(6,881)</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interest expense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of short-term investments purchased at a discount</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 net of impact of acquisitions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319,871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150,249</w:t>
            </w: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(102,803)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(66,480)</w:t>
            </w: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(28,602)</w:t>
            </w: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(83,228)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(43,763)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(16,629)</w:t>
            </w: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payroll and benefits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(37,848)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(17,692)</w:t>
            </w: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(4,531)</w:t>
            </w:r>
          </w:p>
        </w:tc>
      </w:tr>
      <w:tr>
        <w:trPr>
          <w:trHeight w:val="17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42,716</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15,041</w:t>
            </w: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384,107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383,228</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(85,751)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(49,683)</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internal-use software and website development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(17,437)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(10,479)</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10,407</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 acquisitions, net of cash acquired</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(96,376)</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maturities and sales of short-term investments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97,300</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deferred compensation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Proceeds from sales of deferred compensation investments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(101,830)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(51,098)</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upon exercise stock options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(3,841)</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contributions from non-controlling interest holders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63"/>
        </w:trPr>
        <w:tc>
          <w:tcPr>
            <w:tcW w:w="81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rates on cash, cash equivalents and restricted cash</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6,546</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w:t>
            </w:r>
          </w:p>
        </w:tc>
      </w:tr>
      <w:tr>
        <w:trPr>
          <w:trHeight w:val="163"/>
        </w:trPr>
        <w:tc>
          <w:tcPr>
            <w:tcW w:w="81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290,957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327,695</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4,324,666</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3,377,597</w:t>
            </w:r>
          </w:p>
        </w:tc>
      </w:tr>
      <w:tr>
        <w:trPr>
          <w:trHeight w:val="163"/>
        </w:trPr>
        <w:tc>
          <w:tcPr>
            <w:tcW w:w="8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4,615,623</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3,705,292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8"/>
        </w:trPr>
        <w:tc>
          <w:tcPr>
            <w:tcW w:w="8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period:</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4,614,153</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3,702,437</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assets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w:t>
            </w:r>
          </w:p>
        </w:tc>
      </w:tr>
      <w:tr>
        <w:trPr>
          <w:trHeight w:val="163"/>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 shown in the condensed consolidated statements of cash flows</w:t>
            </w: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4,615,623</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3,705,292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8"/>
        </w:trPr>
        <w:tc>
          <w:tcPr>
            <w:tcW w:w="8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11,250</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paid, net of refunds received</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7,594</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 property and equipment included in accounts payable and accrued expenses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(17,655)</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consideration for acquisitions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 arising from obtaining operating right-of-use assets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strategic investments not yet received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4,734</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 and fixed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7,966</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consideration for the purchase of strategic investments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consideration received from sales of strategic investments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3,319</w:t>
            </w: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40" w:right="6540" w:hanging="332"/>
        <w:spacing w:after="0" w:line="503" w:lineRule="auto"/>
        <w:tabs>
          <w:tab w:leader="none" w:pos="196"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 and Significant Accounting Policies Business</w:t>
      </w: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CrowdStrike Holdings, Inc. (and/or its subsidiaries, as applicable, the “Company”) was formed on November 7, 2011. The Company is a global cybersecurity leader that delivers cybersecurity’s AI-native platform for the XDR era, purpose-built to stop breaches. The Company’s unified platform provides cloud-delivered protection of endpoints, cloud workloads, identity, and data via a software as a service (“SaaS”) subscription-based model that spans multiple large security markets, including corporate endpoint security, security and IT operations, managed security services, next-gen SIEM, cloud security, identity protection, threat intelligence, data protection, exposure management and cybersecurity generative AI. The Company conducts its business in the United States, as well as locations internationally, including in Australia, Germany, India, Israel, Japan, Romania, and the United Kingdom.</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2025,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months ended April 30, 2025 are not necessarily indicative of the results to be expected for the year ending January 31, 2026 or for any other interim period or for any other future year.</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2025, filed with the SEC on March 10,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Geographic Information</w:t>
      </w:r>
    </w:p>
    <w:p>
      <w:pPr>
        <w:spacing w:after="0" w:line="22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2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accounts receivable, financing receivables, and strategic investments. The Company’s cash is placed with high-credit-quality financial institutions and issuers, and at times exceeds federally insured limits. The Company has not experienced any credit loss relating to its cash, cash equivalents, or strategic investments. The Company performs periodic credit evaluations of its customers and generally does not require collateral.</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accounts receivable as of April 30, 2025 or January 31, 2025.</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total revenue for each of the three months ended April 30, 2025 or 2024.</w:t>
      </w:r>
    </w:p>
    <w:p>
      <w:pPr>
        <w:spacing w:after="0" w:line="162"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As of April 30, 2025, four end users represented 10% or more of the Company’s financing receivables, and in aggregate represented 74% of the Company’s financing receivables. As of January 31, 2025, two end users represented 10% or more of the Company’s financing receivables, and in aggregate represented 78% of the Company’s financing receivables.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January 31, 2025. There have been no significant changes to these policies that have had a material impact on the Company’s condensed consolidated financial statements and related notes for the three months ended April 30,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The standard requires additional disclosure on specific expense categories included in the expense captions presented on the statements of operations. The new standard can be applied either prospectively or retrospectively, and is effective for annual periods beginning after December 15, 2026 and interim reporting periods beginning after December 15, 2027. Early adoption is permitted. The Company is currently evaluating the impact of this new guidance on its disclosures within the consolidated financial statements.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The new standard is effective for annual periods beginning after December 15, 2024. The Company will adopt the standard in its fourth quarter of fiscal year 2026 and is assessing the appropriate transition method.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Investments and Fair Value Measurements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ASC 820</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with respect to cash equivalents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hierarchy is broken down into three levels as follows:</w:t>
      </w:r>
    </w:p>
    <w:p>
      <w:pPr>
        <w:spacing w:after="0" w:line="225" w:lineRule="exact"/>
        <w:rPr>
          <w:sz w:val="20"/>
          <w:szCs w:val="20"/>
          <w:color w:val="auto"/>
        </w:rPr>
      </w:pPr>
    </w:p>
    <w:p>
      <w:pPr>
        <w:ind w:left="660" w:right="360"/>
        <w:spacing w:after="0" w:line="261" w:lineRule="auto"/>
        <w:rPr>
          <w:sz w:val="20"/>
          <w:szCs w:val="20"/>
          <w:color w:val="auto"/>
        </w:rPr>
      </w:pPr>
      <w:r>
        <w:rPr>
          <w:rFonts w:ascii="Times New Roman" w:cs="Times New Roman" w:eastAsia="Times New Roman" w:hAnsi="Times New Roman"/>
          <w:sz w:val="18"/>
          <w:szCs w:val="18"/>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w:t>
      </w:r>
    </w:p>
    <w:p>
      <w:pPr>
        <w:ind w:left="1460"/>
        <w:spacing w:after="0"/>
        <w:rPr>
          <w:sz w:val="20"/>
          <w:szCs w:val="20"/>
          <w:color w:val="auto"/>
        </w:rPr>
      </w:pPr>
      <w:r>
        <w:rPr>
          <w:rFonts w:ascii="Times New Roman" w:cs="Times New Roman" w:eastAsia="Times New Roman" w:hAnsi="Times New Roman"/>
          <w:sz w:val="18"/>
          <w:szCs w:val="18"/>
          <w:color w:val="auto"/>
        </w:rPr>
        <w:t>substantially the full term of the asset or liability</w:t>
      </w:r>
    </w:p>
    <w:p>
      <w:pPr>
        <w:spacing w:after="0" w:line="9" w:lineRule="exact"/>
        <w:rPr>
          <w:sz w:val="20"/>
          <w:szCs w:val="20"/>
          <w:color w:val="auto"/>
        </w:rPr>
      </w:pPr>
    </w:p>
    <w:p>
      <w:pPr>
        <w:ind w:left="1380" w:right="600" w:hanging="809"/>
        <w:spacing w:after="0" w:line="260" w:lineRule="auto"/>
        <w:tabs>
          <w:tab w:leader="none" w:pos="1360" w:val="left"/>
        </w:tabs>
        <w:rPr>
          <w:sz w:val="20"/>
          <w:szCs w:val="20"/>
          <w:color w:val="auto"/>
        </w:rPr>
      </w:pPr>
      <w:r>
        <w:rPr>
          <w:rFonts w:ascii="Times New Roman" w:cs="Times New Roman" w:eastAsia="Times New Roman" w:hAnsi="Times New Roman"/>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financial assets and liabilities that are measured at fair value on a recurring basis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26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1,822,048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1,470,040</w:t>
            </w: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2,489,005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2,490,097</w:t>
            </w: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compensation investments</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r>
      <w:tr>
        <w:trPr>
          <w:trHeight w:val="23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1,828,642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2,489,005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4,317,647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3,965,633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the levels of the fair value hierarchy during the periods presented.</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April 30, 2025 and January 31, 2025, the Company’s U.S. Treasury securities were carried at fair value and there were no material realized or unrealized gains or losses, either individually or in aggregate.</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Company’s financing receivables approximates their carrying amounts as of April 30, 2025 and January 31, 2025. The fair value of the Company’s financing receivables is considered to be a Level 3 measurement as unobservable inputs are used in determining discounted cash flows to estimate fair value.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of privately held securities as of April 30, 2025,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Privately held</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Privately held debt</w:t>
            </w:r>
          </w:p>
        </w:tc>
        <w:tc>
          <w:tcPr>
            <w:tcW w:w="360" w:type="dxa"/>
            <w:vAlign w:val="bottom"/>
          </w:tcPr>
          <w:p>
            <w:pPr>
              <w:spacing w:after="0"/>
              <w:rPr>
                <w:sz w:val="18"/>
                <w:szCs w:val="18"/>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securities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69,514</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of privately held securities as of January 31, 2025,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Privately held</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Privately held debt</w:t>
            </w:r>
          </w:p>
        </w:tc>
        <w:tc>
          <w:tcPr>
            <w:tcW w:w="360" w:type="dxa"/>
            <w:vAlign w:val="bottom"/>
          </w:tcPr>
          <w:p>
            <w:pPr>
              <w:spacing w:after="0"/>
              <w:rPr>
                <w:sz w:val="18"/>
                <w:szCs w:val="18"/>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securities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April 30, 2025, the cumulative net gains of $1.8 million are comprised of upward adjustments of $7.3 million, less downward adjustments and impairment of $5.5 million. As of January 31, 2025, the cumulative net gains of $3.4 million are comprised of upward adjustments of $7.3 million, less downward adjustments and impairment of $3.9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Strategic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gains and losses on strategic investments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r>
      <w:tr>
        <w:trPr>
          <w:trHeight w:val="211"/>
        </w:trPr>
        <w:tc>
          <w:tcPr>
            <w:tcW w:w="79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recognized on privately held equity securities, including impairment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recognized on sales of privately held equity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r>
      <w:tr>
        <w:trPr>
          <w:trHeight w:val="223"/>
        </w:trPr>
        <w:tc>
          <w:tcPr>
            <w:tcW w:w="7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gains, net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r>
      <w:tr>
        <w:trPr>
          <w:trHeight w:val="223"/>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176"/>
        </w:trPr>
        <w:tc>
          <w:tcPr>
            <w:tcW w:w="7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losses recognized during the reporting period on privately held equity securities still held at the</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reporting date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Unrealized losses recognized on privately held equity securities was related to downward adjustments and impairment.</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Realized gains recognized on sales of privately held equity securities reflects the difference between the sale proceeds and the carrying value of the security at the beginning of the period or the purchase date, if later.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Financing Receivables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short-term and long term financing receivables were as follows (in thousands):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73"/>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6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financing receivables, gross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financing receivables,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financing receivables, gross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48"/>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financing receivables,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amortized cost basis of financing receivables categorized by internal risk rating and year of origination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January 31, 2025</w:t>
            </w:r>
          </w:p>
        </w:tc>
        <w:tc>
          <w:tcPr>
            <w:tcW w:w="860" w:type="dxa"/>
            <w:vAlign w:val="bottom"/>
            <w:tcBorders>
              <w:bottom w:val="single" w:sz="8" w:color="auto"/>
            </w:tcBorders>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Fiscal Year of Origination</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Fiscal Year of Origination</w:t>
            </w:r>
          </w:p>
        </w:tc>
      </w:tr>
      <w:tr>
        <w:trPr>
          <w:trHeight w:val="223"/>
        </w:trPr>
        <w:tc>
          <w:tcPr>
            <w:tcW w:w="43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Internal Risk Rating</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to 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to 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to 9</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Amortized cost basis of financing receivables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111,835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120" w:hanging="332"/>
        <w:spacing w:after="0" w:line="312" w:lineRule="auto"/>
        <w:tabs>
          <w:tab w:leader="none" w:pos="27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risk ratings are determined based on the end-user’s financial condition and are categorized as 1 through 9, with the lowest rating representing the highest quality. Credit quality indicators are generally updated at least annually, or more frequently to the extent required by economic conditions.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There was no significant activity in allowance for credit losses during the three months ended April 30, 2025. There were no financing receivables during the three months ended April 30, 2024. Past due amounts on financing receivables were not material as of April 30, 2025 or January 31, 2025.</w:t>
      </w:r>
    </w:p>
    <w:p>
      <w:pPr>
        <w:spacing w:after="0" w:line="158" w:lineRule="exact"/>
        <w:rPr>
          <w:sz w:val="20"/>
          <w:szCs w:val="20"/>
          <w:color w:val="auto"/>
        </w:rPr>
      </w:pPr>
    </w:p>
    <w:p>
      <w:pPr>
        <w:ind w:left="340" w:right="8720" w:hanging="332"/>
        <w:spacing w:after="0" w:line="532" w:lineRule="auto"/>
        <w:tabs>
          <w:tab w:leader="none" w:pos="196"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i w:val="1"/>
          <w:iCs w:val="1"/>
          <w:color w:val="auto"/>
        </w:rPr>
      </w:pPr>
    </w:p>
    <w:p>
      <w:pPr>
        <w:ind w:left="34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2025</w:t>
            </w:r>
          </w:p>
        </w:tc>
        <w:tc>
          <w:tcPr>
            <w:tcW w:w="160" w:type="dxa"/>
            <w:vAlign w:val="bottom"/>
          </w:tcPr>
          <w:p>
            <w:pPr>
              <w:spacing w:after="0"/>
              <w:rPr>
                <w:sz w:val="18"/>
                <w:szCs w:val="18"/>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26"/>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and other computer equipment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755,728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 costs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265,987</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220,088</w:t>
            </w:r>
          </w:p>
        </w:tc>
      </w:tr>
      <w:tr>
        <w:trPr>
          <w:trHeight w:val="223"/>
        </w:trPr>
        <w:tc>
          <w:tcPr>
            <w:tcW w:w="7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1,310,394</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(521,754)</w:t>
            </w:r>
          </w:p>
        </w:tc>
      </w:tr>
      <w:tr>
        <w:trPr>
          <w:trHeight w:val="248"/>
        </w:trPr>
        <w:tc>
          <w:tcPr>
            <w:tcW w:w="7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Construction in progress primarily includes data center equipment purchased that has not yet been placed in service. Data center equipment that was purchased but not yet been placed into service was $175.5 million as of April 30, 2025.</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$56.4 million and $42.7 million during the three months ended April 30, 2025 and April 30, 2024,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impairment of property and equipment during the three months ended April 30, 2025 and April 30, 2024. The Company capitalized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$29.5 million and $17.5 million in internal-use software and website development costs during the three months ended April 30, 2025 and April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Amortization expense associated with internal-use software and website development costs totaled $17.5 million and $12.8 million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April 30, 2025 and April 30, 2024, respectively. The net book value of capitalized internal-use software and website development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$156.0 million and $144.0 million as of April 30, 2025 and January 31, 2025, respectively.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intangible assets, net consisted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125,486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96"/>
        </w:trPr>
        <w:tc>
          <w:tcPr>
            <w:tcW w:w="4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$7.6 million and $6.0 million during the three months ended April 30, 2025 and April 30, 2024,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aggregate future amortization expense of intangible assets as of April 30, 2025 was as follows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9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nine months)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21,799</w:t>
            </w: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27,248</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26,735</w:t>
            </w: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w:t>
            </w:r>
          </w:p>
        </w:tc>
      </w:tr>
      <w:tr>
        <w:trPr>
          <w:trHeight w:val="229"/>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11,117</w:t>
            </w:r>
          </w:p>
        </w:tc>
      </w:tr>
      <w:tr>
        <w:trPr>
          <w:trHeight w:val="248"/>
        </w:trPr>
        <w:tc>
          <w:tcPr>
            <w:tcW w:w="9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125,486</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Developed technology, customer relationships, intellectual property and other acquired intangible assets are amortized over their estimated useful lives, generally on a straight-line basis, for periods ranging from 2 to 20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 in goodwill during the three months ended April 30, 2025 consisted of the following (in thousands):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6"/>
        </w:trPr>
        <w:tc>
          <w:tcPr>
            <w:tcW w:w="96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January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912,805</w:t>
            </w:r>
          </w:p>
        </w:tc>
      </w:tr>
      <w:tr>
        <w:trPr>
          <w:trHeight w:val="230"/>
        </w:trPr>
        <w:tc>
          <w:tcPr>
            <w:tcW w:w="9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April 30, 2025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913,285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Payroll and Benefits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payroll and benefits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April 30, 2025</w:t>
            </w:r>
          </w:p>
        </w:tc>
        <w:tc>
          <w:tcPr>
            <w:tcW w:w="16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0" w:type="dxa"/>
            <w:vAlign w:val="bottom"/>
          </w:tcPr>
          <w:p>
            <w:pPr>
              <w:spacing w:after="0"/>
              <w:rPr>
                <w:sz w:val="1"/>
                <w:szCs w:val="1"/>
                <w:color w:val="auto"/>
              </w:rPr>
            </w:pPr>
          </w:p>
        </w:tc>
      </w:tr>
      <w:tr>
        <w:trPr>
          <w:trHeight w:val="22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37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69,197</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3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42,510</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319,243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Debt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Facility</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w:t>
      </w:r>
    </w:p>
    <w:p>
      <w:pPr>
        <w:spacing w:after="0" w:line="3" w:lineRule="exact"/>
        <w:rPr>
          <w:sz w:val="20"/>
          <w:szCs w:val="20"/>
          <w:color w:val="auto"/>
        </w:rPr>
      </w:pPr>
    </w:p>
    <w:p>
      <w:pPr>
        <w:ind w:right="100" w:firstLine="8"/>
        <w:spacing w:after="0" w:line="278" w:lineRule="auto"/>
        <w:tabs>
          <w:tab w:leader="none" w:pos="24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Secured Overnight Finance Rate (the “Term SOFR”) for a one-month tenor in effect on such day plus 1.00%, in each case plus a margin between (0.25)% and 0.25%, depending on the senior secured leverage ratio. The Company will be charged a commitment fee of 0.15% to 0.25% per year</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committed but unused amounts, depending on the senior 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April 30, 2025.</w:t>
      </w:r>
    </w:p>
    <w:p>
      <w:pPr>
        <w:spacing w:after="0" w:line="176"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amounts were outstanding under the Amended A&amp;R Credit Agreement as of April 30, 2025 or January 31,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20, 2021, the Company issued $750.0 million in aggregate principal amount of 3.00% Senior Notes maturing in February 2029 (the “Senior Notes”). The Senior Notes are guaranteed by the Company’s subsidiaries, CrowdStrike, Inc. and CrowdStrike Financial Services,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April 30, 2025 and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30, 2025, the Company was in compliance with all of its financial covenants under the Indenture associated with the Senior Notes.</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the trading prices of the Senior Notes, the fair value of the Senior Notes was approximately $698.1 million and $688.4 million as of April 30, 2025 and January 31, 2025,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Income Taxes</w:t>
      </w:r>
    </w:p>
    <w:p>
      <w:pPr>
        <w:spacing w:after="0" w:line="229" w:lineRule="exact"/>
        <w:rPr>
          <w:sz w:val="20"/>
          <w:szCs w:val="20"/>
          <w:color w:val="auto"/>
        </w:rPr>
      </w:pPr>
    </w:p>
    <w:p>
      <w:pPr>
        <w:ind w:right="380"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recognized income tax expense of $21.1 million and $7.7 million for the three months ended April 30, 2025 and April 30, 2024, respectively. The tax expense for the three months ended April 30, 2025 and April 30, 2024 was primarily attributable to income taxes on earnings and withholding taxes related to customer payments in certain foreign jurisdictions in which the Company conducts business. The Company’s effective tax rates of (23.5)% and 14.2% for the three months ended April 30, 2025 and April 30, 2024, respectively, are primarily due to income taxes in U.S. and foreign jurisdictions, withholding taxes related to customer payments in certain foreign jurisdictions in which the Company conducts business, and valuation allowance in the U.S. and certain foreign jurisdictions where the Company does not benefit from losses and tax credits.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Total gross unrecognized tax benefits were $123.9 million and $117.5 million as of April 30, 2025 and January 31, 2025, respectively, which is primarily attributable to research and development credits. As of April 30, 2025 and January 31, 2025, approximately $55.4 million and $54.8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had incurred $3.7 million and $3.0 million of interest and penalties related to unrecognized tax benefits as of April 30, 2025 and January 31, 2025.</w:t>
      </w:r>
    </w:p>
    <w:p>
      <w:pPr>
        <w:spacing w:after="0" w:line="187" w:lineRule="exact"/>
        <w:rPr>
          <w:sz w:val="20"/>
          <w:szCs w:val="20"/>
          <w:color w:val="auto"/>
        </w:rPr>
      </w:pPr>
    </w:p>
    <w:p>
      <w:pPr>
        <w:ind w:right="200" w:firstLine="324"/>
        <w:spacing w:after="0" w:line="272" w:lineRule="auto"/>
        <w:rPr>
          <w:sz w:val="20"/>
          <w:szCs w:val="20"/>
          <w:color w:val="auto"/>
        </w:rPr>
      </w:pPr>
      <w:r>
        <w:rPr>
          <w:rFonts w:ascii="Times New Roman" w:cs="Times New Roman" w:eastAsia="Times New Roman" w:hAnsi="Times New Roman"/>
          <w:sz w:val="17"/>
          <w:szCs w:val="17"/>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The Company files income tax returns in the U.S. federal, and various state jurisdictions, as well as various foreign jurisdictions. Tax years 2011 and onwards remain subject to examination by taxing authorities.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pacing w:after="0" w:line="17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full valuation allowance on U.S. federal and state and certain foreign deferred tax assets, including net operating loss carryforwards and tax credits, which the Company has determined are not realizable on a more-likely-than-not basis. The Company regularly evaluates the need for a valuation allowance.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 w:right="9020" w:hanging="332"/>
        <w:spacing w:after="0" w:line="532" w:lineRule="auto"/>
        <w:tabs>
          <w:tab w:leader="none" w:pos="196" w:val="left"/>
        </w:tabs>
        <w:numPr>
          <w:ilvl w:val="0"/>
          <w:numId w:val="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Stock-Based Compensation Stock Incentive Plan</w:t>
      </w:r>
    </w:p>
    <w:p>
      <w:pPr>
        <w:spacing w:after="0" w:line="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spacing w:after="0" w:line="18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w:t>
      </w:r>
    </w:p>
    <w:p>
      <w:pPr>
        <w:spacing w:after="0" w:line="16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April 30, 2025. Stock options granted during the three months ended April 30, 2024 were immaterial.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stock option activity for the three months ended April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April 30,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at April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Options exercisable at April 30, 2025</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w:t>
            </w:r>
          </w:p>
        </w:tc>
        <w:tc>
          <w:tcPr>
            <w:tcW w:w="26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options that were unvested and exercisable as of April 30, 2025.</w:t>
      </w:r>
    </w:p>
    <w:p>
      <w:pPr>
        <w:spacing w:after="0" w:line="225"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was $480.9 million and $472.3 million as of April 30, 2025 and January 31, 2025, respectively. The weighted-average remaining contractual term of options vested and exercisable was 3.3 years and 3.5 years as of April 30, 2025 and January 31, 2025, respectively.</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values of all options granted was none and $325.22 per share during the three months ended April 30, 2025 and April 30, 2024, respectively. The total intrinsic value of all options exercised was $26.7 million and $28.5 million during the three months ended April 30, 2025 and April 30, 2024, respectively.</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as of April 30, 2025 and January 31, 2025 was $492.5 million and $485.3 million, respectively, which represents the excess of the fair value of the Company’s common stock over the exercise price of the options multiplied by the number of options outstanding. The weighted-average remaining contractual term of stock options outstanding was 3.4 years and 3.6 years as of April 30, 2025 and January 31, 2025, respectively.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$6.5 million as of April 30, 2025. This expense is expected to be amortized over a weighted-average vesting period of 1.7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or (iii)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RSUs was $2.1 billion as of April 30, 2025. This expense is expected to be amortized over a weighted-average vesting period of 2.6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80"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PSUs was $206.3 million as of April 30, 2025, which reflects the Company's updated assessment of the likelihood of satisfying the performance conditions. This expense is expected to be amortized over a weighted-average vesting period of 1.3 years.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PSU Awards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fiscal 2022 the Company’s board of directors granted 655,000 performance stock units (the “Special PSU Awards”) to certain executives under the 2019 Plan. The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February 1, 2022, February 1, 2023, February 1, 2024 and February 1, 2025) and (ii) the remaining PSUs with respect to such tranche will thereafter service vest in four equal quarterly installments of 12.5%.</w:t>
      </w:r>
    </w:p>
    <w:p>
      <w:pPr>
        <w:spacing w:after="0" w:line="19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18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the unvested portion of the Special PSU Awards was $8.5 million as of April 30, 2025. This expense is expected to be amortized over a weighted-average vesting period of 1.0 year.</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RSUs, PSUs and the Special PSU Awards activities for the three months ended April 30,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7"/>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January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216.62</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April 30,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RSUs and PSUs expected to vest at April 30, 2025 </w:t>
            </w:r>
            <w:r>
              <w:rPr>
                <w:rFonts w:ascii="Times New Roman" w:cs="Times New Roman" w:eastAsia="Times New Roman" w:hAnsi="Times New Roman"/>
                <w:sz w:val="23"/>
                <w:szCs w:val="23"/>
                <w:b w:val="1"/>
                <w:bCs w:val="1"/>
                <w:color w:val="auto"/>
                <w:vertAlign w:val="superscript"/>
              </w:rPr>
              <w:t>(2)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right="160" w:hanging="332"/>
        <w:spacing w:after="0" w:line="280"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adjustment represents adjustments in shares outstanding due to the actual achievement of performance-based awards, the achievement of which was based upon pre-defined financial performance targets.</w:t>
      </w:r>
    </w:p>
    <w:p>
      <w:pPr>
        <w:spacing w:after="0" w:line="5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in progress PSUs and Special PSUs where pre-defined targets have not yet been achieved.</w:t>
      </w:r>
    </w:p>
    <w:p>
      <w:pPr>
        <w:spacing w:after="0" w:line="226"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provides for consecutive offering periods that will typically have a duration of approximately 24 months in length and are comprised</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8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w:t>
      </w:r>
    </w:p>
    <w:p>
      <w:pPr>
        <w:spacing w:after="0" w:line="194"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Employee payroll contributions ultimately used to purchase shares are reclassified to stockholders’ equity on the purchase date. ESPP employee payroll contributions accrued as of April 30, 2025 and January 31, 2025 totaled $70.7 million and $33.2 million, respectively, and are included within accrued payroll and benefits in the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option-pricing model to determine the fair value of employee stock purchase rights granted under the Company’s ESPP: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23"/>
        </w:trPr>
        <w:tc>
          <w:tcPr>
            <w:tcW w:w="76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 – 5.3%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 5.3%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 – 59.8%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 61.2%</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is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23"/>
        </w:trPr>
        <w:tc>
          <w:tcPr>
            <w:tcW w:w="7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66,742</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43,936</w:t>
            </w:r>
          </w:p>
        </w:tc>
      </w:tr>
      <w:tr>
        <w:trPr>
          <w:trHeight w:val="223"/>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253,604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183,125</w:t>
            </w:r>
          </w:p>
        </w:tc>
      </w:tr>
      <w:tr>
        <w:trPr>
          <w:trHeight w:val="20"/>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Revenue, Deferred Revenue and Remaining Performance Obligations</w:t>
      </w:r>
    </w:p>
    <w:p>
      <w:pPr>
        <w:spacing w:after="0" w:line="229"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by region based on the shipping address of customers who have contracted to use the Company’s platform or service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1"/>
        </w:trPr>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0"/>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Revenue</w:t>
            </w:r>
          </w:p>
        </w:tc>
      </w:tr>
      <w:tr>
        <w:trPr>
          <w:trHeight w:val="211"/>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741,852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630,026</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141,612</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93,462</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55,936</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37"/>
        </w:trPr>
        <w:tc>
          <w:tcPr>
            <w:tcW w:w="5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921,036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total revenue during the three months ended April 30, 2025 and April 30,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performance under the contract. Such amounts are recognized as revenue over the contractual period. The Company recognized revenue of $950.9 million and $792.2 million for the three months ended April 30, 2025 and April 30, 2024, respectively, which was included in the corresponding contract liability balance at the beginning of the period.</w:t>
      </w:r>
    </w:p>
    <w:p>
      <w:pPr>
        <w:spacing w:after="0" w:line="176"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deferred revenue were as follows (in thousands):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3"/>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23"/>
        </w:trPr>
        <w:tc>
          <w:tcPr>
            <w:tcW w:w="7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3,728,677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3,054,099</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300" w:type="dxa"/>
            <w:vAlign w:val="bottom"/>
          </w:tcPr>
          <w:p>
            <w:pPr>
              <w:spacing w:after="0"/>
              <w:rPr>
                <w:sz w:val="19"/>
                <w:szCs w:val="19"/>
                <w:color w:val="auto"/>
              </w:rPr>
            </w:pPr>
          </w:p>
        </w:tc>
        <w:tc>
          <w:tcPr>
            <w:tcW w:w="13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1,146,152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936,316</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(1,103,434)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(921,036)</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3,771,395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3,069,379</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subscription contracts with its customers have a typical term of one to three years and most subscription contracts are non-cancellable. Customers generally have the right to terminate their contracts for cause as a result of the Company’s failure to perform. As of April 30, 2025, the aggregate amount of the transaction price allocated to remaining performance obligations was $6.8 billion. The Company expects to recognize approximately 52% of the remaining performance obligations in the 12 months following April 30, 2025, and 42% of the remaining performance obligations between 13 to 36 months, with the remainder to be recognized thereafter.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a Contract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 Commissions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months ended April 30, 2025 or April 30, 2024.</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r>
      <w:tr>
        <w:trPr>
          <w:trHeight w:val="211"/>
        </w:trPr>
        <w:tc>
          <w:tcPr>
            <w:tcW w:w="7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847,950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582,303</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360" w:type="dxa"/>
            <w:vAlign w:val="bottom"/>
          </w:tcPr>
          <w:p>
            <w:pPr>
              <w:spacing w:after="0"/>
              <w:rPr>
                <w:sz w:val="19"/>
                <w:szCs w:val="19"/>
                <w:color w:val="auto"/>
              </w:rPr>
            </w:pPr>
          </w:p>
        </w:tc>
        <w:tc>
          <w:tcPr>
            <w:tcW w:w="12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102,803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9"/>
              </w:rPr>
              <w:t>(102,903)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(74,128)</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847,850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574,655</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351,805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244,651</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496,045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330,004</w:t>
            </w:r>
          </w:p>
        </w:tc>
      </w:tr>
      <w:tr>
        <w:trPr>
          <w:trHeight w:val="223"/>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847,850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574,655</w:t>
            </w:r>
          </w:p>
        </w:tc>
      </w:tr>
      <w:tr>
        <w:trPr>
          <w:trHeight w:val="21"/>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July 19 Incident</w:t>
      </w:r>
    </w:p>
    <w:p>
      <w:pPr>
        <w:spacing w:after="0" w:line="229" w:lineRule="exact"/>
        <w:rPr>
          <w:sz w:val="20"/>
          <w:szCs w:val="20"/>
          <w:color w:val="auto"/>
        </w:rPr>
      </w:pPr>
    </w:p>
    <w:p>
      <w:pPr>
        <w:ind w:right="480" w:firstLine="324"/>
        <w:spacing w:after="0" w:line="312" w:lineRule="auto"/>
        <w:rPr>
          <w:sz w:val="20"/>
          <w:szCs w:val="20"/>
          <w:color w:val="auto"/>
        </w:rPr>
      </w:pPr>
      <w:r>
        <w:rPr>
          <w:rFonts w:ascii="Times New Roman" w:cs="Times New Roman" w:eastAsia="Times New Roman" w:hAnsi="Times New Roman"/>
          <w:sz w:val="17"/>
          <w:szCs w:val="17"/>
          <w:color w:val="auto"/>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spacing w:after="0" w:line="140" w:lineRule="exact"/>
        <w:rPr>
          <w:sz w:val="20"/>
          <w:szCs w:val="20"/>
          <w:color w:val="auto"/>
        </w:rPr>
      </w:pPr>
    </w:p>
    <w:p>
      <w:pPr>
        <w:ind w:left="1140" w:right="20" w:hanging="322"/>
        <w:spacing w:after="0" w:line="270"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2024, a putative class action lawsuit was filed against the Company and certain of the Company’s officers in federal court in the Western District of Texas alleging violations of federal securities laws, including that the defendants made false or misleading statements. The complainants seek certification of a class of all persons who purchased or otherwise acquired the Company’s securities during specified periods of time and are seeking unspecified monetary damages, costs and attorneys’ fees. On January 21, 2025, an amended complaint was filed. On April 7, 2025, the defendants filed a motion to dismiss.</w:t>
      </w:r>
    </w:p>
    <w:p>
      <w:pPr>
        <w:spacing w:after="0" w:line="172" w:lineRule="exact"/>
        <w:rPr>
          <w:rFonts w:ascii="Times New Roman" w:cs="Times New Roman" w:eastAsia="Times New Roman" w:hAnsi="Times New Roman"/>
          <w:sz w:val="18"/>
          <w:szCs w:val="18"/>
          <w:color w:val="auto"/>
        </w:rPr>
      </w:pPr>
    </w:p>
    <w:p>
      <w:pPr>
        <w:ind w:left="1140" w:hanging="322"/>
        <w:spacing w:after="0" w:line="254"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2024, a putative class action was filed against CrowdStrike, Inc. in the Western District of Texas in relation to passenger airline flight disruptions allegedly caused by the July 19 Incident. On August 19, 2024, a second putative class action was filed against the Company and CrowdStrike, Inc. in the Western District of Texas, making similar allegations in relation to passenger airline flight disruptions. On November 6, 2024, these two lawsuits were consolidated, and interim class counsel was appointed. On December 6, 2024, a consolidated class action complaint was filed, which, among other things, asserts causes of action for negligence and public nuisance, and seeks certification of a nationwide class, as well as several state sub-classes of citizens of California, Ohio, Pennsylvania, Iowa, and Nevada. The putative classes are comprised of individuals who allegedly had a flight delayed or canceled as a result of the July 19 Incident. The consolidated complaint seeks unspecified monetary damages, certain injunctive relief, costs, and attorneys’ fees. On February 4, 2025, the Company and CrowdStrike, Inc. filed a motion to dismiss the consolidated complaint.</w:t>
      </w:r>
    </w:p>
    <w:p>
      <w:pPr>
        <w:spacing w:after="0" w:line="188" w:lineRule="exact"/>
        <w:rPr>
          <w:rFonts w:ascii="Times New Roman" w:cs="Times New Roman" w:eastAsia="Times New Roman" w:hAnsi="Times New Roman"/>
          <w:sz w:val="18"/>
          <w:szCs w:val="18"/>
          <w:color w:val="auto"/>
        </w:rPr>
      </w:pPr>
    </w:p>
    <w:p>
      <w:pPr>
        <w:ind w:left="1140" w:right="60" w:hanging="322"/>
        <w:spacing w:after="0" w:line="25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including that the defendants made false or misleading statements in violation of Sections 10(b) and 14(a) of the Exchange Act and SEC Rules 10b-5 and 14a-9. One of the lawsuits also brings a claim against certain of the defendants for contribution under Sections 10(b) and 21D of the Exchange Act. The complainants seek monetary and non-monetary relief purportedly on behalf of the Company. On November 21, 2024, all three cases were consolidated and stayed pending resolution of the putative securities class action described above. On April 9, 2025, another derivative lawsuit was filed against certain of the Company’s officers and directors, and against the Company as nominal defendant, in federal court in the District of Delaware, asserting similar claims and seeking similar relief as the previously filed derivative lawsuits. On May 22, 2025, this lawsuit was voluntarily dismissed without prejudice. 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and stayed pending a response by the Company’s board of directors to a litigation demand submitted by one of the plaintiffs and a proposed order governing next steps.</w:t>
      </w:r>
    </w:p>
    <w:p>
      <w:pPr>
        <w:spacing w:after="0" w:line="197" w:lineRule="exact"/>
        <w:rPr>
          <w:rFonts w:ascii="Times New Roman" w:cs="Times New Roman" w:eastAsia="Times New Roman" w:hAnsi="Times New Roman"/>
          <w:sz w:val="18"/>
          <w:szCs w:val="18"/>
          <w:color w:val="auto"/>
        </w:rPr>
      </w:pPr>
    </w:p>
    <w:p>
      <w:pPr>
        <w:ind w:left="1140" w:hanging="322"/>
        <w:spacing w:after="0" w:line="256"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The matter has been transferred to the Metro Atlanta Business Case Division. On December 16, 2024, CrowdStrike, Inc. filed a motion to dismiss. On May 16, 2025, CrowdStrike, Inc.’s motion to dismiss was granted in part and denied in part.</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received requests for information from the U.S. Department of Justice and the U.S. Securities and Exchange Commission relating to the Company’s recognition of revenue and reporting of ARR for transactions with certain customers, the July 19 Incident and related matters. The Company is cooperating and providing information in response to these requests.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Additionally, some customers and third parties have asserted claims or publicly threatened litigation against the Company. The Company has also received inquiries from other governmental authorities and third parties related to the July 19 Incident. The Company is cooperating and providing information in connection with these inquiries.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current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incur significant legal and professional services and other expenses associated with the July 19 Incident and related matters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Amounts accrued and expenses incurred, net of insurance receivable recorded, associated with the July 19 Incident and related matters during the three months ended April 30, 2025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6"/>
              </w:rPr>
              <w:t>21,145</w:t>
            </w:r>
          </w:p>
        </w:tc>
      </w:tr>
      <w:tr>
        <w:trPr>
          <w:trHeight w:val="229"/>
        </w:trPr>
        <w:tc>
          <w:tcPr>
            <w:tcW w:w="9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Expenses incurred, net of insurance receivable recorded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6"/>
              </w:rPr>
              <w:t>39,727</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cash received</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(38,874)</w:t>
            </w:r>
          </w:p>
        </w:tc>
      </w:tr>
      <w:tr>
        <w:trPr>
          <w:trHeight w:val="22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April 30, 2025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6"/>
              </w:rPr>
              <w:t>21,998</w:t>
            </w:r>
          </w:p>
        </w:tc>
      </w:tr>
      <w:tr>
        <w:trPr>
          <w:trHeight w:val="21"/>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40" w:right="220" w:hanging="332"/>
        <w:spacing w:after="0" w:line="263" w:lineRule="auto"/>
        <w:tabs>
          <w:tab w:leader="none" w:pos="36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expenses were included in the Company’s condensed consolidated statements of operations as sales and marketing expenses, research and development expenses, and general and administrative expenses. Accruals were recorded in accrued expenses in the Company’s condensed consolidated balance sheets. Insurance receivable was recorded in prepaid expenses and other current assets in the Company's condensed consolidated balance sheets.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to customer commitment packages, the Company has made an immaterial amount of settlement offers to certain customers in response to the July 19 Incident. These amounts are, or will be, entirely offset by recoveries under the Company’s insurance policies. Accordingly, there is no impact on the Company’s condensed consolidated statement of operations during the three months ended April 30, 2025. The customer payables and insurance receivables were recorded as accrued expenses and as prepaid expenses and other current assets in the Company’s condensed consolidated balance sheet as of April 30, 2025, respectively.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non-cancellable purchase commitments with various parties to purchase products and services such as data center capacity, advertising, technology, equipment, office renovations, corporate events, and consulting services. A summary of non-cancellable purchase obligations in excess of one year as of April 30, 2025, with expected date of payment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1"/>
        </w:trPr>
        <w:tc>
          <w:tcPr>
            <w:tcW w:w="9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nine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348,444</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571,048</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591,297</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598,765</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445,095</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153,522</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2,708,171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Unfunded Loan Commitments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cancellable by the Company. As of April 30, 2025, the Company had non-cancellable unfunded commitments totaling approximately $24.6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condensed consolidated financial statements as of April 30, 2025 or January 31, 2025.</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April 30, 2025 or January 31,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9740" w:hanging="332"/>
        <w:spacing w:after="0" w:line="532" w:lineRule="auto"/>
        <w:tabs>
          <w:tab w:leader="none" w:pos="286"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Acquisitions Adaptive Shield</w:t>
      </w:r>
    </w:p>
    <w:p>
      <w:pPr>
        <w:spacing w:after="0" w:line="1"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On November 20, 2024, the Company acquired 100% of the equity interest of A.S. Adaptive Shield Ltd. (“Adaptive Shield”), a SaaS-based cybersecurity company that offers customers comprehensive SaaS security posture management solutions.</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$213.7 million in cash, net of $13.7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identifiable intangible assets, which include developed technology and customer relationships of $31.1 million, net tangible liabilities acquired of $7.7 million, and goodwill of $191.0 million, which was allocated to the Company’s one reporting unit and represents the excess of the purchase price over the fair value of net tangible and intangible assets acquired. The goodwill was primarily attributable to the assembled workforce of Adaptive Shield, planned growth in new markets, and synergies expected to be achieved from the integration of Adaptive Shield. Goodwill is not deductible for income tax purposes.</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Adaptive Shield, certain unvested stock options held by Adaptive Shield employees were canceled and exchanged for replacement stock options under the 2019 Plan. Additionally, certain shares of Adaptive Shield stock held by Adaptive Shield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8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(in months)</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costs incurred during the three months ended April 30, 2025 were immaterial.</w:t>
      </w:r>
    </w:p>
    <w:p>
      <w:pPr>
        <w:spacing w:after="0" w:line="225"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Adaptive Shield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Flow Security</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On March 26, 2024, the Company acquired 100% of the equity interest of Flow Security Ltd. (“Flow Security”), a leading provider of data security solutions.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$96.4 million in cash, net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of cash acquired, and $0.5 million representing the fair value of replacement equity awards attributable to pre-acquisition service.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fair value of these replacement awards attributed to post-combination service was excluded from the purchase price. The purchase price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allocated to developed technology of $13.5 million with a useful life of 72 months, net tangible liabilities acquired of $0.6 million, and goodwill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 million, which was allocated to the Company’s one reporting unit and represents the excess of the purchase price over the fair value of net tangible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intangible assets acquired. The goodwill was primarily attributable to the assembled workforce of Flow Security,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planned growth in new markets, and synergies expected to be achieved from the integration of Flow Security. Goodwill is not deductible for income tax purposes.</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costs incurred during the three months ended April 30, 2025 were immaterial.</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Flow Security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Net Income (Loss) Per Share Attributable to Common Stockholders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PSUs, ESPP obligations, and founder holdbacks, and are computed using the treasury stock method. The effects of the outstanding stock options, RSUs, PSUs, Special PSUs, ESPP obligations, and founder holdbacks are excluded from the computation of the diluted net income per share in periods in which the effect would be anti-dilutive. Diluted net loss per share is the same as basic net loss per share for the three months ended April 30, 2025 because the effects of potentially dilutive items were antidilutive given the Company’s net loss position during the three months ended April 30, 2025.</w:t>
      </w:r>
    </w:p>
    <w:p>
      <w:pPr>
        <w:spacing w:after="0" w:line="19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 On December 11, 2024, all of the Company’s outstanding shares of Class B common stock were automatically converted into an equal number of shares of Class A common stock pursuant to the provisions of the Amended and Restated Certificate of Incorporation.</w:t>
      </w:r>
    </w:p>
    <w:p>
      <w:pPr>
        <w:spacing w:after="0" w:line="1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CrowdStrike common stockholders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CrowdStrike</w:t>
            </w: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stockholders, basic</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242,389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0" w:type="dxa"/>
            <w:vAlign w:val="bottom"/>
          </w:tcPr>
          <w:p>
            <w:pPr>
              <w:spacing w:after="0"/>
              <w:rPr>
                <w:sz w:val="1"/>
                <w:szCs w:val="1"/>
                <w:color w:val="auto"/>
              </w:rPr>
            </w:pPr>
          </w:p>
        </w:tc>
      </w:tr>
      <w:tr>
        <w:trPr>
          <w:trHeight w:val="155"/>
        </w:trPr>
        <w:tc>
          <w:tcPr>
            <w:tcW w:w="79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CrowdStrike</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248,432</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250,164</w:t>
            </w:r>
          </w:p>
        </w:tc>
        <w:tc>
          <w:tcPr>
            <w:tcW w:w="0" w:type="dxa"/>
            <w:vAlign w:val="bottom"/>
          </w:tcPr>
          <w:p>
            <w:pPr>
              <w:spacing w:after="0"/>
              <w:rPr>
                <w:sz w:val="1"/>
                <w:szCs w:val="1"/>
                <w:color w:val="auto"/>
              </w:rPr>
            </w:pPr>
          </w:p>
        </w:tc>
      </w:tr>
      <w:tr>
        <w:trPr>
          <w:trHeight w:val="216"/>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stockholders, dilutive</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CrowdStrike common stockholders,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share attributable to CrowdStrike common stockholders, 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7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firstLine="324"/>
        <w:spacing w:after="0" w:line="271"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spacing w:after="0" w:line="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subject to future vesting</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of common stock issuable from stock options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purchase rights under the Employee Stock Purchase Plan</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Potential common shares excluded from diluted net income (loss) per share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7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above table excludes founder holdbacks related to business combinations where a variable number of shares will be issued upon vesting to settle a fixed monetary amount of $18.4 million, contingent upon continued employment with the Company. The share price will be determined based on the Company’s average stock price or the volume weighted average stock price five days prior to each vesting date. During the three months ended April 30, 2025, no shares were issued to settle founder holdbacks.</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April 30, 2025, the above table also excludes 606,062 outstanding shares of in progress PSUs and Special PSUs where pre-defined targets have not yet been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Segment Information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CrowdStrike’s Chief Operating Decision Maker (“CODM”), the Chief Executive Officer, manages the Company’s business activities as a single operating and reportable segment at the consolidated level. Accordingly, the CODM uses consolidated net income (loss) to measure segment profit or loss, evaluate financial performance, and allocate resources. Consolidated net income (loss) is evaluated on a monthly basis by comparing actual results against budgeted or forecasted net income (loss), facilitating the analysis of the Company’s financial trends.</w:t>
      </w:r>
    </w:p>
    <w:p>
      <w:pPr>
        <w:spacing w:after="0" w:line="180"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Significant expenses within net income (loss) include cost of revenue for subscription and professional services, sales and marketing expenses, research and development expenses, and general and administrative expenses. Other segment items within net income (loss) include interest expense, interest income, other income (expense), net, and provision for income taxes, which are each separately disclosed and presented in the condensed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property and equipment, net and operating lease right-of-use assets are summarized by geographic area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2025</w:t>
            </w:r>
          </w:p>
        </w:tc>
        <w:tc>
          <w:tcPr>
            <w:tcW w:w="16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26"/>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688,766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 and operating lease right-of-use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831,403</w:t>
            </w:r>
          </w:p>
        </w:tc>
      </w:tr>
      <w:tr>
        <w:trPr>
          <w:trHeight w:val="21"/>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8 for additional information about the Company’s revenue by geographic region.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Subsequent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June 3, 2025, the Company announced that its board of directors has approved a share repurchase program for the repurchase of up to $1.0 billion of the Company’s Class A common stock. The repurchase program does not have a fixed expiration date and does not obligate the Company to acquire any specific number of shares. The Company may repurchase shares of Class A common stock from time to time using a variety of methods, including through open market purchases, privately negotiated transactions, and other means, including through the use of trading plans intended to qualify under Rule 10b5-1 under the Exchange Act.</w:t>
      </w:r>
    </w:p>
    <w:p>
      <w:pPr>
        <w:spacing w:after="0" w:line="21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timing, manner, price and amount of any repurchases will be determined by the Company in its discretion and will depend on a variety of factors, including legal requirements, price, and economic and market conditions.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Plan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May 6, 2025, the Company announced a strategic plan (the “Plan”) to evolve its operations to yield greater efficiencies as the Company continues to scale its business with focus and discipline to meet its goal. The Company estimates that it will incur approximately $36.0 million to $53.0 million in charges in connection with the Plan, of which $6.6 million related to non-employee costs was recognized in the Company’s condensed consolidated statements of operations as general and administrative expenses in the first quarter of fiscal 2026. Substantially all of the remaining estimated costs are expected to be incurred in the second quarter of fiscal 2026. These charges primarily consist of approximately $19.0 million to $26.0 million of future cash expenditures related to severance payments, employee benefits, and related costs; and approximately $10.0 million to $20.0 million in non-cash charges for stock-based compensation.</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actions associated with the Plan are expected to be substantially complete by the end of the second quarter of fiscal 2026, subject to local law and consultation requirements.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including local law and consultation requirements, and actual amounts may differ materially from estimates. In addition, the Company may incur other charges or cash expenditures not currently contemplated due to unanticipated events that may occur, including in connection with the implementation of the Plan.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2025,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artificial intelligence (“AI”) at the core, capable of harnessing vast amounts of security and enterprise data to deliver highly modular solutions through a single lightweight agent.</w:t>
      </w:r>
    </w:p>
    <w:p>
      <w:pPr>
        <w:spacing w:after="0" w:line="183" w:lineRule="exact"/>
        <w:rPr>
          <w:sz w:val="20"/>
          <w:szCs w:val="20"/>
          <w:color w:val="auto"/>
        </w:rPr>
      </w:pPr>
    </w:p>
    <w:p>
      <w:pPr>
        <w:ind w:right="280" w:firstLine="324"/>
        <w:spacing w:after="0" w:line="274" w:lineRule="auto"/>
        <w:rPr>
          <w:sz w:val="20"/>
          <w:szCs w:val="20"/>
          <w:color w:val="auto"/>
        </w:rPr>
      </w:pPr>
      <w:r>
        <w:rPr>
          <w:rFonts w:ascii="Times New Roman" w:cs="Times New Roman" w:eastAsia="Times New Roman" w:hAnsi="Times New Roman"/>
          <w:sz w:val="17"/>
          <w:szCs w:val="17"/>
          <w:color w:val="auto"/>
        </w:rPr>
        <w:t>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7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May 6, 2025, we announced a strategic plan (the “Plan”). We estimate that we will incur approximately $36.0 million to $53.0 million in charges in connection with the Plan, of which $6.6 million was recognized in the first quarter of fiscal 2026, and substantially all of the remainder of which will be incurred in the second quarter of fiscal 2026.</w:t>
      </w:r>
    </w:p>
    <w:p>
      <w:pPr>
        <w:spacing w:after="0" w:line="17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substantial majority of our customers purchase subscriptions with a term over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Certain Factors Affecting Our Performance</w:t>
      </w:r>
    </w:p>
    <w:p>
      <w:pPr>
        <w:spacing w:after="0" w:line="225" w:lineRule="exact"/>
        <w:rPr>
          <w:sz w:val="20"/>
          <w:szCs w:val="20"/>
          <w:color w:val="auto"/>
        </w:rPr>
      </w:pPr>
    </w:p>
    <w:p>
      <w:pPr>
        <w:ind w:right="14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Adoption of Our Solutions. </w:t>
      </w:r>
      <w:r>
        <w:rPr>
          <w:rFonts w:ascii="Times New Roman" w:cs="Times New Roman" w:eastAsia="Times New Roman" w:hAnsi="Times New Roman"/>
          <w:sz w:val="17"/>
          <w:szCs w:val="17"/>
          <w:color w:val="auto"/>
        </w:rPr>
        <w:t>We believe our future success depends in large part on the growth in the market for cloud-based SaaS-delivered endpoint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5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Customer Acquisition. </w:t>
      </w:r>
      <w:r>
        <w:rPr>
          <w:rFonts w:ascii="Times New Roman" w:cs="Times New Roman" w:eastAsia="Times New Roman" w:hAnsi="Times New Roman"/>
          <w:sz w:val="18"/>
          <w:szCs w:val="18"/>
          <w:color w:val="auto"/>
        </w:rPr>
        <w:t>Our future growth depends in large part on our ability to acquire new customers. If our efforts to attract new customers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82"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Customer Retention and Increase Sales. </w:t>
      </w:r>
      <w:r>
        <w:rPr>
          <w:rFonts w:ascii="Times New Roman" w:cs="Times New Roman" w:eastAsia="Times New Roman" w:hAnsi="Times New Roman"/>
          <w:sz w:val="18"/>
          <w:szCs w:val="18"/>
          <w:color w:val="auto"/>
        </w:rPr>
        <w:t>Our ability to increase revenue depends in large part on our ability to retain our existing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increase the size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 in Growth. </w:t>
      </w:r>
      <w:r>
        <w:rPr>
          <w:rFonts w:ascii="Times New Roman" w:cs="Times New Roman" w:eastAsia="Times New Roman" w:hAnsi="Times New Roman"/>
          <w:sz w:val="18"/>
          <w:szCs w:val="18"/>
          <w:color w:val="auto"/>
        </w:rPr>
        <w:t>We believe that our market opportunity is large and requires us to continue to invest significantly in sales and marketing efforts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July 19 Incident</w:t>
      </w:r>
      <w:r>
        <w:rPr>
          <w:rFonts w:ascii="Times New Roman" w:cs="Times New Roman" w:eastAsia="Times New Roman" w:hAnsi="Times New Roman"/>
          <w:sz w:val="18"/>
          <w:szCs w:val="18"/>
          <w:color w:val="auto"/>
        </w:rPr>
        <w:t>. On July 19, 2024, we released a content configuration update for our Falcon sensor that resulted in system crashes for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Windows systems (the “July 19 Incident”). As a result of the July 19 Incident, we are subject to lawsuits, claims and inquiries as described in Note 9, “Commitments and Contingencies,” to our condensed consolidated financial statements in Part I, Item 1 of this Quarterly Report on Form 10-Q. 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maintained high dollar-based gross retention rates following the incident, we have experienced delays in creating sales opportunities and longer sales cycles, including delays in customer purchasing decisions. We expect sales cycles to continue to be elongated in future periods. In addition, because our customers typically sign contracts with terms of twelve months or longer, customer churn and any corresponding impact to our key metrics and revenue may occur in future periods. Customer commitment packages introduced following the July 19 Incident have included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ARR as of the dates presented (dollars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7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April 30,</w:t>
            </w:r>
          </w:p>
        </w:tc>
        <w:tc>
          <w:tcPr>
            <w:tcW w:w="1060" w:type="dxa"/>
            <w:vAlign w:val="bottom"/>
            <w:tcBorders>
              <w:bottom w:val="single" w:sz="8" w:color="auto"/>
            </w:tcBorders>
          </w:tcPr>
          <w:p>
            <w:pPr>
              <w:spacing w:after="0"/>
              <w:rPr>
                <w:sz w:val="22"/>
                <w:szCs w:val="22"/>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4,435,596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3,646,881</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287"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ARR grew to $4.4 billion as of April 30, 2025, of which $193.8 million was net new ARR added for the three months ended April 30, 2025. ARR grew to $3.6 billion as of April 30, 2024, of which $211.7 million was net new ARR added for the three months ended April 30,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9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dollar-based net retention rate was in line with our expectations as of April 30, 2025. Our dollar-based net retention rate can fluctuate from period to period due to large customer contracts in a given period and incentives provided, which may reduce our dollar-based net retention rate in subsequent periods. In addition, if our customers are not able to fully utilize their product subscriptions (including in connection with our flexible subscription offering), we may experience increased contraction as such customers may elect to renew with shorter subscription periods, fewer cloud modules, fewer endpoints or smaller contract values, which may reduce our dollar-based net retention rate.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Subscription revenue primarily consists of subscription fees for our Falcon platform and additional cloud modules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We generally invoice our subscription customers at the beginning of the subscription term, or in some instances, such as in multi-year arrangements, in installments. Consequently, a substantial portion of the revenue that we report in each period is attributable to the recognition of deferred revenue relating to subscriptions that we entered into during previous periods.</w:t>
      </w:r>
    </w:p>
    <w:p>
      <w:pPr>
        <w:spacing w:after="0" w:line="182" w:lineRule="exact"/>
        <w:rPr>
          <w:sz w:val="20"/>
          <w:szCs w:val="20"/>
          <w:color w:val="auto"/>
        </w:rPr>
      </w:pPr>
    </w:p>
    <w:p>
      <w:pPr>
        <w:ind w:right="2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includes incident response and proactive services, forensic and malware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attribution analysis, operationalizing the Falcon Platform, residency program, and active defense services.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Subscription Cost of Revenue. </w:t>
      </w:r>
      <w:r>
        <w:rPr>
          <w:rFonts w:ascii="Times New Roman" w:cs="Times New Roman" w:eastAsia="Times New Roman" w:hAnsi="Times New Roman"/>
          <w:sz w:val="18"/>
          <w:szCs w:val="18"/>
          <w:color w:val="auto"/>
        </w:rPr>
        <w:t>Subscription cost of revenue consists primarily of costs related to hosting our cloud-based Falcon platform in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7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Cost of Revenue. </w:t>
      </w:r>
      <w:r>
        <w:rPr>
          <w:rFonts w:ascii="Times New Roman" w:cs="Times New Roman" w:eastAsia="Times New Roman" w:hAnsi="Times New Roman"/>
          <w:sz w:val="18"/>
          <w:szCs w:val="18"/>
          <w:color w:val="auto"/>
        </w:rPr>
        <w:t>Professional services cost of revenue consists primarily of employee-related costs, such as salaries and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consulting expense, and an allocated portion of facilities and administrative costs.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other administrative functions.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employee-related expenses such as salaries, commissions, and bonuses.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expenses also include stock-based compensation; expenses related to our marketing programs; and an allocated portion of facilities and administrative expenses. Sales and marketing expenses also include the amortization of deferred contract acquisition costs, which includes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8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spacing w:after="0" w:line="17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primarily consist of employee-related expenses such as 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8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spacing w:after="0" w:line="178"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of employee-related expenses such as salaries and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dollar amount over time. We expect to incur significant legal and professional services and other expenses associated with the July 19 Incident and related matters in future periods. General and administrative expenses may fluctuate as a percentage of our total revenue from period to period depending on the timing of these expenses.</w:t>
      </w:r>
    </w:p>
    <w:p>
      <w:pPr>
        <w:spacing w:after="0" w:line="174"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amortization of debt issuance costs, contractual interest expense for our Senior Notes issued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and amortization of debt issuance costs on our secured Revolving Facility.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income earned on our cash and cash equivalents.</w:t>
      </w:r>
    </w:p>
    <w:p>
      <w:pPr>
        <w:spacing w:after="0" w:line="225"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gains and losses on strategic investments and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gains and losses.</w:t>
      </w:r>
    </w:p>
    <w:p>
      <w:pPr>
        <w:spacing w:after="0" w:line="15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of state income taxes in the United States, foreign income taxes, and withholding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w:t>
      </w:r>
    </w:p>
    <w:p>
      <w:pPr>
        <w:spacing w:after="0" w:line="180"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w:t>
      </w:r>
      <w:r>
        <w:rPr>
          <w:rFonts w:ascii="Times New Roman" w:cs="Times New Roman" w:eastAsia="Times New Roman" w:hAnsi="Times New Roman"/>
          <w:sz w:val="18"/>
          <w:szCs w:val="18"/>
          <w:color w:val="auto"/>
        </w:rPr>
        <w:t>. Net income (loss) attributable to non-controlling interest consists of the Falcon Funds’ non-controlling interest share of gains and losses and interest income from our strategic investments.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statements of operations for each period presented (in thousands, except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1,050,768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872,172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178,596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1,103,434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921,036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182,398</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289,143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64,140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814,291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89,503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938,947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689,097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249,850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(131,592)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(11,552)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(143,818)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(157,257)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(4,230)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CrowdStrike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42,820</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(153,027)</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components of our condensed consolidated statements of operations as a percentage of total revenue for the periods presented:</w:t>
      </w:r>
    </w:p>
    <w:p>
      <w:pPr>
        <w:spacing w:after="0" w:line="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3"/>
        </w:trPr>
        <w:tc>
          <w:tcPr>
            <w:tcW w:w="7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Pr>
          <w:p>
            <w:pPr>
              <w:spacing w:after="0"/>
              <w:rPr>
                <w:sz w:val="19"/>
                <w:szCs w:val="19"/>
                <w:color w:val="auto"/>
              </w:rPr>
            </w:pPr>
          </w:p>
        </w:tc>
      </w:tr>
      <w:tr>
        <w:trPr>
          <w:trHeight w:val="231"/>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95 %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8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8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100 %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22 %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8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8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26 %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74 %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30 %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8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85 %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April 30,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three months ended April 30, 2025 as compared to the three months ended April 30, 2024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178,596</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by $182.4 million, or 20%, for the three months ended April 30, 2025 compared to the three months ended April 30, 2024. Subscription revenue accounted for 95% total revenue for both the three months ended April 30, 2025 and April 30, 2024. Professional services revenue accounted for 5% of our total revenue for both the three months ended April 30, 2025 and April 30, 2024.</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Subscription revenue increased by $178.6 million, or 20%, for the three months ended April 30, 2025 compared to the three months ended April 30, 2024, which was primarily driven by a combination of the addition of new customers and the sale of additional sensors and modules to existing customers.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$3.8 million, or 8%, for the three months ended April 30, 2025, compared to the three months ended April 30, 2024, which was primarily attributable to an increase in the number of professional service hours.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three months ended April 30, 2025 as compared to the three months ended April 30, 2024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20" w:firstLine="324"/>
        <w:spacing w:after="0" w:line="230" w:lineRule="auto"/>
        <w:rPr>
          <w:sz w:val="20"/>
          <w:szCs w:val="20"/>
          <w:color w:val="auto"/>
        </w:rPr>
      </w:pPr>
      <w:r>
        <w:rPr>
          <w:rFonts w:ascii="Times New Roman" w:cs="Times New Roman" w:eastAsia="Times New Roman" w:hAnsi="Times New Roman"/>
          <w:sz w:val="18"/>
          <w:szCs w:val="18"/>
          <w:color w:val="auto"/>
        </w:rPr>
        <w:t>Total cost of revenue increased by $64.1 million, or 29%, for the three months ended April 30, 2025 compared to the three months ended April 30, 2024. Subscription cost of revenue increased by $52.7 million, or 28%, for the three months ended April 30, 2025, compared to the three months ended April 30, 2024. The increase in subscription cost of revenue was primarily due to an increase in employee-related expenses of $14.8 million driven by a 28% increase in average headcount, an increase in cloud hosting and related services costs of $10.3 million, an increase in stock-based compensation expense of $10.2 million, an increase in depreciation of data center equipment of $8.0 million, an increase in allocated overhead costs of $4.7 million, and an increase in amortization of internal-use software of $4.7 million.</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cost of revenue increased by $11.4 million, or 32%, for the three months ended April 30, 2025, compared to the three months ended April 30, 2024. The increase in professional services cost of revenue was primarily due to an increase in employee-related expenses of $6.3 million driven by a 24% increase in average headcount, an increase in stock-based compensation expense of $3.4 million, and an increase in allocated overhead costs of $1.0 million.</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three months ended April 30, 2025 as compared to the three months ended April 30, 2024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808,394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682,515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13,518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7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814,291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696,033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118,258</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3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Subscription gross margin slightly decreased by 1 percentage point for the three months ended April 30, 2025, compared to the three months ended April 30, 2024. The decrease in subscription gross margin was primarily due to an increase in stock-based compensation expense during the three months ended April 30, 2025.</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decreased by 17 percentage points for the three months ended April 30, 2025, compared to the three months ended April 30, 2024. The decrease in professional services gross margin was primarily due to an increase in consulting expense during the three months ended April 30,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sales and marketing expenses for the three months ended April 30, 2025 as compared to the three months ended April 30, 2024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$89.5 million, or 26%, for the three months ended April 30, 2025 compared to the three months ended April 30, 2024. The increase in sales and marketing expenses was primarily due to an increase in employee-related expenses of $48.0 million driven by a 21% increase in average headcount, an increase in stock-based compensation expense of $12.9 million, an increase in marketing programs of $6.9 million, an increase in allocated overhead costs of $6.8 million, an increase in travel expenses of $5.9 million, an increase in employee benefits of $4.8 million, and an increase in term-based software licenses of $2.1 million, partially offset by a decrease in company events expenses of $3.1 million.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research and development expenses for the three months ended April 30, 2025 as compared to the three months ended April 30, 2024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265" w:lineRule="exact"/>
        <w:rPr>
          <w:sz w:val="20"/>
          <w:szCs w:val="20"/>
          <w:color w:val="auto"/>
        </w:rPr>
      </w:pPr>
    </w:p>
    <w:p>
      <w:pPr>
        <w:ind w:right="160" w:firstLine="324"/>
        <w:spacing w:after="0" w:line="233" w:lineRule="auto"/>
        <w:rPr>
          <w:sz w:val="20"/>
          <w:szCs w:val="20"/>
          <w:color w:val="auto"/>
        </w:rPr>
      </w:pPr>
      <w:r>
        <w:rPr>
          <w:rFonts w:ascii="Times New Roman" w:cs="Times New Roman" w:eastAsia="Times New Roman" w:hAnsi="Times New Roman"/>
          <w:sz w:val="18"/>
          <w:szCs w:val="18"/>
          <w:color w:val="auto"/>
        </w:rPr>
        <w:t>Research and development expenses increased by $98.9 million, or 42%, for the three months ended April 30, 2025 compared to the three months ended April 30, 2024. This increase was primarily due to an increase in stock-based compensation expense of $40.5 million, an increase in employee-related expenses of $36.7 million driven by a 28% increase in average headcount, an increase in cloud hosting and related costs of $14.5 million, an increase in allocated overhead costs of $7.6 million, an increase in employee benefits of $4.4 million, and an increase in term-based software licenses of $1.4 million, partially offset by an increase in software capitalization of $7.6 million, a decrease in other labor expenses of $6.2 million, and a decrease in depreciation of data center equipment of $1.1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general and administrative expenses for the three months ended April 30, 2025 as compared to the three months ended April 30, 2024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$61.5 million, or 59%, for the three months ended April 30, 2025 compared to the three months ended April 30, 2024. The increase in general and administrative expenses was primarily due to $38.7 million of expenses associated with the July 19 Incident and related matters, an increase in strategic plan related charges of $6.6 million, an increase in employee-related expenses of $5.4 million driven by a 26% increase in average headcount, an increase in stock-based compensation expense of $3.5 million, an increase in allocated overhead costs of $1.7 million, an increase in legal expense of $1.4 million unrelated to the July 19 Incident or related matters, an increase in term-based software licenses of $1.2 million, and an increase in travel expenses of $1.2 million, partially offset by a decrease in consulting expense of $1.8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(Expense), Net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income (expense), net for the three months ended April 30, 2025 as compared to the three months ended April 30, 2024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4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45,380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accretion of debt discount for our Senior Notes issued in January 2021, and amortization of debt issuance costs on our Revolving Facility.</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income for the three months ended April 30, 2025 compared to the three months ended April 30, 2024 was driven by lower market rates partially offset by a higher cash balance.</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for the three months ended April 30, 2025 compared to the three months ended April 30, 2024 was primarily due to a decrease in gains on our strategic investments of $6.9 million, downward adjustments and impairment of $1.6 million of our strategic investments, and an increase in net foreign currency transaction losses of $2.6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provision for income taxes for the three months ended April 30, 2025 as compared to the three months ended April 30, 2024 (in thousands, except percentage):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21,106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bl>
    <w:p>
      <w:pPr>
        <w:spacing w:after="0" w:line="279"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The increase in provision for income taxes of $13.4 million during the three months ended April 30, 2025 compared to the three months ended April 30, 2024 was primarily attributable to an increase in U.S. taxable income, foreign pre-tax earnings, and withholding taxes related to customer payments in certain foreign jurisdictions in which the Company conducts business.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as of April 30, 2025, consisted of: (i) $4.6 billion in cash and cash equivalents, which mainly consists of cash on hand and highly liquid investments in money market funds and U.S. Treasury bills, (ii) cash we expect to generate from operations, and (iii) available capacity under our $750.0 million Revolving Facility. It is not currently possible to reasonably estimate the amount of loss or range of possible loss that might result from adverse judgments, settlements, penalties, or other resolution of proceedings resulting from the July 19 Incident or related matters. However, despite such uncertainties, we expect that the combination of our existing cash and cash equivalents, cash flows from operations, and the Revolving Facility will be sufficient to meet our anticipated cash needs for working capital and capital expenditures for at least the next 12 months. Our Revolving Facility matures on January 2, 2026.</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short-term and long-term liquidity requirements primarily arise from: (i) business acquisitions and investments we may make from time to time,</w:t>
      </w:r>
    </w:p>
    <w:p>
      <w:pPr>
        <w:spacing w:after="0" w:line="27" w:lineRule="exact"/>
        <w:rPr>
          <w:sz w:val="20"/>
          <w:szCs w:val="20"/>
          <w:color w:val="auto"/>
        </w:rPr>
      </w:pPr>
    </w:p>
    <w:p>
      <w:pPr>
        <w:ind w:right="60" w:firstLine="8"/>
        <w:spacing w:after="0" w:line="253"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generated operating losses, as reflected in our accumulated deficit of $1.2 billion as of April 30, 2025. We expect to continue to make investments, particularly in sales and marketing and research and development. As a result, we may require additional capital resources in the future to execute strategic initiatives to grow our business.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generally invoice our subscription customers at the beginning of the subscription term, or in some instances, such as in multi-year arrangements, in installments.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April 30, 2025, we had deferred revenue of $3.8 billion, of which $2.7 billion was recorded as a current liability and is expected to be recorded as revenue in the next 12 months, provided all other revenue recognition criteria have been met.</w:t>
      </w:r>
    </w:p>
    <w:p>
      <w:pPr>
        <w:spacing w:after="0" w:line="18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23"/>
        </w:trPr>
        <w:tc>
          <w:tcPr>
            <w:tcW w:w="7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383,228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(51,098)</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327,695</w:t>
            </w:r>
          </w:p>
        </w:tc>
      </w:tr>
    </w:tbl>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during the three months ended April 30, 2025 was $384.1 million, which resulted from net loss of $111.0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adjusted for non-cash charges of $425.7 million and net cash inflow of $69.4 million from changes in operating assets and liabilities.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primarily consisted of $253.6 million in stock-based compensation expense, $102.9 million of amortization of deferred contract acquisition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$56.4 million of depreciation and amortization, $7.6 million of amortization of intangibles assets, $4.2 million of non-cash operating lease costs,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change in fair value of strategic investments, and $1.1 million of non-cash interest expense, partially offset by $1.7 million of deferred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The net cash inflow from changes in operating assets and liabilities was primarily due to a $319.9 million decrease in accounts receivable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$42.7 million increase in deferred revenue, partially offset by a $102.8 million increase in deferred contract acquisition costs, a $83.2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 $43.8 million decrease in accrued expenses and other liabilities, a $37.8 million decrease in accrued payroll and benefits, a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increase in prepaid expenses and other assets, and a $4.6 million decrease in operating lease liabilities.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$101.8 million during the three months ended April 30, 2025 was primarily due to purchases of property and equipment of $85.8 million, capitalized internal-use software and website development costs of $17.4 million, purchases of deferred compensation investments of $1.5 million, and purchases of strategic investments of $0.4 million, partially offset by proceeds from sales of strategic investments of $3.1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$2.1 million during the three months ended April 30, 2025 was primarily due to capital contributions from non-controlling interest holders of $1.5 million, and proceeds from the exercise of stock options of $0.6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Senior Notes are guaranteed on a senior, unsecured basis by CrowdStrike, Inc. and CrowdStrike Financial Services, Inc., wholly owned subsidiaries of CrowdStrike Holdings, Inc. (the “subsidiary guarantors,” and together with CrowdStrike Holdings, Inc., the “Obligor Group”). The guarantee is full and unconditional and is subject to certain conditions for release. See Note 5, “Debt,” to our condensed consolidated financial statements in Part I, Item 1 of this Quarterly Report on Form 10-Q, for a brief description of the Senior Notes.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conduct our operations almost entirely through our subsidiaries. Accordingly, the Obligor Group’s cash flows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80" w:type="dxa"/>
            <w:vAlign w:val="bottom"/>
          </w:tcPr>
          <w:p>
            <w:pPr>
              <w:spacing w:after="0"/>
              <w:rPr>
                <w:sz w:val="17"/>
                <w:szCs w:val="17"/>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914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1,101,969</w:t>
            </w:r>
          </w:p>
        </w:tc>
        <w:tc>
          <w:tcPr>
            <w:tcW w:w="0" w:type="dxa"/>
            <w:vAlign w:val="bottom"/>
          </w:tcPr>
          <w:p>
            <w:pPr>
              <w:spacing w:after="0"/>
              <w:rPr>
                <w:sz w:val="1"/>
                <w:szCs w:val="1"/>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307,672</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945,022</w:t>
            </w:r>
          </w:p>
        </w:tc>
        <w:tc>
          <w:tcPr>
            <w:tcW w:w="0" w:type="dxa"/>
            <w:vAlign w:val="bottom"/>
          </w:tcPr>
          <w:p>
            <w:pPr>
              <w:spacing w:after="0"/>
              <w:rPr>
                <w:sz w:val="1"/>
                <w:szCs w:val="1"/>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(150,724)</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(132,029)</w:t>
            </w:r>
          </w:p>
        </w:tc>
        <w:tc>
          <w:tcPr>
            <w:tcW w:w="0" w:type="dxa"/>
            <w:vAlign w:val="bottom"/>
          </w:tcPr>
          <w:p>
            <w:pPr>
              <w:spacing w:after="0"/>
              <w:rPr>
                <w:sz w:val="1"/>
                <w:szCs w:val="1"/>
                <w:color w:val="auto"/>
              </w:rPr>
            </w:pP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CrowdStrike</w:t>
            </w: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(132,029)</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7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2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(excluding current intercompany receivables from non-Guarantors)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5,940,160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5,922,562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receivables from non-Guarantors</w:t>
            </w:r>
          </w:p>
        </w:tc>
        <w:tc>
          <w:tcPr>
            <w:tcW w:w="24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49,417</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(excluding noncurrent intercompany receivables from non-Guarantors)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2,376,418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2,316,545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receivables from non-Guarantors</w:t>
            </w:r>
          </w:p>
        </w:tc>
        <w:tc>
          <w:tcPr>
            <w:tcW w:w="24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618,128</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613,732</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(excluding current intercompany payables to non-Guarantors)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3,163,419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3,331,647</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payables to non-Guarantors</w:t>
            </w:r>
          </w:p>
        </w:tc>
        <w:tc>
          <w:tcPr>
            <w:tcW w:w="24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52,211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 (excluding noncurrent intercompany payables to non-Guarantors)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1,923,529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1,897,235</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payables to non-Guarantors</w:t>
            </w:r>
          </w:p>
        </w:tc>
        <w:tc>
          <w:tcPr>
            <w:tcW w:w="2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238,065</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234,643</w:t>
            </w:r>
          </w:p>
        </w:tc>
      </w:tr>
      <w:tr>
        <w:trPr>
          <w:trHeight w:val="886"/>
        </w:trPr>
        <w:tc>
          <w:tcPr>
            <w:tcW w:w="74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7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9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2025, there were no significant changes to our debt obligations related to the Senior Notes or our contractual obligations under our non-cancelable real estate arrangements, as presented in Part II, Item 7, Management’s Discussion and Analysis of Financial Condition and Results of Operations included in our Annual Report on Form 10-K for the fiscal year ended January 31, 2025.</w:t>
      </w:r>
    </w:p>
    <w:p>
      <w:pPr>
        <w:spacing w:after="0" w:line="17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We have non-cancellable purchase commitments with various parties to purchase products and services entered in the normal course of business totaling $2.7 billion as of April 30, 2025, with remaining terms in excess of 12 months. We expect to fund these obligations with cash flows from operations and cash on our balance sheet.</w:t>
      </w:r>
    </w:p>
    <w:p>
      <w:pPr>
        <w:spacing w:after="0" w:line="17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As of April 30, 2025, our unrecognized tax benefits included $53.2 million, which were classified as long-term liabilities due to the inherent uncertainty with respect to the timing of future cash outflows associated with our unrecognized tax benefits.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30, 2025, we had non-cancellable unfunded commitments from our financing arrangements totaling approximately $24.6 million.</w:t>
      </w: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were prepared in accordance with U.S GAAP. The preparation of the condensed consolidated financial statements requires our management to make estimates and assumptions that affect the amounts reported in the condensed consolidated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April 30, 2025, as compared to the critical accounting policies and estimates disclosed in Management’s Discussion and Analysis of Financial Condition and Results of Operations included in our Annual Report on Form 10-K for the year ended January 31, 2025, filed with the SEC on March 10, 2025.</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enter into both single and multi-year subscription contracts for our solutions. We generally invoice our subscription customers at the beginning of the subscription term, or in some instances, such as in multi-year arrangements, in installments. Until we have the contractual right to invoice, these contract amounts are classified as backlog. They are not recorded in deferred revenue or elsewhere in our condensed consolidated financial statements. As of April 30, 2025, we had backlog of approximately $3.0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April 30, 2025, we had 10,363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pacing w:after="0" w:line="1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Significant Accounting Policies,” to our condensed consolidated financial statements in Part I, Item 1 of this Quarterly Report on Form 10-Q, for more information about the impact of certain recent accounting pronouncements on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during the three months ended April 30, 2025 compared to our disclosures in Part II, Item 7A of our Annual Report on Form 10-K for the fiscal year ended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our disclosure controls and procedures as of April 30, 2025. Based on such evaluation of our disclosure controls and procedures as of April 30, 2025, our Chief Executive Officer and Chief Financial Officer concluded that, as of such date, our disclosure controls and procedures were effective at the reasonable assurance level.</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9, “Commitments and Contingencies,” to our condensed consolidated financial statements in Part I, Item 1 of this Quarterly Report on Form 10-Q.</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any claims for which we believe a liability is both probable and reasonably estimable, we record a liability in the period in which we make this determination. Other than as disclosed in Note 9, there is no pending or threatened legal proceeding to which we are a party that, in our opinion, is likely to have a material adverse effect on our business and our condensed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or “common stock,” could decline, and you could lose all or part of your investment.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July 19 Incident has had, and is expected to continue to have, an adverse effect on our business, sales, customer and partner relations, reputation, results of operations and financial condition.</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July 19, 2024, we released a content configuration update for our Falcon sensor that resulted in system crashes for certain Windows systems (the “July 19 Incident”). We have incurred, and expect to continue to incur, significant costs and expenses related to the incident, including in connection with remediation efforts, customer and partner relations, measures taken to address the damage to our reputation, and other measures taken in response to the incident. Our management and other personnel have devoted, and may continue to devote, significant time and resources to address the impacts of the July 19 Incident. We also have hired, and in the future may hire, additional personnel to assist with our ongoing efforts. Any real or perceived failure, by us or the third-party service providers we engage, to remediate and respond to the July 19 Incident could adversely impact our business.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July 19 Incident has harmed, and is expected to continue to harm, our business, sales, customer and partner relations, and our reputation. As a result of the incident, certain of our existing or prospective customers have elected to, and may in the future elect to, defer purchasing decisions relating to our products and services or not purchase our products and services at all. Customers have also decided, and may in the future decide, to terminate or not renew their agreements with us.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incident, and may continue to do so. Furthermore, we have agreed to, and expect to agree to in the future, provide incentives in connection with our commercial arrangements with our customers, including subscription period extensions, discounts or promotional modules. The July 19 Incident has received negative media coverage and harmed our reputation and brand. If we are unable to regain the trust of our current and prospective customers and partners, or if negative media coverage and publicity continues, our reputation and brand may suffer further, exacerbating the effects discussed herein. These factors may result in harm to our business, results of operations and financial condition.</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party to a number of legal proceedings relating to the July 19 Incident, such as lawsuits filed by or on behalf of third parties, including securities litigation brought on behalf of certain purchasers of our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rapid revenue growth in recent periods and we expect to continue to invest broadly across our organization to support our growth.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83" w:lineRule="exact"/>
        <w:rPr>
          <w:sz w:val="20"/>
          <w:szCs w:val="20"/>
          <w:color w:val="auto"/>
        </w:rPr>
      </w:pPr>
    </w:p>
    <w:p>
      <w:pPr>
        <w:ind w:left="1140" w:hanging="322"/>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attract, integrate, and retain a large number of new employees, particularly members of our sales and marketing and research and development teams;</w:t>
      </w:r>
    </w:p>
    <w:p>
      <w:pPr>
        <w:spacing w:after="0" w:line="161"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our Falcon platform, including our cloud modules, and IT infrastructure, including expanding and optimizing our data centers, to support our business needs;</w:t>
      </w:r>
    </w:p>
    <w:p>
      <w:pPr>
        <w:spacing w:after="0" w:line="161" w:lineRule="exact"/>
        <w:rPr>
          <w:rFonts w:ascii="Times New Roman" w:cs="Times New Roman" w:eastAsia="Times New Roman" w:hAnsi="Times New Roman"/>
          <w:sz w:val="18"/>
          <w:szCs w:val="18"/>
          <w:color w:val="auto"/>
        </w:rPr>
      </w:pPr>
    </w:p>
    <w:p>
      <w:pPr>
        <w:ind w:left="1140" w:right="180" w:hanging="322"/>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financial, management, and compliance systems and controls.</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while we have achieved profitability in certain periods, we may not be able to achieve or sustain profitability in the future.</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incurred net losses each year prior to fiscal 2024, and we may not achieve or maintain profitability in the future. We experienced net losses of $19.3 million and $183.2 million for fiscal 2025 and 2023, respectively, and net income of $89.3 million for fiscal 2024. As of April 30, 2025, we had an accumulated deficit of $1.2 billion. While we have experienced significant growth in revenue in recent periods, and have achieved profitability during certain periods, including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Additionally, on May 6, 2025, we announced a strategic plan (the “Plan”) to evolve our operations to yield greater efficiencies as we continue to scale our business with focus and discipline to meet our goals. We cannot assure you that the Plan or the above-mentioned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You should consider our business and prospects in light of the risks and difficulties we encounter in this new and evolving market.</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those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results of operations could be harmed.</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or changes and uncertainty regarding trade policies or tariffs,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to three years,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cloud modules, they may decline to purchase additional cloud modules or choose not to consolidate onto our Falcon platform. Our customer retention, renewals and expansion may decline or fluctuate as a result of a number of factors, including our customers’ satisfaction with our products and services, our customers’ ability to fully utilize their product subscriptions,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including the impact of our customer commitment packages, and general economic and geopolitical conditions. Any such impacts on customer renewals may result from a variety of different factors, including customers electing to renew with shorter subscription periods, fewer cloud modules, fewer endpoints or smaller contract values. If our efforts to maintain and expand our relationships with our existing customers are not successful, our business, results of operations, and financial condition may materially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or geopolitical conditions, including in connection with changes in trade policies and tariffs,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expect to continue to experience, longer sales cycles in connection with the July 19 Incident. We may also experience longer sales cycles as customers seek to consolidate on our Falcon platform and negotiate larger deals, including in connection with our flexible subscription offering.</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87" w:lineRule="exact"/>
        <w:rPr>
          <w:sz w:val="20"/>
          <w:szCs w:val="20"/>
          <w:color w:val="auto"/>
        </w:rPr>
      </w:pPr>
    </w:p>
    <w:p>
      <w:pPr>
        <w:ind w:left="1140" w:right="360" w:hanging="322"/>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capabilities, including performance and reliability, of our Falcon platform, including our cloud modules, services, and features compared to those of our competitors;</w:t>
      </w:r>
    </w:p>
    <w:p>
      <w:pPr>
        <w:spacing w:after="0" w:line="161" w:lineRule="exact"/>
        <w:rPr>
          <w:rFonts w:ascii="Times New Roman" w:cs="Times New Roman" w:eastAsia="Times New Roman" w:hAnsi="Times New Roman"/>
          <w:sz w:val="18"/>
          <w:szCs w:val="18"/>
          <w:color w:val="auto"/>
        </w:rPr>
      </w:pPr>
    </w:p>
    <w:p>
      <w:pPr>
        <w:ind w:left="1140" w:right="500" w:hanging="322"/>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improve existing products, services, and features, or to develop new ones to address evolving customer needs;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channel partners and direct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reputation and brand, including the impact to our reputation and brand as a result of the July 19 Incident;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2900" w:firstLine="478"/>
        <w:spacing w:after="0" w:line="500" w:lineRule="auto"/>
        <w:tabs>
          <w:tab w:leader="none" w:pos="11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 Our competitors include the following by general category:</w:t>
      </w:r>
    </w:p>
    <w:p>
      <w:pPr>
        <w:spacing w:after="0" w:line="1"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antivirus product providers who offer a broad range of approaches and solutions including traditional signature-based anti-virus protection;</w:t>
      </w:r>
    </w:p>
    <w:p>
      <w:pPr>
        <w:spacing w:after="0" w:line="161" w:lineRule="exact"/>
        <w:rPr>
          <w:rFonts w:ascii="Times New Roman" w:cs="Times New Roman" w:eastAsia="Times New Roman" w:hAnsi="Times New Roman"/>
          <w:sz w:val="18"/>
          <w:szCs w:val="18"/>
          <w:color w:val="auto"/>
        </w:rPr>
      </w:pPr>
    </w:p>
    <w:p>
      <w:pPr>
        <w:ind w:left="1140" w:right="24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endpoint security providers who generally offer a mix of on-premise and cloud-hosted products that rely heavily on malware-only or application whitelisting techniques;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vendors who are supplementing their core perimeter-based offerings with endpoint or cloud security solutions;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 vendors, including those who focus on public cloud infrastructure and services;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security vendors that seek to identify and secure user accounts and related activities;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providers who offer cybersecurity response services;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SIEM vendors who offer a range of log management and security capabilities.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 may reduce our gross profits and adversely affect our financial results.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In addition, we identified a transport layer security issue that impacted certain Falcon Linux sensors, which led us to release a security fix and publish a security advisory to remediate the matter in February 2025.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9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88"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cybersecurity provider, we have been, and expect to continue to be, a target of cyberattacks. If our or our service providers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internal networks, systems, or data are or are perceived to have been compromised, our reputation may be damaged and our financial results may be negatively affected.</w:t>
      </w:r>
    </w:p>
    <w:p>
      <w:pPr>
        <w:spacing w:after="0" w:line="136" w:lineRule="exact"/>
        <w:rPr>
          <w:sz w:val="20"/>
          <w:szCs w:val="20"/>
          <w:color w:val="auto"/>
        </w:rPr>
      </w:pPr>
    </w:p>
    <w:p>
      <w:pPr>
        <w:jc w:val="both"/>
        <w:ind w:right="340" w:firstLine="324"/>
        <w:spacing w:after="0" w:line="258" w:lineRule="auto"/>
        <w:rPr>
          <w:sz w:val="20"/>
          <w:szCs w:val="20"/>
          <w:color w:val="auto"/>
        </w:rPr>
      </w:pPr>
      <w:r>
        <w:rPr>
          <w:rFonts w:ascii="Times New Roman" w:cs="Times New Roman" w:eastAsia="Times New Roman" w:hAnsi="Times New Roman"/>
          <w:sz w:val="18"/>
          <w:szCs w:val="18"/>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90"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6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many of which are beyond our control, can affect the delivery, availability, and the performance of our Falcon platform:</w:t>
      </w:r>
    </w:p>
    <w:p>
      <w:pPr>
        <w:spacing w:after="0" w:line="225" w:lineRule="exact"/>
        <w:rPr>
          <w:sz w:val="20"/>
          <w:szCs w:val="20"/>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the infrastructure of the internet;</w:t>
      </w:r>
    </w:p>
    <w:p>
      <w:pPr>
        <w:spacing w:after="0" w:line="225" w:lineRule="exact"/>
        <w:rPr>
          <w:rFonts w:ascii="Times New Roman" w:cs="Times New Roman" w:eastAsia="Times New Roman" w:hAnsi="Times New Roman"/>
          <w:sz w:val="18"/>
          <w:szCs w:val="18"/>
          <w:color w:val="auto"/>
        </w:rPr>
      </w:pPr>
    </w:p>
    <w:p>
      <w:pPr>
        <w:ind w:left="1140" w:right="44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66"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75" w:lineRule="exact"/>
        <w:rPr>
          <w:rFonts w:ascii="Times New Roman" w:cs="Times New Roman" w:eastAsia="Times New Roman" w:hAnsi="Times New Roman"/>
          <w:sz w:val="18"/>
          <w:szCs w:val="18"/>
          <w:color w:val="auto"/>
        </w:rPr>
      </w:pPr>
    </w:p>
    <w:p>
      <w:pPr>
        <w:ind w:left="1140" w:right="72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acts of war or terrorism, human error or interference (including by disgruntled employees, former employees or contractors) and other catastrophic events;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including denial of service attacks, targeted at us, our data centers, or the infrastructure of the internet;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and update our cloud infrastructure to meet our data capacity requirements;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performance problems in our software, including third-party software incorporated in our software;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deployment or configuration of our solutions;</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redundancy systems, in the event of a service disruption at one of our data centers, to provide failover to other data centers in our data center network;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disaster recovery and business continuity arrangements.</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key technical, sales and management personnel to grow our business, and the loss of one or more key employees could harm our business.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our business could be harmed.</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83"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In addition, the Plan could negatively affect our ability to recruit and retain skilled personnel. Any failure to successfully attract, integrate or retain qualified personnel to fulfill our current or future needs could adversely affect our business, results of operations and financial condition.</w:t>
      </w:r>
    </w:p>
    <w:p>
      <w:pPr>
        <w:spacing w:after="0" w:line="1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generally recognize revenue from customers ratably over the terms of their subscription, which is generally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In addition, subscription commencement dates may be impacted by a number of factors, some of which we may exercise varying degrees of control over, including terms negotiated with our customers and our internal review, approval and provisioning processes. As a result, the impact of new subscriptions may not be immediately reflected in our results of operations. Moreover,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76" w:lineRule="exact"/>
        <w:rPr>
          <w:sz w:val="20"/>
          <w:szCs w:val="20"/>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seasonal buying patterns, and purchasing practices of customers;</w:t>
      </w:r>
    </w:p>
    <w:p>
      <w:pPr>
        <w:spacing w:after="0" w:line="225" w:lineRule="exact"/>
        <w:rPr>
          <w:rFonts w:ascii="Times New Roman" w:cs="Times New Roman" w:eastAsia="Times New Roman" w:hAnsi="Times New Roman"/>
          <w:sz w:val="18"/>
          <w:szCs w:val="18"/>
          <w:color w:val="auto"/>
        </w:rPr>
      </w:pPr>
    </w:p>
    <w:p>
      <w:pPr>
        <w:ind w:left="1140" w:right="26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difficulties confronting our customers, which may impact the number of modules or endpoint deployments they are willing or able to purchase;</w:t>
      </w:r>
    </w:p>
    <w:p>
      <w:pPr>
        <w:spacing w:after="0" w:line="161" w:lineRule="exact"/>
        <w:rPr>
          <w:rFonts w:ascii="Times New Roman" w:cs="Times New Roman" w:eastAsia="Times New Roman" w:hAnsi="Times New Roman"/>
          <w:sz w:val="18"/>
          <w:szCs w:val="18"/>
          <w:color w:val="auto"/>
        </w:rPr>
      </w:pPr>
    </w:p>
    <w:p>
      <w:pPr>
        <w:ind w:left="1140" w:right="70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 including in connection with our customer and end-user financing arrangements;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length of our sales cycles;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or channel partner requirements or market needs;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relationship with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cloud-based SaaS-delivered endpoint security solutions market;</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competitive developments, including consolidation among our customers or competitors;</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organizations to purchase security solutions from larger, more established security vendors or from their primary IT equipment vendors;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awareness of cybersecurity threats, particularly advanced cyberattacks, and the market adoption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use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the July 19 Incident;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or publicity;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1140" w:right="70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(including new hires), tightening of labor markets and capital expenditures related to the expansion of our business;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regulatory or other dispute-related settlement payments or outcomes;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or practices;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valuation allowances for our deferred tax assets;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140" w:right="160" w:hanging="322"/>
        <w:spacing w:after="0" w:line="266"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or volatile conditions in the global economy and financial markets, including as a result of weak or negative gross domestic product growth, uncertainty or disruptions in the capital and credit markets, changing interest rates, inflation, tariffs and trade restrictions, bank failures or adverse conditions impacting financial institutions, and supply-chain disruptions; and</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events, geopolitical unrest or tension, acts of war and terrorism.</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common stock.</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CrowdStrike and Falcon brands and our reputation as a provider of high-efficacy security solutions, our business and results of operations may be adversely affected.</w:t>
      </w:r>
    </w:p>
    <w:p>
      <w:pPr>
        <w:spacing w:after="0" w:line="15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believe that maintaining and enhancing our CrowdStrike and Falcon brands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brands depends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spacing w:after="0" w:line="19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derived approximately 30%, 32%, 32% and 33% of our total revenue from our international customers for fiscal 2023, fiscal 2024, fiscal 2025 and the three months ended April 30, 2025,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3"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negotiating contracts with standard terms, enforcing contracts and managing collections, and longer collection periods;</w:t>
      </w:r>
    </w:p>
    <w:p>
      <w:pPr>
        <w:spacing w:after="0" w:line="224" w:lineRule="exact"/>
        <w:rPr>
          <w:rFonts w:ascii="Arial" w:cs="Arial" w:eastAsia="Arial" w:hAnsi="Arial"/>
          <w:sz w:val="18"/>
          <w:szCs w:val="18"/>
          <w:color w:val="auto"/>
        </w:rPr>
      </w:pPr>
    </w:p>
    <w:p>
      <w:pPr>
        <w:ind w:left="1140" w:right="16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costs incurred in establishing and maintaining office space and equipment for our international operations;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1140" w:right="46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or threat of changes, in regulatory practices, tariffs, and tax laws and treaties or the application thereof;</w:t>
      </w:r>
    </w:p>
    <w:p>
      <w:pPr>
        <w:spacing w:after="0" w:line="225" w:lineRule="exact"/>
        <w:rPr>
          <w:rFonts w:ascii="Times New Roman" w:cs="Times New Roman" w:eastAsia="Times New Roman" w:hAnsi="Times New Roman"/>
          <w:sz w:val="18"/>
          <w:szCs w:val="18"/>
          <w:color w:val="auto"/>
        </w:rPr>
      </w:pPr>
    </w:p>
    <w:p>
      <w:pPr>
        <w:ind w:left="1140" w:right="120" w:hanging="322"/>
        <w:spacing w:after="0" w:line="266"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75" w:lineRule="exact"/>
        <w:rPr>
          <w:rFonts w:ascii="Times New Roman" w:cs="Times New Roman" w:eastAsia="Times New Roman" w:hAnsi="Times New Roman"/>
          <w:sz w:val="18"/>
          <w:szCs w:val="18"/>
          <w:color w:val="auto"/>
        </w:rPr>
      </w:pPr>
    </w:p>
    <w:p>
      <w:pPr>
        <w:ind w:left="1140" w:right="320" w:hanging="322"/>
        <w:spacing w:after="0" w:line="281" w:lineRule="auto"/>
        <w:tabs>
          <w:tab w:leader="none" w:pos="113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62"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foreign exchange controls or tax regulations that might prevent us from repatriating cash earned outside the United States;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224" w:lineRule="exact"/>
        <w:rPr>
          <w:rFonts w:ascii="Arial" w:cs="Arial" w:eastAsia="Arial" w:hAnsi="Arial"/>
          <w:sz w:val="18"/>
          <w:szCs w:val="18"/>
          <w:color w:val="auto"/>
        </w:rPr>
      </w:pPr>
    </w:p>
    <w:p>
      <w:pPr>
        <w:ind w:left="1140" w:hanging="322"/>
        <w:spacing w:after="0" w:line="281" w:lineRule="auto"/>
        <w:tabs>
          <w:tab w:leader="none" w:pos="113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162" w:lineRule="exact"/>
        <w:rPr>
          <w:rFonts w:ascii="Arial" w:cs="Arial" w:eastAsia="Arial" w:hAnsi="Arial"/>
          <w:sz w:val="18"/>
          <w:szCs w:val="18"/>
          <w:color w:val="auto"/>
        </w:rPr>
      </w:pPr>
    </w:p>
    <w:p>
      <w:pPr>
        <w:ind w:left="1140" w:right="380" w:hanging="322"/>
        <w:spacing w:after="0" w:line="266"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for the localization of our services, including translation into foreign languages and adaptation for local practices and regulatory requirements (including, but not limited to data localization requirements, data sovereignty requirements and other digital restrictions, such as those emerging in the EU);</w:t>
      </w:r>
    </w:p>
    <w:p>
      <w:pPr>
        <w:spacing w:after="0" w:line="175" w:lineRule="exact"/>
        <w:rPr>
          <w:rFonts w:ascii="Times New Roman" w:cs="Times New Roman" w:eastAsia="Times New Roman" w:hAnsi="Times New Roman"/>
          <w:sz w:val="18"/>
          <w:szCs w:val="18"/>
          <w:color w:val="auto"/>
        </w:rPr>
      </w:pPr>
    </w:p>
    <w:p>
      <w:pPr>
        <w:ind w:left="1140" w:right="460" w:hanging="322"/>
        <w:spacing w:after="0" w:line="281" w:lineRule="auto"/>
        <w:tabs>
          <w:tab w:leader="none" w:pos="113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requirements to comply with foreign privacy, data protection, and information security laws and regulations and the risks and costs of noncompliance;</w:t>
      </w:r>
    </w:p>
    <w:p>
      <w:pPr>
        <w:spacing w:after="0" w:line="162" w:lineRule="exact"/>
        <w:rPr>
          <w:rFonts w:ascii="Arial" w:cs="Arial" w:eastAsia="Arial" w:hAnsi="Arial"/>
          <w:sz w:val="18"/>
          <w:szCs w:val="18"/>
          <w:color w:val="auto"/>
        </w:rPr>
      </w:pPr>
    </w:p>
    <w:p>
      <w:pPr>
        <w:ind w:left="1140" w:right="720" w:hanging="322"/>
        <w:spacing w:after="0" w:line="281" w:lineRule="auto"/>
        <w:tabs>
          <w:tab w:leader="none" w:pos="113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identifying, attracting and retaining local qualified personnel, and the costs and expenses associated with such activities;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identifying qualified channel partners and maintaining successful relationships with such partners;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differing employment practices and labor relations issues; and</w:t>
      </w:r>
    </w:p>
    <w:p>
      <w:pPr>
        <w:spacing w:after="0" w:line="224" w:lineRule="exact"/>
        <w:rPr>
          <w:rFonts w:ascii="Arial" w:cs="Arial" w:eastAsia="Arial" w:hAnsi="Arial"/>
          <w:sz w:val="18"/>
          <w:szCs w:val="18"/>
          <w:color w:val="auto"/>
        </w:rPr>
      </w:pPr>
    </w:p>
    <w:p>
      <w:pPr>
        <w:ind w:left="1140" w:right="260" w:hanging="322"/>
        <w:spacing w:after="0" w:line="282"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offices and increased travel, infrastructure, and legal compliance costs associated with multiple international locations.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to such government entities include, but are not limited to, the following risks:</w:t>
      </w:r>
    </w:p>
    <w:p>
      <w:pPr>
        <w:spacing w:after="0" w:line="266" w:lineRule="exact"/>
        <w:rPr>
          <w:sz w:val="20"/>
          <w:szCs w:val="20"/>
          <w:color w:val="auto"/>
        </w:rPr>
      </w:pPr>
    </w:p>
    <w:p>
      <w:pPr>
        <w:ind w:left="1140" w:right="280" w:hanging="322"/>
        <w:spacing w:after="0" w:line="234" w:lineRule="auto"/>
        <w:tabs>
          <w:tab w:leader="none" w:pos="113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40" w:lineRule="exact"/>
        <w:rPr>
          <w:rFonts w:ascii="Arial" w:cs="Arial" w:eastAsia="Arial" w:hAnsi="Arial"/>
          <w:sz w:val="22"/>
          <w:szCs w:val="22"/>
          <w:color w:val="auto"/>
        </w:rPr>
      </w:pPr>
    </w:p>
    <w:p>
      <w:pPr>
        <w:ind w:left="1140" w:right="560" w:hanging="322"/>
        <w:spacing w:after="0" w:line="234" w:lineRule="auto"/>
        <w:tabs>
          <w:tab w:leader="none" w:pos="113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240" w:lineRule="exact"/>
        <w:rPr>
          <w:rFonts w:ascii="Arial" w:cs="Arial" w:eastAsia="Arial" w:hAnsi="Arial"/>
          <w:sz w:val="22"/>
          <w:szCs w:val="22"/>
          <w:color w:val="auto"/>
        </w:rPr>
      </w:pPr>
    </w:p>
    <w:p>
      <w:pPr>
        <w:ind w:left="1140" w:hanging="322"/>
        <w:spacing w:after="0" w:line="248" w:lineRule="auto"/>
        <w:tabs>
          <w:tab w:leader="none" w:pos="113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233" w:lineRule="exact"/>
        <w:rPr>
          <w:rFonts w:ascii="Arial" w:cs="Arial" w:eastAsia="Arial" w:hAnsi="Arial"/>
          <w:sz w:val="22"/>
          <w:szCs w:val="22"/>
          <w:color w:val="auto"/>
        </w:rPr>
      </w:pPr>
    </w:p>
    <w:p>
      <w:pPr>
        <w:ind w:left="1140" w:right="300" w:hanging="322"/>
        <w:spacing w:after="0" w:line="234" w:lineRule="auto"/>
        <w:tabs>
          <w:tab w:leader="none" w:pos="113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spacing w:after="0" w:line="240" w:lineRule="exact"/>
        <w:rPr>
          <w:rFonts w:ascii="Arial" w:cs="Arial" w:eastAsia="Arial" w:hAnsi="Arial"/>
          <w:sz w:val="22"/>
          <w:szCs w:val="22"/>
          <w:color w:val="auto"/>
        </w:rPr>
      </w:pPr>
    </w:p>
    <w:p>
      <w:pPr>
        <w:ind w:left="1140" w:right="80" w:hanging="322"/>
        <w:spacing w:after="0" w:line="243" w:lineRule="auto"/>
        <w:tabs>
          <w:tab w:leader="none" w:pos="113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right="120" w:hanging="322"/>
        <w:spacing w:after="0" w:line="234" w:lineRule="auto"/>
        <w:tabs>
          <w:tab w:leader="none" w:pos="113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240" w:lineRule="exact"/>
        <w:rPr>
          <w:rFonts w:ascii="Arial" w:cs="Arial" w:eastAsia="Arial" w:hAnsi="Arial"/>
          <w:sz w:val="22"/>
          <w:szCs w:val="22"/>
          <w:color w:val="auto"/>
        </w:rPr>
      </w:pPr>
    </w:p>
    <w:p>
      <w:pPr>
        <w:ind w:left="1140" w:right="160" w:hanging="322"/>
        <w:spacing w:after="0" w:line="234" w:lineRule="auto"/>
        <w:tabs>
          <w:tab w:leader="none" w:pos="113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40" w:lineRule="exact"/>
        <w:rPr>
          <w:rFonts w:ascii="Arial" w:cs="Arial" w:eastAsia="Arial" w:hAnsi="Arial"/>
          <w:sz w:val="22"/>
          <w:szCs w:val="22"/>
          <w:color w:val="auto"/>
        </w:rPr>
      </w:pPr>
    </w:p>
    <w:p>
      <w:pPr>
        <w:ind w:left="1140" w:right="380" w:hanging="322"/>
        <w:spacing w:after="0" w:line="246" w:lineRule="auto"/>
        <w:tabs>
          <w:tab w:leader="none" w:pos="113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215" w:lineRule="exact"/>
        <w:rPr>
          <w:rFonts w:ascii="Arial" w:cs="Arial" w:eastAsia="Arial" w:hAnsi="Arial"/>
          <w:sz w:val="22"/>
          <w:szCs w:val="22"/>
          <w:color w:val="auto"/>
        </w:rPr>
      </w:pPr>
    </w:p>
    <w:p>
      <w:pPr>
        <w:ind w:left="1140" w:hanging="322"/>
        <w:spacing w:after="0"/>
        <w:tabs>
          <w:tab w:leader="none" w:pos="114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even if we are awarded a sale, the terms of such contracts may be unusually burdensome;</w:t>
      </w:r>
    </w:p>
    <w:p>
      <w:pPr>
        <w:spacing w:after="0" w:line="238" w:lineRule="exact"/>
        <w:rPr>
          <w:rFonts w:ascii="Arial" w:cs="Arial" w:eastAsia="Arial" w:hAnsi="Arial"/>
          <w:sz w:val="22"/>
          <w:szCs w:val="22"/>
          <w:color w:val="auto"/>
        </w:rPr>
      </w:pPr>
    </w:p>
    <w:p>
      <w:pPr>
        <w:ind w:left="1140" w:right="20" w:hanging="322"/>
        <w:spacing w:after="0" w:line="239" w:lineRule="auto"/>
        <w:tabs>
          <w:tab w:leader="none" w:pos="113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40" w:lineRule="exact"/>
        <w:rPr>
          <w:rFonts w:ascii="Arial" w:cs="Arial" w:eastAsia="Arial" w:hAnsi="Arial"/>
          <w:sz w:val="22"/>
          <w:szCs w:val="22"/>
          <w:color w:val="auto"/>
        </w:rPr>
      </w:pPr>
    </w:p>
    <w:p>
      <w:pPr>
        <w:jc w:val="both"/>
        <w:ind w:left="1140" w:right="300" w:hanging="322"/>
        <w:spacing w:after="0" w:line="239" w:lineRule="auto"/>
        <w:tabs>
          <w:tab w:leader="none" w:pos="113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cost-effectively scale and adapt our existing technology to meet our customers’ performance and other requirements.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including those involving AI,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to operate and make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9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quality of our customer support.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expect that the combination of our existing cash and cash equivalents, cash flows from operations, and our revolving facility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additional debt financing, the holders of such debt would have priority over the holders of our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59" w:lineRule="exact"/>
        <w:rPr>
          <w:sz w:val="20"/>
          <w:szCs w:val="20"/>
          <w:color w:val="auto"/>
        </w:rPr>
      </w:pPr>
    </w:p>
    <w:p>
      <w:pPr>
        <w:ind w:right="200" w:firstLine="324"/>
        <w:spacing w:after="0" w:line="274" w:lineRule="auto"/>
        <w:rPr>
          <w:sz w:val="20"/>
          <w:szCs w:val="20"/>
          <w:color w:val="auto"/>
        </w:rPr>
      </w:pPr>
      <w:r>
        <w:rPr>
          <w:rFonts w:ascii="Times New Roman" w:cs="Times New Roman" w:eastAsia="Times New Roman" w:hAnsi="Times New Roman"/>
          <w:sz w:val="17"/>
          <w:szCs w:val="17"/>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experienced widespread component shortages and delivery delays, including as a result of geopolitical tensions (including actual or threatened changes in tariffs and trade restrictions), public health crises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risks of certain of our customers and end-users, which could adversely impact our business, financial condition or results of operations.</w:t>
      </w:r>
    </w:p>
    <w:p>
      <w:pPr>
        <w:spacing w:after="0" w:line="15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part on our ability to protect and enforce our intellectual property rights.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83"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8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9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announced plans and introduced legislative proposals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92"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Legal developments in the European Economic Area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The EU has also enacted legislation that would regulate non-personal data and establish new cybersecurity standards, and other countries, including the U.K., may similarly do so in the future. In particular, the EU’s Digital Services Act and the EU’s Data Act both entered into force in 2024 and impose certain content moderation, notice and transparency obligations on digital platforms and intermediaries and certain data and cloud service interoperability and switching obligations to enable users to switch between cloud service providers (as well as certain requirements concerning cross-border international transfers of non-personal data outside the EEA), respectively.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the EU’s Digital Operational Resiliency Act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GDPR, U.K. GDPR and the data privacy and security laws of other jurisdictions in which we operate, such procedures and controls may not be effective in ensuring compliance or preventing unauthorized transfers of personal data.</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and concentration risk. Noncompliance by us, our employees, representatives, contractors, channel partners, agents, intermediaries, or other third parties with applicable regulations or requirements could subject us to:</w:t>
      </w:r>
    </w:p>
    <w:p>
      <w:pPr>
        <w:spacing w:after="0" w:line="187" w:lineRule="exact"/>
        <w:rPr>
          <w:sz w:val="20"/>
          <w:szCs w:val="20"/>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 to do business in the jurisdictions in which we operate; or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1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88" w:lineRule="exact"/>
        <w:rPr>
          <w:sz w:val="20"/>
          <w:szCs w:val="20"/>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time-consuming and costly litigation;</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time and attention from developing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pay monetary damages or enter into royalty and licensing agreements that we would not normally find acceptable;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delays in the deployment of our Falcon platform or service offerings to our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stop offering certain services or features of our Falcon platform;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140" w:hanging="322"/>
        <w:spacing w:after="0" w:line="282"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redesign certain components of our Falcon platform using alternative non-infringing or non-open source technology, which could require significant effort and expense;</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disclose our software source code and the detailed program commands for our software;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satisfy indemnification obligations to our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AI, which could expose us to liability or adversely affect our business.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a false or “hallucinatory” interferences or output,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and social issues, and if we enable or offer solutions that draw scrutiny or controversy due to their perceived or actual impact on customers or on society as a whole, we may experience brand or reputational harm, competitive harm, and/or legal liability. Our continued incorporation of AI, including generative AI, into our products and operations requires us to expend significant resources. If such investments do not deliver anticipated benefits or are not otherwise successful, our business and results of operations may be harmed.</w:t>
      </w:r>
    </w:p>
    <w:p>
      <w:pPr>
        <w:spacing w:after="0" w:line="19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the EU, the first set of provisions under the EU’s AI Act became effective in February 2025, with additional provisions becoming effective on later dates.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 Other states, including Colorado and Utah, have also enacted AI-related laws, and several more have proposed enacting such laws.</w:t>
      </w:r>
    </w:p>
    <w:p>
      <w:pPr>
        <w:spacing w:after="0" w:line="192"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spacing w:after="0" w:line="1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5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Certain of our customer agreements contain service level commitments, which contain specifications regarding the availability and performance of our Falcon platform. Any failure of or disruption to our infrastructure could impact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involved in litigation that may adversely affect us.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9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regardless of our operating performance, and you could lose all or part of your investment.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The market price of our common stock depends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spacing w:after="0" w:line="180" w:lineRule="exact"/>
        <w:rPr>
          <w:sz w:val="20"/>
          <w:szCs w:val="20"/>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new or terminated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1140" w:right="680" w:hanging="322"/>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61"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Kurtz;</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or different information relating to the impact of the July 19 Incident;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or frequency of stock repurchases;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repurchase program may not result in benefits to stockholder value.</w:t>
      </w:r>
    </w:p>
    <w:p>
      <w:pPr>
        <w:spacing w:after="0" w:line="25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June 2025, we announced that our board of directors authorized a program under which we are authorized to repurchase up to $1.0 billion of our outstanding shares of common stock (the “Share Repurchase Program”). Such repurchases may be made from time to time using a variety of methods, including open market purchases, privately negotiated transactions and trading plans intended to qualify under Rule 10b5-1 under the Exchange Act. The Share Repurchase Program does not have a fixed expiration date and may be suspended or discontinued at any time. We are not obligated to use the Share Repurchase Program to acquire any specific amount of common stock. We intend to use the Share Repurchase Program opportunistically depending on market prices and other factors, and there can be no assurance that we will repurchase any shares of stock under the Share Repurchase Program. Any failure to repurchase stock after we have announced our intention to do so may negatively impact our reputation and investor confidence in us and may negatively impact our stock price.</w:t>
      </w:r>
    </w:p>
    <w:p>
      <w:pPr>
        <w:spacing w:after="0" w:line="2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timing and amount of any repurchases, if any, will be subject to liquidity, market and economic conditions, restrictions under our credit agreement, compliance with applicable legal requirements, and other relevant factors. If we do repurchase shares of our common stock under the Share Repurchase Program, such repurchases will reduce the amount of cash we have available to fund working capital, repayment of debt, capital expenditures, strategic acquisitions or business opportunities, and other general corporate purposes. The Share Repurchase Program may not enhance long-term stockholder value because the market price of our common stock may decline below the levels at which we repurchased shares and short-term stock price fluctuations could reduce the effectiveness of this program.</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could reduce the price that our common stock might otherwise attain and may dilute your voting power and your ownership interest in us.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As of May 29, 2025, we had 249,248,174 shares of common stock outstanding.</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do not publish research or reports about our business, or if they issue inaccurate or unfavorable research regarding our common stock, our stock price and trading volume could decline.</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common stock after price appreciation, which may never occur, as the only way to realize any future gains on their investments.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6" w:lineRule="exact"/>
        <w:rPr>
          <w:sz w:val="20"/>
          <w:szCs w:val="20"/>
          <w:color w:val="auto"/>
        </w:rPr>
      </w:pPr>
    </w:p>
    <w:p>
      <w:pPr>
        <w:ind w:left="1140" w:right="60" w:hanging="322"/>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61"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1140" w:right="240" w:hanging="322"/>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ind w:left="1140" w:right="300" w:hanging="322"/>
        <w:spacing w:after="0" w:line="266"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1140" w:right="420" w:hanging="322"/>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two-thirds of the then-outstanding voting power of our capital stock; and</w:t>
      </w:r>
    </w:p>
    <w:p>
      <w:pPr>
        <w:spacing w:after="0" w:line="161"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may prohibit large stockholders, in particular those owning 15% or more of our outstanding voting stock, from merging or combining with us for a certain period of time.</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25" w:lineRule="exact"/>
        <w:rPr>
          <w:rFonts w:ascii="Times New Roman" w:cs="Times New Roman" w:eastAsia="Times New Roman" w:hAnsi="Times New Roman"/>
          <w:sz w:val="18"/>
          <w:szCs w:val="18"/>
          <w:color w:val="auto"/>
        </w:rPr>
      </w:pPr>
    </w:p>
    <w:p>
      <w:pPr>
        <w:ind w:left="1140" w:right="560" w:hanging="322"/>
        <w:spacing w:after="0" w:line="282"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161" w:lineRule="exact"/>
        <w:rPr>
          <w:rFonts w:ascii="Times New Roman" w:cs="Times New Roman" w:eastAsia="Times New Roman" w:hAnsi="Times New Roman"/>
          <w:sz w:val="18"/>
          <w:szCs w:val="18"/>
          <w:color w:val="auto"/>
        </w:rPr>
      </w:pPr>
    </w:p>
    <w:p>
      <w:pPr>
        <w:ind w:left="1140" w:right="40" w:hanging="322"/>
        <w:spacing w:after="0" w:line="282"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amended and restated certificate of incorporation or our amended and restated bylaws;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As of April 30, 2025,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76" w:lineRule="exact"/>
        <w:rPr>
          <w:sz w:val="20"/>
          <w:szCs w:val="20"/>
          <w:color w:val="auto"/>
        </w:rPr>
      </w:pPr>
    </w:p>
    <w:p>
      <w:pPr>
        <w:ind w:left="1140" w:right="68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161" w:lineRule="exact"/>
        <w:rPr>
          <w:rFonts w:ascii="Times New Roman" w:cs="Times New Roman" w:eastAsia="Times New Roman" w:hAnsi="Times New Roman"/>
          <w:sz w:val="18"/>
          <w:szCs w:val="18"/>
          <w:color w:val="auto"/>
        </w:rPr>
      </w:pPr>
    </w:p>
    <w:p>
      <w:pPr>
        <w:ind w:left="1140" w:right="28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 and</w:t>
      </w:r>
    </w:p>
    <w:p>
      <w:pPr>
        <w:spacing w:after="0" w:line="225"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5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 sufficient to permit us to pay the principal, premium, if any, and interest on our indebtedness, including the notes.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76" w:lineRule="exact"/>
        <w:rPr>
          <w:sz w:val="20"/>
          <w:szCs w:val="20"/>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sell all or substantially all of our assets to, another person.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covenants in the indenture and supplemental indenture that govern the Senior Notes are subject to exceptions and qualifications.</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76" w:lineRule="exact"/>
        <w:rPr>
          <w:sz w:val="20"/>
          <w:szCs w:val="20"/>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the industry or the economy in general;</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best interest;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restrictions may affect our ability to expand our business, which could have a material adverse effect on our business, financial condition and results of operations.</w:t>
      </w:r>
    </w:p>
    <w:p>
      <w:pPr>
        <w:spacing w:after="0" w:line="16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18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risks we may face in connection with acquisitions include:</w:t>
      </w:r>
    </w:p>
    <w:p>
      <w:pPr>
        <w:spacing w:after="0" w:line="225" w:lineRule="exact"/>
        <w:rPr>
          <w:sz w:val="20"/>
          <w:szCs w:val="20"/>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and sales and marketing functions;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administrative systems, employee, product and service offerings;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140" w:right="100" w:hanging="322"/>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regulatory or compliance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580" w:hanging="322"/>
        <w:spacing w:after="0" w:line="282" w:lineRule="auto"/>
        <w:tabs>
          <w:tab w:leader="none" w:pos="1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61"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61" w:lineRule="exact"/>
        <w:rPr>
          <w:rFonts w:ascii="Times New Roman" w:cs="Times New Roman" w:eastAsia="Times New Roman" w:hAnsi="Times New Roman"/>
          <w:sz w:val="18"/>
          <w:szCs w:val="18"/>
          <w:color w:val="auto"/>
        </w:rPr>
      </w:pPr>
    </w:p>
    <w:p>
      <w:pPr>
        <w:ind w:left="1140" w:right="620" w:hanging="322"/>
        <w:spacing w:after="0" w:line="282" w:lineRule="auto"/>
        <w:tabs>
          <w:tab w:leader="none" w:pos="1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5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9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2024 and, with respect to certain components of the plan, to 2025. Under Pillar Two, the Inclusive Framework has agreed on a global minimum corporate tax rate of 15% for companies with revenue above €750 million, calculated on a jurisdictional basis.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In addition, the OECD’s proposed solution envisages new international tax rules and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2025, we had aggregate U.S federal and California net operating loss carryforwards of $1.4 billion and $307.9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may be available to offset future taxable income for income tax purposes. The federal net operating losses are carried forward indefinitely,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net operating loss carryforwards begin to expire in fiscal 2034 through fiscal 2045. As of January 31, 2025, net operating loss carryforwards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states totaled $716.0 million, which begin to expire in fiscal 2026 through fiscal 2045. As of January 31, 2025, net operating loss carryforwards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U.K. totaled $78.0 million, which are carried forward indefinitely, and net operating loss carryforwards totaled immaterial amounts in certain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As of January 31, 2025, we had U.S federal and California research and development (“R&amp;D”) credit carryforwards of $165.1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$39.6 million, respectively. The federal R&amp;D credit carryforwards begin to expire in fiscal 2037 though fiscal 2045. The California R&amp;D credits are carried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indefinitely. Realization of these net operating loss and R&amp;D credit carryforwards depends on future income, and there is a risk that our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could expire unused and be unavailable to offset future income tax liabilities, which could adversely affect our results of operations.</w:t>
      </w:r>
    </w:p>
    <w:p>
      <w:pPr>
        <w:spacing w:after="0" w:line="2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R&amp;D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spacing w:after="0" w:line="19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Expectations of our performance relating to environmental, social and governance factors may impose additional costs and expose us to new risks.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(“ESG”) matters, both in the United States and internationally. We have undertaken and expect to continue to undertake certain ESG-related initiatives, goals and commitments, which we have communicated on our website, in our SEC filings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Stakeholders could also challenge the accuracy, adequacy, or completeness of our ESG-related disclosures. Our actual or perceived failure to achieve some or all of our ESG-related initiatives, goals, or commitments or maintain ESG practices that meet evolving stakeholder expectations or regulatory requirements could harm our reputation, adversely impact our ability to attract and retain employees or customers and expose us to increased scrutiny from ESG-focused investors, regulatory authorities and others, or subject us to liability. Damage to our reputation or reduced demand for our products may adversely impact our business, financial condition, or results of operations.</w:t>
      </w:r>
    </w:p>
    <w:p>
      <w:pPr>
        <w:spacing w:after="0" w:line="19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2025, certain of our directors and officers (as defined in Rule 16a-1(f) under the Exchange Act) adopted a “Rule 10b5-1 trading arrangement” (as defined in Regulation S-K Item 408) for the sale of shares of our Class A common stock, as set forth below, in amounts and prices determined in accordance with a formula set forth in each such plan:</w:t>
      </w:r>
    </w:p>
    <w:p>
      <w:pPr>
        <w:spacing w:after="0" w:line="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Plans</w:t>
      </w:r>
    </w:p>
    <w:p>
      <w:pPr>
        <w:spacing w:after="0" w:line="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Rule 10b5-</w:t>
            </w: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Non-Rule</w:t>
            </w:r>
          </w:p>
        </w:tc>
        <w:tc>
          <w:tcPr>
            <w:tcW w:w="132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3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00" w:type="dxa"/>
            <w:vAlign w:val="bottom"/>
            <w:vMerge w:val="restart"/>
          </w:tcPr>
          <w:p>
            <w:pPr>
              <w:spacing w:after="0"/>
              <w:rPr>
                <w:sz w:val="14"/>
                <w:szCs w:val="14"/>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0" w:type="dxa"/>
            <w:vAlign w:val="bottom"/>
            <w:vMerge w:val="restart"/>
          </w:tcPr>
          <w:p>
            <w:pPr>
              <w:spacing w:after="0"/>
              <w:rPr>
                <w:sz w:val="14"/>
                <w:szCs w:val="14"/>
                <w:color w:val="auto"/>
              </w:rPr>
            </w:pP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vMerge w:val="restart"/>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to be</w:t>
            </w:r>
          </w:p>
        </w:tc>
        <w:tc>
          <w:tcPr>
            <w:tcW w:w="3360" w:type="dxa"/>
            <w:vAlign w:val="bottom"/>
            <w:vMerge w:val="restart"/>
          </w:tcPr>
          <w:p>
            <w:pPr>
              <w:ind w:left="1240"/>
              <w:spacing w:after="0"/>
              <w:rPr>
                <w:sz w:val="20"/>
                <w:szCs w:val="20"/>
                <w:color w:val="auto"/>
              </w:rPr>
            </w:pPr>
            <w:r>
              <w:rPr>
                <w:rFonts w:ascii="Times New Roman" w:cs="Times New Roman" w:eastAsia="Times New Roman" w:hAnsi="Times New Roman"/>
                <w:sz w:val="16"/>
                <w:szCs w:val="16"/>
                <w:b w:val="1"/>
                <w:bCs w:val="1"/>
                <w:color w:val="auto"/>
              </w:rPr>
              <w:t>Expiration</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1</w:t>
            </w:r>
            <w:r>
              <w:rPr>
                <w:rFonts w:ascii="Times New Roman" w:cs="Times New Roman" w:eastAsia="Times New Roman" w:hAnsi="Times New Roman"/>
                <w:sz w:val="9"/>
                <w:szCs w:val="9"/>
                <w:b w:val="1"/>
                <w:bCs w:val="1"/>
                <w:color w:val="auto"/>
              </w:rPr>
              <w:t>(1)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10b5-1</w:t>
            </w:r>
            <w:r>
              <w:rPr>
                <w:rFonts w:ascii="Times New Roman" w:cs="Times New Roman" w:eastAsia="Times New Roman" w:hAnsi="Times New Roman"/>
                <w:sz w:val="21"/>
                <w:szCs w:val="21"/>
                <w:b w:val="1"/>
                <w:bCs w:val="1"/>
                <w:color w:val="auto"/>
                <w:w w:val="92"/>
                <w:vertAlign w:val="superscript"/>
              </w:rPr>
              <w:t>(2)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Sold</w:t>
            </w:r>
          </w:p>
        </w:tc>
        <w:tc>
          <w:tcPr>
            <w:tcW w:w="100" w:type="dxa"/>
            <w:vAlign w:val="bottom"/>
            <w:tcBorders>
              <w:bottom w:val="single" w:sz="8" w:color="CCEEFF"/>
            </w:tcBorders>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7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Anurag Saha,</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Adoption</w:t>
            </w: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24, 2025</w:t>
            </w:r>
          </w:p>
        </w:tc>
        <w:tc>
          <w:tcPr>
            <w:tcW w:w="9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 to 6,109</w:t>
            </w:r>
          </w:p>
        </w:tc>
        <w:tc>
          <w:tcPr>
            <w:tcW w:w="33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Earlier of when all shares under plan are sold and</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c>
          <w:tcPr>
            <w:tcW w:w="96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2026</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Intended to satisfy the affirmative defense conditions of Rule 10b5-1(c).</w:t>
      </w:r>
    </w:p>
    <w:p>
      <w:pPr>
        <w:spacing w:after="0" w:line="24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intended to satisfy the affirmative defense conditions of Rule 10b5-1(c).</w:t>
      </w:r>
    </w:p>
    <w:p>
      <w:pPr>
        <w:spacing w:after="0" w:line="24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further early termination for certain specified events as set forth therein.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47" w:lineRule="exact"/>
        <w:rPr>
          <w:sz w:val="20"/>
          <w:szCs w:val="20"/>
          <w:color w:val="auto"/>
        </w:rPr>
      </w:pPr>
    </w:p>
    <w:p>
      <w:pPr>
        <w:jc w:val="right"/>
        <w:ind w:right="2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ectPr>
          <w:pgSz w:w="11900" w:h="16838" w:orient="portrait"/>
          <w:cols w:equalWidth="0" w:num="1">
            <w:col w:w="11240"/>
          </w:cols>
          <w:pgMar w:left="320" w:top="337" w:right="3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60" w:type="dxa"/>
            <w:vAlign w:val="bottom"/>
            <w:gridSpan w:val="11"/>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6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Borders>
              <w:top w:val="single" w:sz="8" w:color="auto"/>
            </w:tcBorders>
            <w:gridSpan w:val="4"/>
          </w:tcPr>
          <w:p>
            <w:pPr>
              <w:jc w:val="center"/>
              <w:ind w:left="273"/>
              <w:spacing w:after="0" w:line="188" w:lineRule="exact"/>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gridSpan w:val="13"/>
          </w:tcPr>
          <w:p>
            <w:pPr>
              <w:spacing w:after="0" w:line="188"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Certificate of Incorporation of</w:t>
              </w:r>
            </w:hyperlink>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the Registrant, as currently in effect.</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4"/>
          </w:tcPr>
          <w:p>
            <w:pPr>
              <w:jc w:val="center"/>
              <w:ind w:left="273"/>
              <w:spacing w:after="0"/>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80" w:type="dxa"/>
            <w:vAlign w:val="bottom"/>
            <w:gridSpan w:val="1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and Restated Bylaws of the Registrant, as</w:t>
              </w:r>
            </w:hyperlink>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currently in effect.</w:t>
              </w:r>
            </w:hyperlink>
          </w:p>
        </w:tc>
        <w:tc>
          <w:tcPr>
            <w:tcW w:w="2400" w:type="dxa"/>
            <w:vAlign w:val="bottom"/>
            <w:tcBorders>
              <w:top w:val="single" w:sz="8" w:color="0000FF"/>
            </w:tcBorders>
            <w:gridSpan w:val="5"/>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gridSpan w:val="3"/>
          </w:tcPr>
          <w:p>
            <w:pPr>
              <w:spacing w:after="0"/>
              <w:rPr>
                <w:sz w:val="19"/>
                <w:szCs w:val="19"/>
                <w:color w:val="auto"/>
              </w:rPr>
            </w:pPr>
          </w:p>
        </w:tc>
        <w:tc>
          <w:tcPr>
            <w:tcW w:w="220" w:type="dxa"/>
            <w:vAlign w:val="bottom"/>
          </w:tcPr>
          <w:p>
            <w:pPr>
              <w:jc w:val="center"/>
              <w:spacing w:after="0"/>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80" w:type="dxa"/>
            <w:vAlign w:val="bottom"/>
            <w:gridSpan w:val="13"/>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Certificate of Retirement of Class B common stock.</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5"/>
          </w:tcPr>
          <w:p>
            <w:pPr>
              <w:jc w:val="center"/>
              <w:ind w:left="233"/>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22.</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gridSpan w:val="1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List of Subsidiary Guarantors</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5"/>
          </w:tcPr>
          <w:p>
            <w:pPr>
              <w:jc w:val="center"/>
              <w:ind w:left="233"/>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52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30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gridSpan w:val="5"/>
          </w:tcPr>
          <w:p>
            <w:pPr>
              <w:jc w:val="center"/>
              <w:ind w:left="233"/>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8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52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30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2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w:t>
            </w:r>
          </w:p>
        </w:tc>
        <w:tc>
          <w:tcPr>
            <w:tcW w:w="560" w:type="dxa"/>
            <w:vAlign w:val="bottom"/>
            <w:gridSpan w:val="8"/>
          </w:tcPr>
          <w:p>
            <w:pPr>
              <w:ind w:left="60"/>
              <w:spacing w:after="0" w:line="169" w:lineRule="exact"/>
              <w:rPr>
                <w:sz w:val="20"/>
                <w:szCs w:val="20"/>
                <w:color w:val="auto"/>
              </w:rPr>
            </w:pPr>
            <w:r>
              <w:rPr>
                <w:rFonts w:ascii="Times New Roman" w:cs="Times New Roman" w:eastAsia="Times New Roman" w:hAnsi="Times New Roman"/>
                <w:sz w:val="18"/>
                <w:szCs w:val="18"/>
                <w:color w:val="0000FF"/>
              </w:rPr>
              <w:t>of the</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8"/>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40" w:type="dxa"/>
            <w:vAlign w:val="bottom"/>
            <w:gridSpan w:val="8"/>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40" w:type="dxa"/>
            <w:vAlign w:val="bottom"/>
          </w:tcPr>
          <w:p>
            <w:pPr>
              <w:spacing w:after="0"/>
              <w:rPr>
                <w:sz w:val="21"/>
                <w:szCs w:val="21"/>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40" w:type="dxa"/>
            <w:vAlign w:val="bottom"/>
          </w:tcPr>
          <w:p>
            <w:pPr>
              <w:spacing w:after="0"/>
              <w:rPr>
                <w:sz w:val="19"/>
                <w:szCs w:val="19"/>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15"/>
                <w:szCs w:val="15"/>
                <w:color w:val="auto"/>
              </w:rPr>
            </w:pPr>
          </w:p>
        </w:tc>
        <w:tc>
          <w:tcPr>
            <w:tcW w:w="40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Borders>
              <w:top w:val="single" w:sz="8" w:color="auto"/>
            </w:tcBorders>
            <w:vMerge w:val="restart"/>
          </w:tcPr>
          <w:p>
            <w:pPr>
              <w:spacing w:after="0"/>
              <w:rPr>
                <w:sz w:val="13"/>
                <w:szCs w:val="13"/>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Borders>
              <w:top w:val="single" w:sz="8" w:color="auto"/>
            </w:tcBorders>
            <w:vMerge w:val="restart"/>
          </w:tcPr>
          <w:p>
            <w:pPr>
              <w:spacing w:after="0"/>
              <w:rPr>
                <w:sz w:val="13"/>
                <w:szCs w:val="13"/>
                <w:color w:val="auto"/>
              </w:rPr>
            </w:pPr>
          </w:p>
        </w:tc>
        <w:tc>
          <w:tcPr>
            <w:tcW w:w="8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Borders>
              <w:top w:val="single" w:sz="8" w:color="auto"/>
            </w:tcBorders>
            <w:vMerge w:val="restart"/>
          </w:tcPr>
          <w:p>
            <w:pPr>
              <w:spacing w:after="0"/>
              <w:rPr>
                <w:sz w:val="13"/>
                <w:szCs w:val="13"/>
                <w:color w:val="auto"/>
              </w:rPr>
            </w:pPr>
          </w:p>
        </w:tc>
        <w:tc>
          <w:tcPr>
            <w:tcW w:w="1920" w:type="dxa"/>
            <w:vAlign w:val="bottom"/>
            <w:tcBorders>
              <w:top w:val="single" w:sz="8" w:color="auto"/>
            </w:tcBorders>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9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23"/>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001-38933</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14, 2019</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001-38933</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November 27, 2024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001-38933</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December 13, 2024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001-38933</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0"/>
                <w:szCs w:val="20"/>
                <w:color w:val="auto"/>
              </w:rPr>
            </w:pP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March 10, 2025</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sectPr>
          <w:pgSz w:w="11900" w:h="16838" w:orient="portrait"/>
          <w:cols w:equalWidth="0" w:num="2">
            <w:col w:w="5160" w:space="80"/>
            <w:col w:w="6000"/>
          </w:cols>
          <w:pgMar w:left="320" w:top="337" w:right="339" w:bottom="1440" w:gutter="0" w:footer="0" w:header="0"/>
          <w:type w:val="continuous"/>
        </w:sect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40" w:type="dxa"/>
            <w:vAlign w:val="bottom"/>
          </w:tcPr>
          <w:p>
            <w:pPr>
              <w:spacing w:after="0"/>
              <w:rPr>
                <w:sz w:val="20"/>
                <w:szCs w:val="20"/>
                <w:color w:val="auto"/>
              </w:rPr>
            </w:pPr>
          </w:p>
        </w:tc>
      </w:tr>
      <w:tr>
        <w:trPr>
          <w:trHeight w:val="184"/>
        </w:trPr>
        <w:tc>
          <w:tcPr>
            <w:tcW w:w="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40" w:type="dxa"/>
            <w:vAlign w:val="bottom"/>
          </w:tcPr>
          <w:p>
            <w:pPr>
              <w:spacing w:after="0"/>
              <w:rPr>
                <w:sz w:val="20"/>
                <w:szCs w:val="20"/>
                <w:color w:val="auto"/>
              </w:rPr>
            </w:pPr>
          </w:p>
        </w:tc>
      </w:tr>
      <w:tr>
        <w:trPr>
          <w:trHeight w:val="184"/>
        </w:trPr>
        <w:tc>
          <w:tcPr>
            <w:tcW w:w="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c>
          <w:tcPr>
            <w:tcW w:w="2940" w:type="dxa"/>
            <w:vAlign w:val="bottom"/>
          </w:tcPr>
          <w:p>
            <w:pPr>
              <w:spacing w:after="0"/>
              <w:rPr>
                <w:sz w:val="20"/>
                <w:szCs w:val="20"/>
                <w:color w:val="auto"/>
              </w:rPr>
            </w:pPr>
          </w:p>
        </w:tc>
      </w:tr>
    </w:tbl>
    <w:p>
      <w:pPr>
        <w:spacing w:after="0" w:line="4" w:lineRule="exact"/>
        <w:rPr>
          <w:sz w:val="20"/>
          <w:szCs w:val="20"/>
          <w:color w:val="auto"/>
        </w:rPr>
      </w:pPr>
    </w:p>
    <w:p>
      <w:pPr>
        <w:ind w:left="1060" w:right="6440" w:hanging="721"/>
        <w:spacing w:after="0" w:line="231" w:lineRule="auto"/>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p>
      <w:pPr>
        <w:spacing w:after="0" w:line="171" w:lineRule="exact"/>
        <w:rPr>
          <w:rFonts w:ascii="Times New Roman" w:cs="Times New Roman" w:eastAsia="Times New Roman" w:hAnsi="Times New Roman"/>
          <w:sz w:val="18"/>
          <w:szCs w:val="18"/>
          <w:color w:val="auto"/>
        </w:rPr>
      </w:pPr>
    </w:p>
    <w:p>
      <w:pPr>
        <w:ind w:left="1100" w:hanging="1047"/>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77" w:lineRule="exact"/>
        <w:rPr>
          <w:sz w:val="20"/>
          <w:szCs w:val="20"/>
          <w:color w:val="auto"/>
        </w:rPr>
      </w:pPr>
    </w:p>
    <w:p>
      <w:pPr>
        <w:ind w:left="1100" w:right="160" w:hanging="1047"/>
        <w:spacing w:after="0" w:line="224" w:lineRule="auto"/>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day of June 3, 2025.</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81"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Burt W. Podbere</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300"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Anurag Saha</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660"/>
          </w:cols>
          <w:pgMar w:left="320" w:top="337" w:right="9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0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Date: June 3,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Date: June 3,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14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2025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3, 2025</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2025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3, 2025</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180"/>
        </w:trPr>
        <w:tc>
          <w:tcPr>
            <w:tcW w:w="74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4"/>
    </w:lvl>
  </w:abstractNum>
  <w:abstractNum w:abstractNumId="9">
    <w:nsid w:val="2CA88611"/>
    <w:multiLevelType w:val="hybridMultilevel"/>
    <w:lvl w:ilvl="0">
      <w:lvlJc w:val="left"/>
      <w:lvlText w:val="(%1)"/>
      <w:numFmt w:val="lowerLetter"/>
      <w:start w:val="3"/>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0"/>
    </w:lvl>
  </w:abstractNum>
  <w:abstractNum w:abstractNumId="15">
    <w:nsid w:val="7C3DBD3D"/>
    <w:multiLevelType w:val="hybridMultilevel"/>
    <w:lvl w:ilvl="0">
      <w:lvlJc w:val="left"/>
      <w:lvlText w:val="(%1)"/>
      <w:numFmt w:val="lowerRoman"/>
      <w:start w:val="2"/>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
      <w:numFmt w:val="bullet"/>
      <w:start w:val="1"/>
    </w:lvl>
    <w:lvl w:ilvl="1">
      <w:lvlJc w:val="left"/>
      <w:lvlText w:val="%2"/>
      <w:numFmt w:val="decimal"/>
      <w:start w:val="104"/>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96" Type="http://schemas.openxmlformats.org/officeDocument/2006/relationships/hyperlink" Target="https://www.sec.gov/Archives/edgar/data/1535527/000110465919035685/a19-11597_1ex3d1.htm" TargetMode="External"/><Relationship Id="rId97" Type="http://schemas.openxmlformats.org/officeDocument/2006/relationships/hyperlink" Target="https://www.sec.gov/Archives/edgar/data/1535527/000153552724000026/crowdstrikeholdingsincam.htm" TargetMode="External"/><Relationship Id="rId98" Type="http://schemas.openxmlformats.org/officeDocument/2006/relationships/hyperlink" Target="https://www.sec.gov/Archives/edgar/data/1535527/000110465924128515/tm2430723d1_ex3-1.htm" TargetMode="External"/><Relationship Id="rId99" Type="http://schemas.openxmlformats.org/officeDocument/2006/relationships/hyperlink" Target="https://www.sec.gov/Archives/edgar/data/1535527/000153552725000009/ex-221listofsubsidiarygu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2025-06-04T05:13:25Z</dcterms:created>
  <dcterms:modified xsi:type="dcterms:W3CDTF">2025-06-04T05:13:25Z</dcterms:modified>
</cp:coreProperties>
</file>