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480060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35" w:lineRule="exact"/>
        <w:rPr>
          <w:sz w:val="24"/>
          <w:szCs w:val="24"/>
          <w:color w:val="auto"/>
        </w:rPr>
      </w:pPr>
    </w:p>
    <w:p>
      <w:pPr>
        <w:ind w:left="340" w:hanging="234"/>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April 30, 2024</w:t>
      </w:r>
    </w:p>
    <w:p>
      <w:pPr>
        <w:spacing w:after="0" w:line="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0" w:lineRule="exact"/>
        <w:rPr>
          <w:sz w:val="24"/>
          <w:szCs w:val="24"/>
          <w:color w:val="auto"/>
        </w:rPr>
      </w:pPr>
    </w:p>
    <w:p>
      <w:pPr>
        <w:ind w:left="340" w:hanging="234"/>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For the transition period from to</w:t>
            </w:r>
          </w:p>
        </w:tc>
        <w:tc>
          <w:tcPr>
            <w:tcW w:w="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2"/>
        </w:trPr>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Commission File Number: 001-38933</w:t>
            </w:r>
          </w:p>
        </w:tc>
        <w:tc>
          <w:tcPr>
            <w:tcW w:w="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40" w:type="dxa"/>
            <w:vAlign w:val="bottom"/>
            <w:gridSpan w:val="5"/>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301"/>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w w:val="99"/>
              </w:rPr>
              <w:t>CROWDSTRIKE HOLDINGS, INC.</w:t>
            </w: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10"/>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40" w:type="dxa"/>
            <w:vAlign w:val="bottom"/>
            <w:gridSpan w:val="5"/>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94"/>
        </w:trPr>
        <w:tc>
          <w:tcPr>
            <w:tcW w:w="1440" w:type="dxa"/>
            <w:vAlign w:val="bottom"/>
          </w:tcPr>
          <w:p>
            <w:pPr>
              <w:spacing w:after="0"/>
              <w:rPr>
                <w:sz w:val="16"/>
                <w:szCs w:val="16"/>
                <w:color w:val="auto"/>
              </w:rPr>
            </w:pPr>
          </w:p>
        </w:tc>
        <w:tc>
          <w:tcPr>
            <w:tcW w:w="194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45-3788918</w:t>
            </w:r>
          </w:p>
        </w:tc>
        <w:tc>
          <w:tcPr>
            <w:tcW w:w="760" w:type="dxa"/>
            <w:vAlign w:val="bottom"/>
          </w:tcPr>
          <w:p>
            <w:pPr>
              <w:spacing w:after="0"/>
              <w:rPr>
                <w:sz w:val="16"/>
                <w:szCs w:val="16"/>
                <w:color w:val="auto"/>
              </w:rPr>
            </w:pPr>
          </w:p>
        </w:tc>
      </w:tr>
      <w:tr>
        <w:trPr>
          <w:trHeight w:val="132"/>
        </w:trPr>
        <w:tc>
          <w:tcPr>
            <w:tcW w:w="3380" w:type="dxa"/>
            <w:vAlign w:val="bottom"/>
            <w:gridSpan w:val="3"/>
          </w:tcPr>
          <w:p>
            <w:pPr>
              <w:jc w:val="center"/>
              <w:ind w:left="636"/>
              <w:spacing w:after="0" w:line="132" w:lineRule="exact"/>
              <w:rPr>
                <w:sz w:val="20"/>
                <w:szCs w:val="20"/>
                <w:color w:val="auto"/>
              </w:rPr>
            </w:pPr>
            <w:r>
              <w:rPr>
                <w:rFonts w:ascii="Times New Roman" w:cs="Times New Roman" w:eastAsia="Times New Roman" w:hAnsi="Times New Roman"/>
                <w:sz w:val="13"/>
                <w:szCs w:val="13"/>
                <w:color w:val="auto"/>
                <w:w w:val="98"/>
              </w:rPr>
              <w:t>(State or other jurisdiction of</w:t>
            </w: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20" w:type="dxa"/>
            <w:vAlign w:val="bottom"/>
            <w:gridSpan w:val="2"/>
          </w:tcPr>
          <w:p>
            <w:pPr>
              <w:jc w:val="center"/>
              <w:ind w:right="1120"/>
              <w:spacing w:after="0" w:line="132"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5"/>
        </w:trPr>
        <w:tc>
          <w:tcPr>
            <w:tcW w:w="3380" w:type="dxa"/>
            <w:vAlign w:val="bottom"/>
            <w:gridSpan w:val="3"/>
          </w:tcPr>
          <w:p>
            <w:pPr>
              <w:jc w:val="center"/>
              <w:ind w:left="67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jc w:val="center"/>
              <w:ind w:right="1080"/>
              <w:spacing w:after="0"/>
              <w:rPr>
                <w:sz w:val="20"/>
                <w:szCs w:val="20"/>
                <w:color w:val="auto"/>
              </w:rPr>
            </w:pPr>
            <w:r>
              <w:rPr>
                <w:rFonts w:ascii="Times New Roman" w:cs="Times New Roman" w:eastAsia="Times New Roman" w:hAnsi="Times New Roman"/>
                <w:sz w:val="13"/>
                <w:szCs w:val="13"/>
                <w:color w:val="auto"/>
                <w:w w:val="98"/>
              </w:rPr>
              <w:t>Identification Number)</w:t>
            </w:r>
          </w:p>
        </w:tc>
      </w:tr>
      <w:tr>
        <w:trPr>
          <w:trHeight w:val="312"/>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206 E. 9th Street, Suite 1400, Austin, Texas 78701</w:t>
            </w: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3"/>
        </w:trPr>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0"/>
        </w:trPr>
        <w:tc>
          <w:tcPr>
            <w:tcW w:w="1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40" w:type="dxa"/>
            <w:vAlign w:val="bottom"/>
            <w:gridSpan w:val="5"/>
          </w:tcPr>
          <w:p>
            <w:pPr>
              <w:jc w:val="center"/>
              <w:ind w:right="120"/>
              <w:spacing w:after="0" w:line="91" w:lineRule="exact"/>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w:t>
            </w:r>
          </w:p>
        </w:tc>
        <w:tc>
          <w:tcPr>
            <w:tcW w:w="2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75"/>
        </w:trPr>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(888) 512-8906</w:t>
            </w:r>
          </w:p>
        </w:tc>
        <w:tc>
          <w:tcPr>
            <w:tcW w:w="2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10"/>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40" w:type="dxa"/>
            <w:vAlign w:val="bottom"/>
            <w:gridSpan w:val="5"/>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26"/>
        </w:trPr>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2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29"/>
        </w:trPr>
        <w:tc>
          <w:tcPr>
            <w:tcW w:w="1440" w:type="dxa"/>
            <w:vAlign w:val="bottom"/>
            <w:tcBorders>
              <w:left w:val="single" w:sz="8" w:color="auto"/>
            </w:tcBorders>
          </w:tcPr>
          <w:p>
            <w:pPr>
              <w:spacing w:after="0"/>
              <w:rPr>
                <w:sz w:val="11"/>
                <w:szCs w:val="11"/>
                <w:color w:val="auto"/>
              </w:rPr>
            </w:pPr>
          </w:p>
        </w:tc>
        <w:tc>
          <w:tcPr>
            <w:tcW w:w="1940" w:type="dxa"/>
            <w:vAlign w:val="bottom"/>
            <w:gridSpan w:val="2"/>
          </w:tcPr>
          <w:p>
            <w:pPr>
              <w:jc w:val="center"/>
              <w:ind w:right="1020"/>
              <w:spacing w:after="0" w:line="129" w:lineRule="exact"/>
              <w:rPr>
                <w:sz w:val="20"/>
                <w:szCs w:val="20"/>
                <w:color w:val="auto"/>
              </w:rPr>
            </w:pPr>
            <w:r>
              <w:rPr>
                <w:rFonts w:ascii="Times New Roman" w:cs="Times New Roman" w:eastAsia="Times New Roman" w:hAnsi="Times New Roman"/>
                <w:sz w:val="13"/>
                <w:szCs w:val="13"/>
                <w:color w:val="auto"/>
                <w:w w:val="97"/>
              </w:rPr>
              <w:t>Title of each class</w:t>
            </w:r>
          </w:p>
        </w:tc>
        <w:tc>
          <w:tcPr>
            <w:tcW w:w="42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2360" w:type="dxa"/>
            <w:vAlign w:val="bottom"/>
            <w:tcBorders>
              <w:right w:val="single" w:sz="8" w:color="auto"/>
            </w:tcBorders>
            <w:gridSpan w:val="2"/>
          </w:tcPr>
          <w:p>
            <w:pPr>
              <w:jc w:val="center"/>
              <w:ind w:right="1420"/>
              <w:spacing w:after="0" w:line="129" w:lineRule="exact"/>
              <w:rPr>
                <w:sz w:val="20"/>
                <w:szCs w:val="20"/>
                <w:color w:val="auto"/>
              </w:rPr>
            </w:pPr>
            <w:r>
              <w:rPr>
                <w:rFonts w:ascii="Times New Roman" w:cs="Times New Roman" w:eastAsia="Times New Roman" w:hAnsi="Times New Roman"/>
                <w:sz w:val="13"/>
                <w:szCs w:val="13"/>
                <w:color w:val="auto"/>
                <w:w w:val="97"/>
              </w:rPr>
              <w:t>Trading symbol(s)</w:t>
            </w:r>
          </w:p>
        </w:tc>
        <w:tc>
          <w:tcPr>
            <w:tcW w:w="480" w:type="dxa"/>
            <w:vAlign w:val="bottom"/>
          </w:tcPr>
          <w:p>
            <w:pPr>
              <w:spacing w:after="0"/>
              <w:rPr>
                <w:sz w:val="11"/>
                <w:szCs w:val="11"/>
                <w:color w:val="auto"/>
              </w:rPr>
            </w:pPr>
          </w:p>
        </w:tc>
        <w:tc>
          <w:tcPr>
            <w:tcW w:w="3280" w:type="dxa"/>
            <w:vAlign w:val="bottom"/>
            <w:tcBorders>
              <w:right w:val="single" w:sz="8" w:color="auto"/>
            </w:tcBorders>
            <w:gridSpan w:val="3"/>
          </w:tcPr>
          <w:p>
            <w:pPr>
              <w:jc w:val="center"/>
              <w:ind w:right="500"/>
              <w:spacing w:after="0" w:line="129" w:lineRule="exact"/>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14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48"/>
        </w:trPr>
        <w:tc>
          <w:tcPr>
            <w:tcW w:w="3380" w:type="dxa"/>
            <w:vAlign w:val="bottom"/>
            <w:tcBorders>
              <w:left w:val="single" w:sz="8" w:color="auto"/>
            </w:tcBorders>
            <w:gridSpan w:val="3"/>
          </w:tcPr>
          <w:p>
            <w:pPr>
              <w:jc w:val="center"/>
              <w:ind w:left="356"/>
              <w:spacing w:after="0" w:line="148" w:lineRule="exact"/>
              <w:rPr>
                <w:sz w:val="20"/>
                <w:szCs w:val="20"/>
                <w:color w:val="auto"/>
              </w:rPr>
            </w:pPr>
            <w:r>
              <w:rPr>
                <w:rFonts w:ascii="Times New Roman" w:cs="Times New Roman" w:eastAsia="Times New Roman" w:hAnsi="Times New Roman"/>
                <w:sz w:val="13"/>
                <w:szCs w:val="13"/>
                <w:color w:val="auto"/>
                <w:w w:val="97"/>
              </w:rPr>
              <w:t>Class A common stock, par value $0.0005 per share</w:t>
            </w:r>
          </w:p>
        </w:tc>
        <w:tc>
          <w:tcPr>
            <w:tcW w:w="420" w:type="dxa"/>
            <w:vAlign w:val="bottom"/>
            <w:tcBorders>
              <w:right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Borders>
              <w:right w:val="single" w:sz="8" w:color="auto"/>
            </w:tcBorders>
            <w:gridSpan w:val="2"/>
          </w:tcPr>
          <w:p>
            <w:pPr>
              <w:jc w:val="center"/>
              <w:ind w:right="1420"/>
              <w:spacing w:after="0" w:line="148" w:lineRule="exact"/>
              <w:rPr>
                <w:sz w:val="20"/>
                <w:szCs w:val="20"/>
                <w:color w:val="auto"/>
              </w:rPr>
            </w:pPr>
            <w:r>
              <w:rPr>
                <w:rFonts w:ascii="Times New Roman" w:cs="Times New Roman" w:eastAsia="Times New Roman" w:hAnsi="Times New Roman"/>
                <w:sz w:val="13"/>
                <w:szCs w:val="13"/>
                <w:color w:val="auto"/>
                <w:w w:val="97"/>
              </w:rPr>
              <w:t>CRWD</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tcBorders>
              <w:right w:val="single" w:sz="8" w:color="auto"/>
            </w:tcBorders>
            <w:gridSpan w:val="2"/>
          </w:tcPr>
          <w:p>
            <w:pPr>
              <w:jc w:val="center"/>
              <w:ind w:right="760"/>
              <w:spacing w:after="0" w:line="148" w:lineRule="exact"/>
              <w:rPr>
                <w:sz w:val="20"/>
                <w:szCs w:val="20"/>
                <w:color w:val="auto"/>
              </w:rPr>
            </w:pPr>
            <w:r>
              <w:rPr>
                <w:rFonts w:ascii="Times New Roman" w:cs="Times New Roman" w:eastAsia="Times New Roman" w:hAnsi="Times New Roman"/>
                <w:sz w:val="13"/>
                <w:szCs w:val="13"/>
                <w:color w:val="auto"/>
                <w:w w:val="98"/>
              </w:rPr>
              <w:t>The Nasdaq Stock Market LLC</w:t>
            </w:r>
          </w:p>
        </w:tc>
      </w:tr>
      <w:tr>
        <w:trPr>
          <w:trHeight w:val="191"/>
        </w:trPr>
        <w:tc>
          <w:tcPr>
            <w:tcW w:w="1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3"/>
                <w:szCs w:val="13"/>
                <w:color w:val="auto"/>
                <w:w w:val="97"/>
              </w:rPr>
              <w:t>(Nasdaq Global Select Market)</w:t>
            </w:r>
          </w:p>
        </w:tc>
      </w:tr>
      <w:tr>
        <w:trPr>
          <w:trHeight w:val="36"/>
        </w:trPr>
        <w:tc>
          <w:tcPr>
            <w:tcW w:w="14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4"/>
          <w:szCs w:val="24"/>
          <w:color w:val="auto"/>
        </w:rPr>
      </w:pPr>
    </w:p>
    <w:p>
      <w:pPr>
        <w:ind w:right="380" w:firstLine="509"/>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ind w:right="380" w:firstLine="509"/>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80" w:firstLine="509"/>
        <w:spacing w:after="0" w:line="27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large 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smaller reporting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emerging growth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in Rule 12b-2 of the Exchange Act.</w:t>
      </w:r>
    </w:p>
    <w:p>
      <w:pPr>
        <w:spacing w:after="0" w:line="1" w:lineRule="exact"/>
        <w:rPr>
          <w:sz w:val="24"/>
          <w:szCs w:val="24"/>
          <w:color w:val="auto"/>
        </w:rPr>
      </w:pPr>
    </w:p>
    <w:tbl>
      <w:tblPr>
        <w:tblLayout w:type="fixed"/>
        <w:tblInd w:w="2060" w:type="dxa"/>
        <w:tblCellMar>
          <w:top w:w="0" w:type="dxa"/>
          <w:left w:w="0" w:type="dxa"/>
          <w:bottom w:w="0" w:type="dxa"/>
          <w:right w:w="0" w:type="dxa"/>
        </w:tblCellMar>
      </w:tblPr>
      <w:tr>
        <w:trPr>
          <w:trHeight w:val="188"/>
        </w:trPr>
        <w:tc>
          <w:tcPr>
            <w:tcW w:w="2240" w:type="dxa"/>
            <w:vAlign w:val="bottom"/>
          </w:tcPr>
          <w:p>
            <w:pPr>
              <w:jc w:val="center"/>
              <w:ind w:right="976"/>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218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240" w:type="dxa"/>
            <w:vAlign w:val="bottom"/>
          </w:tcPr>
          <w:p>
            <w:pPr>
              <w:jc w:val="center"/>
              <w:ind w:right="976"/>
              <w:spacing w:after="0"/>
              <w:rPr>
                <w:sz w:val="20"/>
                <w:szCs w:val="20"/>
                <w:color w:val="auto"/>
              </w:rPr>
            </w:pPr>
            <w:r>
              <w:rPr>
                <w:rFonts w:ascii="Times New Roman" w:cs="Times New Roman" w:eastAsia="Times New Roman" w:hAnsi="Times New Roman"/>
                <w:sz w:val="13"/>
                <w:szCs w:val="13"/>
                <w:color w:val="auto"/>
                <w:w w:val="99"/>
              </w:rPr>
              <w:t>Non-accelerated Filer</w:t>
            </w:r>
          </w:p>
        </w:tc>
        <w:tc>
          <w:tcPr>
            <w:tcW w:w="218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8"/>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w w:val="96"/>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7" w:lineRule="exact"/>
        <w:rPr>
          <w:sz w:val="24"/>
          <w:szCs w:val="24"/>
          <w:color w:val="auto"/>
        </w:rPr>
      </w:pPr>
    </w:p>
    <w:p>
      <w:pPr>
        <w:ind w:right="360" w:firstLine="509"/>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 w:lineRule="exact"/>
        <w:rPr>
          <w:sz w:val="24"/>
          <w:szCs w:val="24"/>
          <w:color w:val="auto"/>
        </w:rPr>
      </w:pPr>
    </w:p>
    <w:p>
      <w:pPr>
        <w:ind w:left="520"/>
        <w:spacing w:after="0" w:line="150" w:lineRule="exact"/>
        <w:tabs>
          <w:tab w:leader="none" w:pos="66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2"/>
          <w:szCs w:val="12"/>
          <w:color w:val="auto"/>
        </w:rPr>
        <w:t>No</w:t>
      </w:r>
      <w:r>
        <w:rPr>
          <w:rFonts w:ascii="MS PGothic" w:cs="MS PGothic" w:eastAsia="MS PGothic" w:hAnsi="MS PGothic"/>
          <w:sz w:val="14"/>
          <w:szCs w:val="14"/>
          <w:color w:val="auto"/>
        </w:rPr>
        <w:t xml:space="preserve">  ☑</w:t>
      </w:r>
    </w:p>
    <w:p>
      <w:pPr>
        <w:spacing w:after="0" w:line="11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2"/>
          <w:szCs w:val="12"/>
          <w:color w:val="auto"/>
        </w:rPr>
        <w:t>As of May 30, 2024, the number of shares of the registrant’s Class A common stock outstanding was 230,883,142, and the number of shares of the registrant’s Class B common stock outstanding was 12,477,497.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Page No.</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gridSpan w:val="9"/>
          </w:tcPr>
          <w:p>
            <w:pPr>
              <w:jc w:val="center"/>
              <w:ind w:right="1420"/>
              <w:spacing w:after="0"/>
              <w:rPr>
                <w:sz w:val="20"/>
                <w:szCs w:val="20"/>
                <w:color w:val="auto"/>
              </w:rPr>
            </w:pPr>
            <w:r>
              <w:rPr>
                <w:rFonts w:ascii="Times New Roman" w:cs="Times New Roman" w:eastAsia="Times New Roman" w:hAnsi="Times New Roman"/>
                <w:sz w:val="14"/>
                <w:szCs w:val="14"/>
                <w:color w:val="0000FF"/>
              </w:rPr>
              <w:t>PART I. FINANCIAL INFORMATION</w:t>
            </w:r>
          </w:p>
        </w:tc>
        <w:tc>
          <w:tcPr>
            <w:tcW w:w="3080" w:type="dxa"/>
            <w:vAlign w:val="bottom"/>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1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1.</w:t>
            </w:r>
          </w:p>
        </w:tc>
        <w:tc>
          <w:tcPr>
            <w:tcW w:w="100" w:type="dxa"/>
            <w:vAlign w:val="bottom"/>
            <w:shd w:val="clear" w:color="auto" w:fill="CCEEFF"/>
          </w:tcPr>
          <w:p>
            <w:pPr>
              <w:spacing w:after="0"/>
              <w:rPr>
                <w:sz w:val="12"/>
                <w:szCs w:val="12"/>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3080" w:type="dxa"/>
            <w:vAlign w:val="bottom"/>
            <w:shd w:val="clear" w:color="auto" w:fill="CCEEFF"/>
          </w:tcPr>
          <w:p>
            <w:pPr>
              <w:spacing w:after="0"/>
              <w:rPr>
                <w:sz w:val="12"/>
                <w:szCs w:val="12"/>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Balance Sheets as of April 30, 2024 and January 31, 2024</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85"/>
              </w:rPr>
              <w:t>6</w:t>
            </w: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Operations for the Three Months Ended April 30, 2024 and April 30, 2023</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85"/>
              </w:rPr>
              <w:t>7</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Months Ended April 30, 2024 and April 30, 2023</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85"/>
              </w:rPr>
              <w:t>8</w:t>
            </w: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8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Months Ended April 30, 2024 and April 30, 2023</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85"/>
              </w:rPr>
              <w:t>9</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Three Months Ended April 30, 2024 and April 30, 2023</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10</w:t>
            </w: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11</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28</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3.</w:t>
            </w:r>
          </w:p>
        </w:tc>
        <w:tc>
          <w:tcPr>
            <w:tcW w:w="100" w:type="dxa"/>
            <w:vAlign w:val="bottom"/>
            <w:shd w:val="clear" w:color="auto" w:fill="CCEEFF"/>
          </w:tcPr>
          <w:p>
            <w:pPr>
              <w:spacing w:after="0"/>
              <w:rPr>
                <w:sz w:val="12"/>
                <w:szCs w:val="12"/>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40</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100" w:type="dxa"/>
            <w:vAlign w:val="bottom"/>
          </w:tcPr>
          <w:p>
            <w:pPr>
              <w:spacing w:after="0"/>
              <w:rPr>
                <w:sz w:val="12"/>
                <w:szCs w:val="12"/>
                <w:color w:val="auto"/>
              </w:rPr>
            </w:pP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40</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80" w:type="dxa"/>
            <w:vAlign w:val="bottom"/>
            <w:gridSpan w:val="8"/>
          </w:tcPr>
          <w:p>
            <w:pPr>
              <w:jc w:val="center"/>
              <w:ind w:right="1560"/>
              <w:spacing w:after="0" w:line="149" w:lineRule="exact"/>
              <w:rPr>
                <w:sz w:val="20"/>
                <w:szCs w:val="20"/>
                <w:color w:val="auto"/>
              </w:rPr>
            </w:pPr>
            <w:r>
              <w:rPr>
                <w:rFonts w:ascii="Times New Roman" w:cs="Times New Roman" w:eastAsia="Times New Roman" w:hAnsi="Times New Roman"/>
                <w:sz w:val="14"/>
                <w:szCs w:val="14"/>
                <w:color w:val="0000FF"/>
                <w:w w:val="99"/>
              </w:rPr>
              <w:t>PART II. OTHER INFORMATION</w:t>
            </w:r>
          </w:p>
        </w:tc>
        <w:tc>
          <w:tcPr>
            <w:tcW w:w="308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41</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6"/>
              </w:rPr>
              <w:t>Item 1A.</w:t>
            </w: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41</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Unregistered Shares of Equity Securities and Use of Proceeds</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73</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3.</w:t>
            </w:r>
          </w:p>
        </w:tc>
        <w:tc>
          <w:tcPr>
            <w:tcW w:w="100" w:type="dxa"/>
            <w:vAlign w:val="bottom"/>
            <w:shd w:val="clear" w:color="auto" w:fill="CCEEFF"/>
          </w:tcPr>
          <w:p>
            <w:pPr>
              <w:spacing w:after="0"/>
              <w:rPr>
                <w:sz w:val="12"/>
                <w:szCs w:val="12"/>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73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100" w:type="dxa"/>
            <w:vAlign w:val="bottom"/>
          </w:tcPr>
          <w:p>
            <w:pPr>
              <w:spacing w:after="0"/>
              <w:rPr>
                <w:sz w:val="12"/>
                <w:szCs w:val="12"/>
                <w:color w:val="auto"/>
              </w:rPr>
            </w:pP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73</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5.</w:t>
            </w:r>
          </w:p>
        </w:tc>
        <w:tc>
          <w:tcPr>
            <w:tcW w:w="100" w:type="dxa"/>
            <w:vAlign w:val="bottom"/>
            <w:shd w:val="clear" w:color="auto" w:fill="CCEEFF"/>
          </w:tcPr>
          <w:p>
            <w:pPr>
              <w:spacing w:after="0"/>
              <w:rPr>
                <w:sz w:val="12"/>
                <w:szCs w:val="12"/>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73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5"/>
              </w:rPr>
              <w:t>Item 6.</w:t>
            </w:r>
          </w:p>
        </w:tc>
        <w:tc>
          <w:tcPr>
            <w:tcW w:w="100" w:type="dxa"/>
            <w:vAlign w:val="bottom"/>
          </w:tcPr>
          <w:p>
            <w:pPr>
              <w:spacing w:after="0"/>
              <w:rPr>
                <w:sz w:val="12"/>
                <w:szCs w:val="12"/>
                <w:color w:val="auto"/>
              </w:rPr>
            </w:pPr>
          </w:p>
        </w:tc>
        <w:tc>
          <w:tcPr>
            <w:tcW w:w="7680" w:type="dxa"/>
            <w:vAlign w:val="bottom"/>
            <w:gridSpan w:val="21"/>
          </w:tcPr>
          <w:p>
            <w:pPr>
              <w:ind w:left="480"/>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3080" w:type="dxa"/>
            <w:vAlign w:val="bottom"/>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73</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182"/>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gridSpan w:val="21"/>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3080" w:type="dxa"/>
            <w:vAlign w:val="bottom"/>
            <w:shd w:val="clear" w:color="auto" w:fill="CCEEFF"/>
          </w:tcPr>
          <w:p>
            <w:pPr>
              <w:jc w:val="center"/>
              <w:ind w:left="2030"/>
              <w:spacing w:after="0" w:line="149" w:lineRule="exact"/>
              <w:rPr>
                <w:sz w:val="20"/>
                <w:szCs w:val="20"/>
                <w:color w:val="auto"/>
              </w:rPr>
            </w:pPr>
            <w:r>
              <w:rPr>
                <w:rFonts w:ascii="Times New Roman" w:cs="Times New Roman" w:eastAsia="Times New Roman" w:hAnsi="Times New Roman"/>
                <w:sz w:val="14"/>
                <w:szCs w:val="14"/>
                <w:color w:val="auto"/>
                <w:w w:val="99"/>
              </w:rPr>
              <w:t>75</w:t>
            </w:r>
          </w:p>
        </w:tc>
      </w:tr>
      <w:tr>
        <w:trPr>
          <w:trHeight w:val="901"/>
        </w:trPr>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120" w:type="dxa"/>
            <w:vAlign w:val="bottom"/>
            <w:tcBorders>
              <w:top w:val="single" w:sz="8" w:color="CCEEFF"/>
            </w:tcBorders>
            <w:gridSpan w:val="11"/>
          </w:tcPr>
          <w:p>
            <w:pPr>
              <w:jc w:val="center"/>
              <w:ind w:left="3889"/>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forward-looking statements include, but are not limited to, statements concerning the following:</w:t>
      </w:r>
    </w:p>
    <w:p>
      <w:pPr>
        <w:spacing w:after="0" w:line="179" w:lineRule="exact"/>
        <w:rPr>
          <w:sz w:val="20"/>
          <w:szCs w:val="20"/>
          <w:color w:val="auto"/>
        </w:rPr>
      </w:pPr>
    </w:p>
    <w:p>
      <w:pPr>
        <w:ind w:left="900" w:right="100" w:hanging="259"/>
        <w:spacing w:after="0" w:line="287" w:lineRule="auto"/>
        <w:tabs>
          <w:tab w:leader="none" w:pos="8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cloud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in our markets and our ability to compete effectively;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security and availability of our cloud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expand our customer base, including by attracting new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solutions, or enhancements to our existing solutions, and bring them to market in a timely manner;</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growth rates and challenges in our business and in the markets in which we operate;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 and our ability to effectively manage our growth and associated investments;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beliefs and objectives for future operations;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third parties, including channel partners and technology alliance partners;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 rights;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defend litigation brought against us;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in our existing markets and into new markets;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cash and cash equivalents to meet cash needs for at least the next 12 months;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developments relating to our valuation allowances for our deferred tax assets;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that currently apply or become applicable to our business both in the United States and internationally;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maintain, and improve our internal control over financial reporting;</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factors, including inflation and instability in the global credit and financial markets;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close and integrate acquisitions to contribute to our growth objectives;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attraction and retention of qualified employees and key personnel.</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4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36" w:lineRule="exact"/>
        <w:rPr>
          <w:sz w:val="20"/>
          <w:szCs w:val="20"/>
          <w:color w:val="auto"/>
        </w:rPr>
      </w:pPr>
    </w:p>
    <w:p>
      <w:pPr>
        <w:ind w:left="900" w:hanging="259"/>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rapid growth in recent periods, and if we do not manage our future growth, our business and results of operations will be adversely affected.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and while we have achieved profitability in quarterly periods, we may not be able to achieve or sustain profitability in the future.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organizations do not adopt cloud-based SaaS-delivered endpoint security solutions, our ability to grow our business and results of operations may be adversely affected.</w:t>
      </w:r>
    </w:p>
    <w:p>
      <w:pPr>
        <w:spacing w:after="0" w:line="178" w:lineRule="exact"/>
        <w:rPr>
          <w:rFonts w:ascii="Times New Roman" w:cs="Times New Roman" w:eastAsia="Times New Roman" w:hAnsi="Times New Roman"/>
          <w:sz w:val="14"/>
          <w:szCs w:val="14"/>
          <w:color w:val="auto"/>
        </w:rPr>
      </w:pPr>
    </w:p>
    <w:p>
      <w:pPr>
        <w:ind w:left="900" w:right="640" w:hanging="259"/>
        <w:spacing w:after="0" w:line="287"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customers, our future results of operations could be harmed.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customers do not renew their subscriptions for our products and add additional cloud modules to their subscriptions, our future results of operations could be harmed.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cycles can be long and unpredictable, and our sales efforts require considerable time and expense,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intense competition and could lose market share to our competitors, which could adversely affect our business, financial condition, and results of operations.</w:t>
      </w:r>
    </w:p>
    <w:p>
      <w:pPr>
        <w:spacing w:after="0" w:line="178" w:lineRule="exact"/>
        <w:rPr>
          <w:rFonts w:ascii="Times New Roman" w:cs="Times New Roman" w:eastAsia="Times New Roman" w:hAnsi="Times New Roman"/>
          <w:sz w:val="14"/>
          <w:szCs w:val="14"/>
          <w:color w:val="auto"/>
        </w:rPr>
      </w:pPr>
    </w:p>
    <w:p>
      <w:pPr>
        <w:ind w:left="900" w:right="20" w:hanging="259"/>
        <w:spacing w:after="0" w:line="287"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24"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24"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data centers, such as Amazon Web Services, and our own colocation data centers, to host and operate our Falcon platform, and any disruption of or interference with our use of these facilities may</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negatively affect our ability to maintain the performance and reliability of our Falcon platform, which could cause our business to suffer.</w:t>
      </w:r>
    </w:p>
    <w:p>
      <w:pPr>
        <w:spacing w:after="0" w:line="179" w:lineRule="exact"/>
        <w:rPr>
          <w:sz w:val="20"/>
          <w:szCs w:val="20"/>
          <w:color w:val="auto"/>
        </w:rPr>
      </w:pPr>
    </w:p>
    <w:p>
      <w:pPr>
        <w:ind w:left="900" w:hanging="259"/>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key technical, sales and management personnel to grow our business, and the loss of one or more key employees could harm our business.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qualified personnel, our business could be harmed.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fluctuate significantly, which could make our future results difficult to predict and could cause our results of operations to fall below expectations.</w:t>
      </w:r>
    </w:p>
    <w:p>
      <w:pPr>
        <w:spacing w:after="0" w:line="178" w:lineRule="exact"/>
        <w:rPr>
          <w:rFonts w:ascii="Times New Roman" w:cs="Times New Roman" w:eastAsia="Times New Roman" w:hAnsi="Times New Roman"/>
          <w:sz w:val="14"/>
          <w:szCs w:val="14"/>
          <w:color w:val="auto"/>
        </w:rPr>
      </w:pPr>
    </w:p>
    <w:p>
      <w:pPr>
        <w:ind w:left="900" w:right="380" w:hanging="259"/>
        <w:spacing w:after="0" w:line="287" w:lineRule="auto"/>
        <w:tabs>
          <w:tab w:leader="none" w:pos="8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24" w:lineRule="exact"/>
        <w:rPr>
          <w:rFonts w:ascii="Times New Roman" w:cs="Times New Roman" w:eastAsia="Times New Roman" w:hAnsi="Times New Roman"/>
          <w:sz w:val="14"/>
          <w:szCs w:val="14"/>
          <w:color w:val="auto"/>
        </w:rPr>
      </w:pPr>
    </w:p>
    <w:p>
      <w:pPr>
        <w:ind w:left="900" w:right="40" w:hanging="259"/>
        <w:spacing w:after="0" w:line="287" w:lineRule="auto"/>
        <w:tabs>
          <w:tab w:leader="none" w:pos="8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24"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CrowdStrike Holdings,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April 30,</w:t>
            </w:r>
          </w:p>
        </w:tc>
        <w:tc>
          <w:tcPr>
            <w:tcW w:w="260" w:type="dxa"/>
            <w:vAlign w:val="bottom"/>
          </w:tcPr>
          <w:p>
            <w:pPr>
              <w:spacing w:after="0"/>
              <w:rPr>
                <w:sz w:val="12"/>
                <w:szCs w:val="12"/>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3,702,437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3,375,069</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Short-term investments</w:t>
            </w:r>
          </w:p>
        </w:tc>
        <w:tc>
          <w:tcPr>
            <w:tcW w:w="3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99,591</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$2.1 million and $2.2 million as of April 30, 2024 and January 31, 2024, respectively</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702,856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853,105</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contract acquisition costs, current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246,370</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191,678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183,172</w:t>
            </w:r>
          </w:p>
        </w:tc>
        <w:tc>
          <w:tcPr>
            <w:tcW w:w="0" w:type="dxa"/>
            <w:vAlign w:val="bottom"/>
          </w:tcPr>
          <w:p>
            <w:pPr>
              <w:spacing w:after="0"/>
              <w:rPr>
                <w:sz w:val="1"/>
                <w:szCs w:val="1"/>
                <w:color w:val="auto"/>
              </w:rPr>
            </w:pPr>
          </w:p>
        </w:tc>
      </w:tr>
      <w:tr>
        <w:trPr>
          <w:trHeight w:val="160"/>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current assets</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4,841,622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4,757,307</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Strategic investments</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56,244</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627,381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620,172</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48,211</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contract acquisition costs, noncurrent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335,933</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721,973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638,041</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114,518</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assets</w:t>
            </w: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76,094</w:t>
            </w:r>
          </w:p>
        </w:tc>
        <w:tc>
          <w:tcPr>
            <w:tcW w:w="0" w:type="dxa"/>
            <w:vAlign w:val="bottom"/>
          </w:tcPr>
          <w:p>
            <w:pPr>
              <w:spacing w:after="0"/>
              <w:rPr>
                <w:sz w:val="1"/>
                <w:szCs w:val="1"/>
                <w:color w:val="auto"/>
              </w:rPr>
            </w:pPr>
          </w:p>
        </w:tc>
      </w:tr>
      <w:tr>
        <w:trPr>
          <w:trHeight w:val="16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6,841,985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6,646,520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1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payable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28,180</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Accrued expenses</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125,896</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Accrued payroll and benefits</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234,624</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Operating lease liabilities, current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14,150</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revenue</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2,309,329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2,270,757</w:t>
            </w:r>
          </w:p>
        </w:tc>
        <w:tc>
          <w:tcPr>
            <w:tcW w:w="0" w:type="dxa"/>
            <w:vAlign w:val="bottom"/>
          </w:tcPr>
          <w:p>
            <w:pPr>
              <w:spacing w:after="0"/>
              <w:rPr>
                <w:sz w:val="1"/>
                <w:szCs w:val="1"/>
                <w:color w:val="auto"/>
              </w:rPr>
            </w:pPr>
          </w:p>
        </w:tc>
      </w:tr>
      <w:tr>
        <w:trPr>
          <w:trHeight w:val="168"/>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18,227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23,672</w:t>
            </w:r>
          </w:p>
        </w:tc>
        <w:tc>
          <w:tcPr>
            <w:tcW w:w="0" w:type="dxa"/>
            <w:vAlign w:val="bottom"/>
          </w:tcPr>
          <w:p>
            <w:pPr>
              <w:spacing w:after="0"/>
              <w:rPr>
                <w:sz w:val="1"/>
                <w:szCs w:val="1"/>
                <w:color w:val="auto"/>
              </w:rPr>
            </w:pPr>
          </w:p>
        </w:tc>
      </w:tr>
      <w:tr>
        <w:trPr>
          <w:trHeight w:val="1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2,683,686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2,697,279</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742,866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742,494</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noncurrent</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760,050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783,342</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noncurrent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36,230</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 noncurrent</w:t>
            </w: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52,511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50,086</w:t>
            </w:r>
          </w:p>
        </w:tc>
        <w:tc>
          <w:tcPr>
            <w:tcW w:w="0" w:type="dxa"/>
            <w:vAlign w:val="bottom"/>
          </w:tcPr>
          <w:p>
            <w:pPr>
              <w:spacing w:after="0"/>
              <w:rPr>
                <w:sz w:val="1"/>
                <w:szCs w:val="1"/>
                <w:color w:val="auto"/>
              </w:rPr>
            </w:pPr>
          </w:p>
        </w:tc>
      </w:tr>
      <w:tr>
        <w:trPr>
          <w:trHeight w:val="16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liabilities</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4,273,203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4,309,431</w:t>
            </w: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8)</w:t>
            </w: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818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Preferred stock, $0.0005 par value; 100,000 shares authorized as of April 30, 2024 and January 31, 2024; no shares issued and outstanding as of April 30, 2024 and January 31,</w:t>
            </w:r>
          </w:p>
        </w:tc>
        <w:tc>
          <w:tcPr>
            <w:tcW w:w="300" w:type="dxa"/>
            <w:vAlign w:val="bottom"/>
            <w:shd w:val="clear" w:color="auto" w:fill="CCEEFF"/>
          </w:tcPr>
          <w:p>
            <w:pPr>
              <w:spacing w:after="0"/>
              <w:rPr>
                <w:sz w:val="9"/>
                <w:szCs w:val="9"/>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2024.</w:t>
            </w:r>
          </w:p>
        </w:tc>
        <w:tc>
          <w:tcPr>
            <w:tcW w:w="30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18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Class A common stock, $0.0005 par value; 2,000,000 shares authorized as of April 30, 2024 and January 31, 2024; 230,676 shares and 229,380 shares issued and outstanding as of</w:t>
            </w: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1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April 30, 2024 and January 31, 2024, respectively; Class B common stock, $0.0005 par value; 300,000 shares authorized as of April 30, 2024 and January 31, 2024; 12,508 shares</w:t>
            </w:r>
          </w:p>
        </w:tc>
        <w:tc>
          <w:tcPr>
            <w:tcW w:w="3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and 12,485 shares issued and outstanding as of April 30, 2024 and January 31, 2024, respectively.</w:t>
            </w: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3,556,194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3,364,328</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Accumulated deficit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(1,016,016)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(1,058,836)</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0" w:type="dxa"/>
            <w:vAlign w:val="bottom"/>
          </w:tcPr>
          <w:p>
            <w:pPr>
              <w:spacing w:after="0"/>
              <w:rPr>
                <w:sz w:val="1"/>
                <w:szCs w:val="1"/>
                <w:color w:val="auto"/>
              </w:rPr>
            </w:pPr>
          </w:p>
        </w:tc>
      </w:tr>
      <w:tr>
        <w:trPr>
          <w:trHeight w:val="160"/>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CrowdStrike Holdings, Inc. stockholders’ equity</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2,535,540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2,303,950</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Non-controlling interest</w:t>
            </w: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33,139</w:t>
            </w:r>
          </w:p>
        </w:tc>
        <w:tc>
          <w:tcPr>
            <w:tcW w:w="0" w:type="dxa"/>
            <w:vAlign w:val="bottom"/>
          </w:tcPr>
          <w:p>
            <w:pPr>
              <w:spacing w:after="0"/>
              <w:rPr>
                <w:sz w:val="1"/>
                <w:szCs w:val="1"/>
                <w:color w:val="auto"/>
              </w:rPr>
            </w:pPr>
          </w:p>
        </w:tc>
      </w:tr>
      <w:tr>
        <w:trPr>
          <w:trHeight w:val="16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2,568,782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2,337,089</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6,841,985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6,646,520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r>
      <w:tr>
        <w:trPr>
          <w:trHeight w:val="161"/>
        </w:trPr>
        <w:tc>
          <w:tcPr>
            <w:tcW w:w="8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r>
      <w:tr>
        <w:trPr>
          <w:trHeight w:val="16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0"/>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94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872,172</w:t>
            </w:r>
          </w:p>
        </w:tc>
        <w:tc>
          <w:tcPr>
            <w:tcW w:w="80" w:type="dxa"/>
            <w:vAlign w:val="bottom"/>
          </w:tcPr>
          <w:p>
            <w:pPr>
              <w:spacing w:after="0"/>
              <w:rPr>
                <w:sz w:val="15"/>
                <w:szCs w:val="15"/>
                <w:color w:val="auto"/>
              </w:rPr>
            </w:pPr>
          </w:p>
        </w:tc>
        <w:tc>
          <w:tcPr>
            <w:tcW w:w="94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651,175</w:t>
            </w:r>
          </w:p>
        </w:tc>
      </w:tr>
      <w:tr>
        <w:trPr>
          <w:trHeight w:val="180"/>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48,864</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41,405</w:t>
            </w:r>
          </w:p>
        </w:tc>
      </w:tr>
      <w:tr>
        <w:trPr>
          <w:trHeight w:val="171"/>
        </w:trPr>
        <w:tc>
          <w:tcPr>
            <w:tcW w:w="8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921,036</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692,580</w:t>
            </w:r>
          </w:p>
        </w:tc>
      </w:tr>
      <w:tr>
        <w:trPr>
          <w:trHeight w:val="192"/>
        </w:trPr>
        <w:tc>
          <w:tcPr>
            <w:tcW w:w="8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0"/>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142,100</w:t>
            </w:r>
          </w:p>
        </w:tc>
      </w:tr>
      <w:tr>
        <w:trPr>
          <w:trHeight w:val="180"/>
        </w:trPr>
        <w:tc>
          <w:tcPr>
            <w:tcW w:w="8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35,346</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27,130</w:t>
            </w:r>
          </w:p>
        </w:tc>
      </w:tr>
      <w:tr>
        <w:trPr>
          <w:trHeight w:val="171"/>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cost of revenue</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225,003</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169,230</w:t>
            </w:r>
          </w:p>
        </w:tc>
      </w:tr>
      <w:tr>
        <w:trPr>
          <w:trHeight w:val="192"/>
        </w:trPr>
        <w:tc>
          <w:tcPr>
            <w:tcW w:w="8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696,033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523,350</w:t>
            </w:r>
          </w:p>
        </w:tc>
      </w:tr>
      <w:tr>
        <w:trPr>
          <w:trHeight w:val="212"/>
        </w:trPr>
        <w:tc>
          <w:tcPr>
            <w:tcW w:w="8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350,114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281,107</w:t>
            </w:r>
          </w:p>
        </w:tc>
      </w:tr>
      <w:tr>
        <w:trPr>
          <w:trHeight w:val="180"/>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235,249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179,065</w:t>
            </w:r>
          </w:p>
        </w:tc>
      </w:tr>
      <w:tr>
        <w:trPr>
          <w:trHeight w:val="180"/>
        </w:trPr>
        <w:tc>
          <w:tcPr>
            <w:tcW w:w="8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103,734</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82,634</w:t>
            </w:r>
          </w:p>
        </w:tc>
      </w:tr>
      <w:tr>
        <w:trPr>
          <w:trHeight w:val="171"/>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689,097</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542,806</w:t>
            </w:r>
          </w:p>
        </w:tc>
      </w:tr>
      <w:tr>
        <w:trPr>
          <w:trHeight w:val="192"/>
        </w:trPr>
        <w:tc>
          <w:tcPr>
            <w:tcW w:w="8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(19,456)</w:t>
            </w:r>
          </w:p>
        </w:tc>
      </w:tr>
      <w:tr>
        <w:trPr>
          <w:trHeight w:val="180"/>
        </w:trPr>
        <w:tc>
          <w:tcPr>
            <w:tcW w:w="8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(6,387)</w:t>
            </w:r>
          </w:p>
        </w:tc>
      </w:tr>
      <w:tr>
        <w:trPr>
          <w:trHeight w:val="180"/>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30,521</w:t>
            </w:r>
          </w:p>
        </w:tc>
      </w:tr>
      <w:tr>
        <w:trPr>
          <w:trHeight w:val="180"/>
        </w:trPr>
        <w:tc>
          <w:tcPr>
            <w:tcW w:w="8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7,656</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192"/>
        </w:trPr>
        <w:tc>
          <w:tcPr>
            <w:tcW w:w="8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0"/>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w:t>
            </w:r>
          </w:p>
        </w:tc>
      </w:tr>
      <w:tr>
        <w:trPr>
          <w:trHeight w:val="212"/>
        </w:trPr>
        <w:tc>
          <w:tcPr>
            <w:tcW w:w="8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80"/>
        </w:trPr>
        <w:tc>
          <w:tcPr>
            <w:tcW w:w="8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w:t>
            </w:r>
          </w:p>
        </w:tc>
      </w:tr>
      <w:tr>
        <w:trPr>
          <w:trHeight w:val="192"/>
        </w:trPr>
        <w:tc>
          <w:tcPr>
            <w:tcW w:w="8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0"/>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8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CrowdStrike</w:t>
            </w:r>
          </w:p>
        </w:tc>
        <w:tc>
          <w:tcPr>
            <w:tcW w:w="9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42,820</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3"/>
        </w:trPr>
        <w:tc>
          <w:tcPr>
            <w:tcW w:w="8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Net income per share attributable to CrowdStrike common stockholders: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5"/>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14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940" w:type="dxa"/>
            <w:vAlign w:val="bottom"/>
            <w:tcBorders>
              <w:bottom w:val="single" w:sz="8" w:color="auto"/>
            </w:tcBorders>
          </w:tcPr>
          <w:p>
            <w:pPr>
              <w:jc w:val="right"/>
              <w:ind w:right="79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0.17</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ind w:right="771"/>
              <w:spacing w:after="0" w:line="143"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3"/>
        </w:trPr>
        <w:tc>
          <w:tcPr>
            <w:tcW w:w="8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income per share attributable to CrowdStrike common stockholders: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242,389</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236,414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14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250,164</w:t>
            </w:r>
          </w:p>
        </w:tc>
        <w:tc>
          <w:tcPr>
            <w:tcW w:w="80" w:type="dxa"/>
            <w:vAlign w:val="bottom"/>
          </w:tcPr>
          <w:p>
            <w:pPr>
              <w:spacing w:after="0"/>
              <w:rPr>
                <w:sz w:val="12"/>
                <w:szCs w:val="12"/>
                <w:color w:val="auto"/>
              </w:rPr>
            </w:pPr>
          </w:p>
        </w:tc>
        <w:tc>
          <w:tcPr>
            <w:tcW w:w="1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240,598</w:t>
            </w:r>
          </w:p>
        </w:tc>
      </w:tr>
      <w:tr>
        <w:trPr>
          <w:trHeight w:val="20"/>
        </w:trPr>
        <w:tc>
          <w:tcPr>
            <w:tcW w:w="8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500" w:type="dxa"/>
            <w:vAlign w:val="bottom"/>
            <w:tcBorders>
              <w:bottom w:val="single" w:sz="8" w:color="auto"/>
            </w:tcBorders>
          </w:tcPr>
          <w:p>
            <w:pPr>
              <w:spacing w:after="0"/>
              <w:rPr>
                <w:sz w:val="14"/>
                <w:szCs w:val="14"/>
                <w:color w:val="auto"/>
              </w:rPr>
            </w:pPr>
          </w:p>
        </w:tc>
      </w:tr>
      <w:tr>
        <w:trPr>
          <w:trHeight w:val="161"/>
        </w:trPr>
        <w:tc>
          <w:tcPr>
            <w:tcW w:w="8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r>
      <w:tr>
        <w:trPr>
          <w:trHeight w:val="18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Unrealized loss on short-term investments, net of tax</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r>
      <w:tr>
        <w:trPr>
          <w:trHeight w:val="171"/>
        </w:trPr>
        <w:tc>
          <w:tcPr>
            <w:tcW w:w="8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6"/>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comprehensive income attributable to CrowdStrike</w:t>
            </w: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39,723</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spacing w:after="0" w:line="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1"/>
          <w:szCs w:val="11"/>
          <w:b w:val="1"/>
          <w:bCs w:val="1"/>
          <w:color w:val="auto"/>
        </w:rPr>
        <w:t>Three Months Ended April 30, 2024 and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80" w:type="dxa"/>
            <w:vAlign w:val="bottom"/>
          </w:tcPr>
          <w:p>
            <w:pPr>
              <w:spacing w:after="0"/>
              <w:rPr>
                <w:sz w:val="12"/>
                <w:szCs w:val="12"/>
                <w:color w:val="auto"/>
              </w:rPr>
            </w:pPr>
          </w:p>
        </w:tc>
        <w:tc>
          <w:tcPr>
            <w:tcW w:w="17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Non-controlling</w:t>
            </w:r>
          </w:p>
        </w:tc>
        <w:tc>
          <w:tcPr>
            <w:tcW w:w="100" w:type="dxa"/>
            <w:vAlign w:val="bottom"/>
          </w:tcPr>
          <w:p>
            <w:pPr>
              <w:spacing w:after="0"/>
              <w:rPr>
                <w:sz w:val="12"/>
                <w:szCs w:val="12"/>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w w:val="97"/>
              </w:rPr>
              <w:t>Total Stockholders’</w:t>
            </w:r>
          </w:p>
        </w:tc>
      </w:tr>
      <w:tr>
        <w:trPr>
          <w:trHeight w:val="142"/>
        </w:trPr>
        <w:tc>
          <w:tcPr>
            <w:tcW w:w="358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Comprehensive Loss</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2"/>
                <w:szCs w:val="12"/>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4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January 31, 2024</w:t>
            </w:r>
          </w:p>
        </w:tc>
        <w:tc>
          <w:tcPr>
            <w:tcW w:w="9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241,865</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3,364,328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(1,058,836)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33,139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2,337,089</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823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RSU and PSU release</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1,224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founders holdbacks related to acquisitions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889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payment of board of director fees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 net of founder revest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181,633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181,633</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7,966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7,966</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 value of replacement equity awards attributable to pre-acquisition service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42,820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46,264</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(3,341)</w:t>
            </w:r>
          </w:p>
        </w:tc>
      </w:tr>
      <w:tr>
        <w:trPr>
          <w:trHeight w:val="14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(3,097)</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April 30, 2024</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243,184</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3,556,194</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(1,016,016)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(4,760)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33,242</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2,568,782</w:t>
            </w:r>
          </w:p>
        </w:tc>
      </w:tr>
      <w:tr>
        <w:trPr>
          <w:trHeight w:val="20"/>
        </w:trPr>
        <w:tc>
          <w:tcPr>
            <w:tcW w:w="3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87"/>
        </w:trPr>
        <w:tc>
          <w:tcPr>
            <w:tcW w:w="3580" w:type="dxa"/>
            <w:vAlign w:val="bottom"/>
          </w:tcPr>
          <w:p>
            <w:pPr>
              <w:spacing w:after="0"/>
              <w:rPr>
                <w:sz w:val="24"/>
                <w:szCs w:val="24"/>
                <w:color w:val="auto"/>
              </w:rPr>
            </w:pPr>
          </w:p>
        </w:tc>
        <w:tc>
          <w:tcPr>
            <w:tcW w:w="1760" w:type="dxa"/>
            <w:vAlign w:val="bottom"/>
            <w:gridSpan w:val="3"/>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
        </w:trPr>
        <w:tc>
          <w:tcPr>
            <w:tcW w:w="35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tcPr>
          <w:p>
            <w:pPr>
              <w:jc w:val="center"/>
              <w:ind w:right="180"/>
              <w:spacing w:after="0" w:line="44" w:lineRule="exact"/>
              <w:rPr>
                <w:sz w:val="20"/>
                <w:szCs w:val="20"/>
                <w:color w:val="auto"/>
              </w:rPr>
            </w:pPr>
            <w:r>
              <w:rPr>
                <w:rFonts w:ascii="Times New Roman" w:cs="Times New Roman" w:eastAsia="Times New Roman" w:hAnsi="Times New Roman"/>
                <w:sz w:val="5"/>
                <w:szCs w:val="5"/>
                <w:b w:val="1"/>
                <w:bCs w:val="1"/>
                <w:color w:val="auto"/>
              </w:rPr>
              <w:t>Additional Paid-in</w:t>
            </w: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tcPr>
          <w:p>
            <w:pPr>
              <w:jc w:val="center"/>
              <w:ind w:right="200"/>
              <w:spacing w:after="0" w:line="44" w:lineRule="exact"/>
              <w:rPr>
                <w:sz w:val="20"/>
                <w:szCs w:val="20"/>
                <w:color w:val="auto"/>
              </w:rPr>
            </w:pPr>
            <w:r>
              <w:rPr>
                <w:rFonts w:ascii="Times New Roman" w:cs="Times New Roman" w:eastAsia="Times New Roman" w:hAnsi="Times New Roman"/>
                <w:sz w:val="5"/>
                <w:szCs w:val="5"/>
                <w:b w:val="1"/>
                <w:bCs w:val="1"/>
                <w:color w:val="auto"/>
              </w:rPr>
              <w:t>Comprehensive Income</w:t>
            </w:r>
          </w:p>
        </w:tc>
        <w:tc>
          <w:tcPr>
            <w:tcW w:w="100" w:type="dxa"/>
            <w:vAlign w:val="bottom"/>
          </w:tcPr>
          <w:p>
            <w:pPr>
              <w:spacing w:after="0"/>
              <w:rPr>
                <w:sz w:val="3"/>
                <w:szCs w:val="3"/>
                <w:color w:val="auto"/>
              </w:rPr>
            </w:pPr>
          </w:p>
        </w:tc>
        <w:tc>
          <w:tcPr>
            <w:tcW w:w="920" w:type="dxa"/>
            <w:vAlign w:val="bottom"/>
            <w:gridSpan w:val="2"/>
          </w:tcPr>
          <w:p>
            <w:pPr>
              <w:jc w:val="center"/>
              <w:ind w:right="180"/>
              <w:spacing w:after="0" w:line="44"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100" w:type="dxa"/>
            <w:vAlign w:val="bottom"/>
          </w:tcPr>
          <w:p>
            <w:pPr>
              <w:spacing w:after="0"/>
              <w:rPr>
                <w:sz w:val="3"/>
                <w:szCs w:val="3"/>
                <w:color w:val="auto"/>
              </w:rPr>
            </w:pPr>
          </w:p>
        </w:tc>
        <w:tc>
          <w:tcPr>
            <w:tcW w:w="980" w:type="dxa"/>
            <w:vAlign w:val="bottom"/>
          </w:tcPr>
          <w:p>
            <w:pPr>
              <w:jc w:val="center"/>
              <w:ind w:right="28"/>
              <w:spacing w:after="0" w:line="44" w:lineRule="exact"/>
              <w:rPr>
                <w:sz w:val="20"/>
                <w:szCs w:val="20"/>
                <w:color w:val="auto"/>
              </w:rPr>
            </w:pPr>
            <w:r>
              <w:rPr>
                <w:rFonts w:ascii="Times New Roman" w:cs="Times New Roman" w:eastAsia="Times New Roman" w:hAnsi="Times New Roman"/>
                <w:sz w:val="5"/>
                <w:szCs w:val="5"/>
                <w:b w:val="1"/>
                <w:bCs w:val="1"/>
                <w:color w:val="auto"/>
              </w:rPr>
              <w:t>Total Stockholders’</w:t>
            </w:r>
          </w:p>
        </w:tc>
      </w:tr>
      <w:tr>
        <w:trPr>
          <w:trHeight w:val="142"/>
        </w:trPr>
        <w:tc>
          <w:tcPr>
            <w:tcW w:w="358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(loss)</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2"/>
                <w:szCs w:val="12"/>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4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January 31, 2023</w:t>
            </w:r>
          </w:p>
        </w:tc>
        <w:tc>
          <w:tcPr>
            <w:tcW w:w="9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235,777</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2,612,705</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(1,148,163)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23,793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1,487,434</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2,651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2,651</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RSU and PSU release</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933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founders holdbacks related to acquisitions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1,649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1,649</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payment of board of director fees</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 net of founder revest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129,130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129,130</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6,502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6,502</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5,257</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1,158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w:t>
            </w:r>
          </w:p>
        </w:tc>
      </w:tr>
      <w:tr>
        <w:trPr>
          <w:trHeight w:val="169"/>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April 30, 2023</w:t>
            </w:r>
          </w:p>
        </w:tc>
        <w:tc>
          <w:tcPr>
            <w:tcW w:w="9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237,099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2,752,716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(1,147,672)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29,058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1,634,359</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ind w:left="4420"/>
        <w:spacing w:after="0" w:line="209" w:lineRule="auto"/>
        <w:rPr>
          <w:sz w:val="20"/>
          <w:szCs w:val="20"/>
          <w:color w:val="auto"/>
        </w:rPr>
      </w:pPr>
      <w:r>
        <w:rPr>
          <w:rFonts w:ascii="Times New Roman" w:cs="Times New Roman" w:eastAsia="Times New Roman" w:hAnsi="Times New Roman"/>
          <w:sz w:val="11"/>
          <w:szCs w:val="11"/>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1"/>
          <w:szCs w:val="11"/>
          <w:i w:val="1"/>
          <w:iCs w:val="1"/>
          <w:color w:val="auto"/>
        </w:rPr>
        <w:t>(in thousands)(unaudited)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1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Three Months Ended April 30,</w:t>
            </w:r>
          </w:p>
        </w:tc>
        <w:tc>
          <w:tcPr>
            <w:tcW w:w="880" w:type="dxa"/>
            <w:vAlign w:val="bottom"/>
            <w:tcBorders>
              <w:bottom w:val="single" w:sz="8" w:color="auto"/>
            </w:tcBorders>
          </w:tcPr>
          <w:p>
            <w:pPr>
              <w:spacing w:after="0"/>
              <w:rPr>
                <w:sz w:val="11"/>
                <w:szCs w:val="11"/>
                <w:color w:val="auto"/>
              </w:rPr>
            </w:pPr>
          </w:p>
        </w:tc>
      </w:tr>
      <w:tr>
        <w:trPr>
          <w:trHeight w:val="131"/>
        </w:trPr>
        <w:tc>
          <w:tcPr>
            <w:tcW w:w="81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0"/>
                <w:szCs w:val="10"/>
                <w:b w:val="1"/>
                <w:bCs w:val="1"/>
                <w:color w:val="auto"/>
                <w:w w:val="99"/>
              </w:rPr>
              <w:t>2023</w:t>
            </w:r>
          </w:p>
        </w:tc>
      </w:tr>
      <w:tr>
        <w:trPr>
          <w:trHeight w:val="1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8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880" w:type="dxa"/>
            <w:vAlign w:val="bottom"/>
          </w:tcPr>
          <w:p>
            <w:pPr>
              <w:jc w:val="right"/>
              <w:ind w:right="7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46,264</w:t>
            </w:r>
          </w:p>
        </w:tc>
        <w:tc>
          <w:tcPr>
            <w:tcW w:w="100" w:type="dxa"/>
            <w:vAlign w:val="bottom"/>
          </w:tcPr>
          <w:p>
            <w:pPr>
              <w:spacing w:after="0"/>
              <w:rPr>
                <w:sz w:val="11"/>
                <w:szCs w:val="11"/>
                <w:color w:val="auto"/>
              </w:rPr>
            </w:pPr>
          </w:p>
        </w:tc>
        <w:tc>
          <w:tcPr>
            <w:tcW w:w="620" w:type="dxa"/>
            <w:vAlign w:val="bottom"/>
          </w:tcPr>
          <w:p>
            <w:pPr>
              <w:jc w:val="right"/>
              <w:ind w:right="5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42,689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26,409</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Amortization of intangible assets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4,174</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Amortization of deferred contract acquisition costs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74,128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55,322</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Non-cash operating lease cost</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3,092</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183,125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130,856</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Deferred income taxes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Realized gains on strategic investments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Non-cash interest expense</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754</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Accretion of short-term investments purchased at a discount</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Changes in operating assets and liabilities, net of impact of acquisitions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Accounts receivable, net</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150,249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165,089</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Deferred contract acquisition costs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(66,480)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(49,532)</w:t>
            </w: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Prepaid expenses and other assets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(28,602)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(8,542)</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Accounts payable</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(18,596)</w:t>
            </w: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Accrued expenses and other liabilities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(16,629)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(36,576)</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Accrued payroll and benefits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(17,692)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(17,281)</w:t>
            </w: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(3,199)</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Deferred revenue</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15,041</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48,678</w:t>
            </w:r>
          </w:p>
        </w:tc>
      </w:tr>
      <w:tr>
        <w:trPr>
          <w:trHeight w:val="124"/>
        </w:trPr>
        <w:tc>
          <w:tcPr>
            <w:tcW w:w="818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cash provided by operating activities</w:t>
            </w:r>
          </w:p>
        </w:tc>
        <w:tc>
          <w:tcPr>
            <w:tcW w:w="8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383,228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300,892</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Investing activities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property and equipment</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(49,683)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(62,264)</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Capitalized internal-use software and website development costs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(10,479)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(10,902)</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strategic investments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(10,513)</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sales of strategic investments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10,407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Business acquisitions, net of cash acquired</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(96,376)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maturities and sales of short-term investments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97,300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150,000</w:t>
            </w:r>
          </w:p>
        </w:tc>
      </w:tr>
      <w:tr>
        <w:trPr>
          <w:trHeight w:val="13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Purchases of deferred compensation investments</w:t>
            </w:r>
          </w:p>
        </w:tc>
        <w:tc>
          <w:tcPr>
            <w:tcW w:w="8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(609)</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(290)</w:t>
            </w:r>
          </w:p>
        </w:tc>
      </w:tr>
      <w:tr>
        <w:trPr>
          <w:trHeight w:val="133"/>
        </w:trPr>
        <w:tc>
          <w:tcPr>
            <w:tcW w:w="8180" w:type="dxa"/>
            <w:vAlign w:val="bottom"/>
            <w:shd w:val="clear" w:color="auto" w:fill="CCEEFF"/>
          </w:tcPr>
          <w:p>
            <w:pPr>
              <w:ind w:left="280"/>
              <w:spacing w:after="0" w:line="113" w:lineRule="exact"/>
              <w:rPr>
                <w:sz w:val="20"/>
                <w:szCs w:val="20"/>
                <w:color w:val="auto"/>
              </w:rPr>
            </w:pPr>
            <w:r>
              <w:rPr>
                <w:rFonts w:ascii="Times New Roman" w:cs="Times New Roman" w:eastAsia="Times New Roman" w:hAnsi="Times New Roman"/>
                <w:sz w:val="10"/>
                <w:szCs w:val="10"/>
                <w:color w:val="auto"/>
              </w:rPr>
              <w:t>Net cash (used in) provided by investing activities</w:t>
            </w:r>
          </w:p>
        </w:tc>
        <w:tc>
          <w:tcPr>
            <w:tcW w:w="8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(51,098)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66,031</w:t>
            </w:r>
          </w:p>
        </w:tc>
      </w:tr>
      <w:tr>
        <w:trPr>
          <w:trHeight w:val="134"/>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Financing activities</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the issuance of common stock upon exercise stock options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2,651</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 holders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(3,841)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 contributions from non-controlling interest holders</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5,257</w:t>
            </w:r>
          </w:p>
        </w:tc>
      </w:tr>
      <w:tr>
        <w:trPr>
          <w:trHeight w:val="124"/>
        </w:trPr>
        <w:tc>
          <w:tcPr>
            <w:tcW w:w="818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cash (used in) provided by financing activities</w:t>
            </w:r>
          </w:p>
        </w:tc>
        <w:tc>
          <w:tcPr>
            <w:tcW w:w="8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7,908</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Effect of foreign exchange rates on cash, cash equivalents and restricted cash</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(1,917)</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w:t>
            </w:r>
          </w:p>
        </w:tc>
      </w:tr>
      <w:tr>
        <w:trPr>
          <w:trHeight w:val="124"/>
        </w:trPr>
        <w:tc>
          <w:tcPr>
            <w:tcW w:w="818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increase in cash, cash equivalents and restricted cash</w:t>
            </w:r>
          </w:p>
        </w:tc>
        <w:tc>
          <w:tcPr>
            <w:tcW w:w="8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327,695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374,641</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cash equivalents and restricted cash at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3,377,597</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2,456,924</w:t>
            </w:r>
          </w:p>
        </w:tc>
      </w:tr>
      <w:tr>
        <w:trPr>
          <w:trHeight w:val="124"/>
        </w:trPr>
        <w:tc>
          <w:tcPr>
            <w:tcW w:w="81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Cash, cash equivalents and restricted cash at end of period</w:t>
            </w:r>
          </w:p>
        </w:tc>
        <w:tc>
          <w:tcPr>
            <w:tcW w:w="8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3,705,292</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2,831,565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04"/>
        </w:trPr>
        <w:tc>
          <w:tcPr>
            <w:tcW w:w="818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Cash, cash equivalents and restricted cash at the end of period:</w:t>
            </w: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880" w:type="dxa"/>
            <w:vAlign w:val="bottom"/>
          </w:tcPr>
          <w:p>
            <w:pPr>
              <w:jc w:val="right"/>
              <w:ind w:right="7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3,702,437</w:t>
            </w:r>
          </w:p>
        </w:tc>
        <w:tc>
          <w:tcPr>
            <w:tcW w:w="100" w:type="dxa"/>
            <w:vAlign w:val="bottom"/>
          </w:tcPr>
          <w:p>
            <w:pPr>
              <w:spacing w:after="0"/>
              <w:rPr>
                <w:sz w:val="11"/>
                <w:szCs w:val="11"/>
                <w:color w:val="auto"/>
              </w:rPr>
            </w:pPr>
          </w:p>
        </w:tc>
        <w:tc>
          <w:tcPr>
            <w:tcW w:w="620" w:type="dxa"/>
            <w:vAlign w:val="bottom"/>
          </w:tcPr>
          <w:p>
            <w:pPr>
              <w:jc w:val="right"/>
              <w:ind w:right="5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2,829,677</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Restricted cash included in prepaid expenses and other assets</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2,855</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1,888</w:t>
            </w:r>
          </w:p>
        </w:tc>
      </w:tr>
      <w:tr>
        <w:trPr>
          <w:trHeight w:val="124"/>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cash, cash equivalents and restricted cash shown in the condensed consolidated statements of cash flows</w:t>
            </w:r>
          </w:p>
        </w:tc>
        <w:tc>
          <w:tcPr>
            <w:tcW w:w="8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3,705,292</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2,831,565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04"/>
        </w:trPr>
        <w:tc>
          <w:tcPr>
            <w:tcW w:w="818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Interest paid</w:t>
            </w:r>
          </w:p>
        </w:tc>
        <w:tc>
          <w:tcPr>
            <w:tcW w:w="880" w:type="dxa"/>
            <w:vAlign w:val="bottom"/>
          </w:tcPr>
          <w:p>
            <w:pPr>
              <w:jc w:val="right"/>
              <w:ind w:right="7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11,250</w:t>
            </w:r>
          </w:p>
        </w:tc>
        <w:tc>
          <w:tcPr>
            <w:tcW w:w="100" w:type="dxa"/>
            <w:vAlign w:val="bottom"/>
          </w:tcPr>
          <w:p>
            <w:pPr>
              <w:spacing w:after="0"/>
              <w:rPr>
                <w:sz w:val="11"/>
                <w:szCs w:val="11"/>
                <w:color w:val="auto"/>
              </w:rPr>
            </w:pPr>
          </w:p>
        </w:tc>
        <w:tc>
          <w:tcPr>
            <w:tcW w:w="620" w:type="dxa"/>
            <w:vAlign w:val="bottom"/>
          </w:tcPr>
          <w:p>
            <w:pPr>
              <w:jc w:val="right"/>
              <w:ind w:right="5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11,250</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taxes paid, net of refunds received</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7,594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3,377</w:t>
            </w:r>
          </w:p>
        </w:tc>
      </w:tr>
      <w:tr>
        <w:trPr>
          <w:trHeight w:val="134"/>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decrease in property and equipment included in accounts payable and accrued expenses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(17,655)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(22,479)</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 consideration for acquisitions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Operating lease liabilities arising from obtaining operating right-of-use assets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13,847</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intangible assets included in accrued expenses and other liabilities</w:t>
            </w:r>
          </w:p>
        </w:tc>
        <w:tc>
          <w:tcPr>
            <w:tcW w:w="88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sales of strategic investments not yet received</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4,734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 included in capitalized software development costs and fixed assets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7,966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6,502</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Noncash consideration for the purchase of strategic investments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8"/>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Noncash consideration received from sales of strategic investments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2" w:lineRule="exact"/>
        <w:rPr>
          <w:sz w:val="20"/>
          <w:szCs w:val="20"/>
          <w:color w:val="auto"/>
        </w:rPr>
      </w:pPr>
    </w:p>
    <w:p>
      <w:pPr>
        <w:ind w:left="260" w:right="7580" w:hanging="255"/>
        <w:spacing w:after="0" w:line="507" w:lineRule="auto"/>
        <w:tabs>
          <w:tab w:leader="none" w:pos="147"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Description of Business and Significant Accounting Policies Business</w:t>
      </w:r>
    </w:p>
    <w:p>
      <w:pPr>
        <w:spacing w:after="0" w:line="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CrowdStrike Holdings, Inc.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Germany, India, Israel, Japan, Romania, and the United Kingdom.</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2024,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months ended April 30, 2024 are not necessarily indicative of the results to be expected for the year ending January 31, 2025 or for any other interim period or for any other future year.</w:t>
      </w:r>
    </w:p>
    <w:p>
      <w:pPr>
        <w:spacing w:after="0" w:line="147"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2024, filed with the SEC on March 6, 2024.</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81"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 owned subsidiaries. All intercompany balances and transactions have been eliminated in consolidation.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spacing w:after="0" w:line="140"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Geographic Information</w:t>
      </w:r>
    </w:p>
    <w:p>
      <w:pPr>
        <w:spacing w:after="0" w:line="181"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exceeds federally insured limits. The Company has not experienced any credit loss relating to its cash, cash equivalents, short-term investments, or strategic investments. The Company performs periodic credit evaluations of its customers and generally does not require collateral.</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channel partners or direct customers who represented 10% or more of the Company’s accounts receivable as of April 30, 2024 or January 31, 2024.</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channel partners or direct customers who represented 10% or more of the Company’s total revenue for the three months ended April 30, 2024 or 2023.</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Company’s significant accounting policies are described in the Company’s Annual Report on Form 10-K for the year ended January 31, 2024. There have been no significant changes to these policies that have had a material impact on the Company’s condensed consolidated financial statements and related notes for the three months ended April 30, 2024.</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does not expect the adoption of this new guidance to have a material impact on its disclosures within the consolidated financial statements.</w:t>
      </w:r>
    </w:p>
    <w:p>
      <w:pPr>
        <w:spacing w:after="0" w:line="140"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The standard requires disclosure of significant segment expenses that are regularly provided to the Chief Operating Decision Maker (“CODM”) and included within each reported measure of segment profit or loss, an amount for other segment items required to reconcile the difference between segment revenue and segment expenses to segment profit or loss along with a description of their composition, and the title and position of the entity's CODM. The update also expands interim segment disclosure requirements. The new standard is effective for annual periods beginning after December 15, 2023, and interim periods within fiscal years beginning after December 15, 2024, with early adoption permitted, and will be applied retrospectively to all prior periods presented in the condensed consolidated financial statements. The Company is currently evaluating the impact of this new guidance on its disclosures within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 Investments and Fair Value Measurements</w:t>
      </w:r>
    </w:p>
    <w:p>
      <w:pPr>
        <w:spacing w:after="0" w:line="185"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The Company follows ASC 820</w:t>
      </w:r>
      <w:r>
        <w:rPr>
          <w:rFonts w:ascii="Times New Roman" w:cs="Times New Roman" w:eastAsia="Times New Roman" w:hAnsi="Times New Roman"/>
          <w:sz w:val="14"/>
          <w:szCs w:val="14"/>
          <w:i w:val="1"/>
          <w:iCs w:val="1"/>
          <w:color w:val="auto"/>
        </w:rPr>
        <w:t>, Fair Value Measurements</w:t>
      </w:r>
      <w:r>
        <w:rPr>
          <w:rFonts w:ascii="Times New Roman" w:cs="Times New Roman" w:eastAsia="Times New Roman" w:hAnsi="Times New Roman"/>
          <w:sz w:val="14"/>
          <w:szCs w:val="14"/>
          <w:color w:val="auto"/>
        </w:rPr>
        <w:t>, with respect to cash equivalents</w:t>
      </w:r>
      <w:r>
        <w:rPr>
          <w:rFonts w:ascii="Times New Roman" w:cs="Times New Roman" w:eastAsia="Times New Roman" w:hAnsi="Times New Roman"/>
          <w:sz w:val="16"/>
          <w:szCs w:val="16"/>
          <w:color w:val="008080"/>
        </w:rPr>
        <w:t>,</w:t>
      </w:r>
      <w:r>
        <w:rPr>
          <w:rFonts w:ascii="Times New Roman" w:cs="Times New Roman" w:eastAsia="Times New Roman" w:hAnsi="Times New Roman"/>
          <w:sz w:val="14"/>
          <w:szCs w:val="14"/>
          <w:color w:val="auto"/>
        </w:rPr>
        <w:t xml:space="preserve"> short-term investments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hierarchy is broken down into three levels as follows:</w:t>
      </w:r>
    </w:p>
    <w:p>
      <w:pPr>
        <w:spacing w:after="0" w:line="17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1</w:t>
        <w:tab/>
        <w:t>Assets and liabilities whose values are based on unadjusted quoted market prices for identical assets and liabilities in active markets</w:t>
      </w:r>
    </w:p>
    <w:p>
      <w:pPr>
        <w:spacing w:after="0" w:line="23"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4"/>
          <w:szCs w:val="14"/>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Categorization within the valuation hierarchy is based upon the lowest level of input that is significant to the fair value measurement.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fair value hierarchy for its financial assets and liabilities that are measured at fair value on a recurring basis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4"/>
        </w:trPr>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40" w:type="dxa"/>
            <w:vAlign w:val="bottom"/>
          </w:tcPr>
          <w:p>
            <w:pPr>
              <w:spacing w:after="0"/>
              <w:rPr>
                <w:sz w:val="13"/>
                <w:szCs w:val="13"/>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1,940,184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1,940,184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2,360,173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2,360,173</w:t>
            </w: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Treasury securities</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1,493,492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1,493,492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693,599</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693,599</w:t>
            </w:r>
          </w:p>
        </w:tc>
      </w:tr>
      <w:tr>
        <w:trPr>
          <w:trHeight w:val="17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investments</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Treasury securities</w:t>
            </w:r>
          </w:p>
        </w:tc>
        <w:tc>
          <w:tcPr>
            <w:tcW w:w="2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99,591</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99,591</w:t>
            </w:r>
          </w:p>
        </w:tc>
      </w:tr>
      <w:tr>
        <w:trPr>
          <w:trHeight w:val="17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2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compensation investments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r>
      <w:tr>
        <w:trPr>
          <w:trHeight w:val="18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1,943,124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1,493,492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3,436,616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2,362,444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793,190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3,155,634</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transfers between the levels of the fair value hierarchy during the periods presented.</w:t>
      </w:r>
    </w:p>
    <w:p>
      <w:pPr>
        <w:spacing w:after="0" w:line="179" w:lineRule="exact"/>
        <w:rPr>
          <w:sz w:val="20"/>
          <w:szCs w:val="20"/>
          <w:color w:val="auto"/>
        </w:rPr>
      </w:pPr>
    </w:p>
    <w:p>
      <w:pPr>
        <w:jc w:val="both"/>
        <w:ind w:right="60" w:firstLine="255"/>
        <w:spacing w:after="0" w:line="287" w:lineRule="auto"/>
        <w:rPr>
          <w:sz w:val="20"/>
          <w:szCs w:val="20"/>
          <w:color w:val="auto"/>
        </w:rPr>
      </w:pPr>
      <w:r>
        <w:rPr>
          <w:rFonts w:ascii="Times New Roman" w:cs="Times New Roman" w:eastAsia="Times New Roman" w:hAnsi="Times New Roman"/>
          <w:sz w:val="14"/>
          <w:szCs w:val="14"/>
          <w:color w:val="auto"/>
        </w:rPr>
        <w:t>As of April 30, 2024 and January 31, 2024, the Company’s U.S. Treasury securities were carried at fair value and there were no material realized or unrealized gains or losses, either individually or in aggregate.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investments of privately held securities as of April 30, 2024, consisted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Privately held equity</w:t>
            </w:r>
          </w:p>
        </w:tc>
        <w:tc>
          <w:tcPr>
            <w:tcW w:w="100" w:type="dxa"/>
            <w:vAlign w:val="bottom"/>
          </w:tcPr>
          <w:p>
            <w:pPr>
              <w:spacing w:after="0"/>
              <w:rPr>
                <w:sz w:val="13"/>
                <w:szCs w:val="13"/>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Privately held debt and</w:t>
            </w:r>
          </w:p>
        </w:tc>
        <w:tc>
          <w:tcPr>
            <w:tcW w:w="380" w:type="dxa"/>
            <w:vAlign w:val="bottom"/>
          </w:tcPr>
          <w:p>
            <w:pPr>
              <w:spacing w:after="0"/>
              <w:rPr>
                <w:sz w:val="13"/>
                <w:szCs w:val="13"/>
                <w:color w:val="auto"/>
              </w:rPr>
            </w:pPr>
          </w:p>
        </w:tc>
        <w:tc>
          <w:tcPr>
            <w:tcW w:w="1240" w:type="dxa"/>
            <w:vAlign w:val="bottom"/>
            <w:vMerge w:val="restart"/>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securities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53,548</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 net gains</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investments of privately held securities as of January 31, 2024,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Privately held equity</w:t>
            </w:r>
          </w:p>
        </w:tc>
        <w:tc>
          <w:tcPr>
            <w:tcW w:w="100" w:type="dxa"/>
            <w:vAlign w:val="bottom"/>
          </w:tcPr>
          <w:p>
            <w:pPr>
              <w:spacing w:after="0"/>
              <w:rPr>
                <w:sz w:val="13"/>
                <w:szCs w:val="13"/>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Privately held debt and</w:t>
            </w:r>
          </w:p>
        </w:tc>
        <w:tc>
          <w:tcPr>
            <w:tcW w:w="380" w:type="dxa"/>
            <w:vAlign w:val="bottom"/>
          </w:tcPr>
          <w:p>
            <w:pPr>
              <w:spacing w:after="0"/>
              <w:rPr>
                <w:sz w:val="13"/>
                <w:szCs w:val="13"/>
                <w:color w:val="auto"/>
              </w:rPr>
            </w:pPr>
          </w:p>
        </w:tc>
        <w:tc>
          <w:tcPr>
            <w:tcW w:w="1240" w:type="dxa"/>
            <w:vAlign w:val="bottom"/>
            <w:vMerge w:val="restart"/>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securities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51,373</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 net gains</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As of both April 30, 2024 and January 31, 2024, the cumulative net gains of $4.9 million are comprised of upward adjustments of $9.3 million, less downward adjustments and impairment of $4.4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Gains and Losses on Strategic Investments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gains on strategic investments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r>
      <w:tr>
        <w:trPr>
          <w:trHeight w:val="161"/>
        </w:trPr>
        <w:tc>
          <w:tcPr>
            <w:tcW w:w="79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gains recognized on sales of privately held equity securities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strategic investments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Realized gains recognized on sales of privately held equity securities reflect the difference between the sale proceeds and the carrying value of the security at the beginning of the period or the purchase date, if later.</w:t>
      </w:r>
    </w:p>
    <w:p>
      <w:pPr>
        <w:spacing w:after="0" w:line="122" w:lineRule="exact"/>
        <w:rPr>
          <w:sz w:val="20"/>
          <w:szCs w:val="20"/>
          <w:color w:val="auto"/>
        </w:rPr>
      </w:pPr>
    </w:p>
    <w:p>
      <w:pPr>
        <w:ind w:left="260" w:right="9300" w:hanging="255"/>
        <w:spacing w:after="0" w:line="507" w:lineRule="auto"/>
        <w:tabs>
          <w:tab w:leader="none" w:pos="147"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Balance Sheet Components Property and Equipment, Net</w:t>
      </w:r>
    </w:p>
    <w:p>
      <w:pPr>
        <w:ind w:left="2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20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January 31, 2024</w:t>
            </w:r>
          </w:p>
        </w:tc>
      </w:tr>
      <w:tr>
        <w:trPr>
          <w:trHeight w:val="180"/>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center and other computer equipment</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587,668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525,890</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internal-use software and website development costs</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183,117</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39,168</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10,907</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w:t>
            </w:r>
          </w:p>
        </w:tc>
      </w:tr>
      <w:tr>
        <w:trPr>
          <w:trHeight w:val="18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149,644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190,832</w:t>
            </w:r>
          </w:p>
        </w:tc>
      </w:tr>
      <w:tr>
        <w:trPr>
          <w:trHeight w:val="171"/>
        </w:trPr>
        <w:tc>
          <w:tcPr>
            <w:tcW w:w="8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958,438</w:t>
            </w:r>
          </w:p>
        </w:tc>
      </w:tr>
      <w:tr>
        <w:trPr>
          <w:trHeight w:val="18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(380,290)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(338,266)</w:t>
            </w:r>
          </w:p>
        </w:tc>
      </w:tr>
      <w:tr>
        <w:trPr>
          <w:trHeight w:val="19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627,381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620,172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Construction in progress primarily includes data center equipment purchased that has not yet been placed in service. Data center equipment that was purchased but not yet been placed into service was $133.6 million as of April 30, 2024.</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and amortization expense of property and equipment was $42.7 million and $26.4 million during the three months ended April 30, 2024 and April 30, 2023, respectively.</w:t>
      </w:r>
    </w:p>
    <w:p>
      <w:pPr>
        <w:spacing w:after="0" w:line="17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There was no impairment of property and equipment during the three months ended April 30, 2024 and April 30, 2023. The Company capitalized $17.5 million and $16.6 million in internal-use software and website development costs during the three months ended April 30, 2024 and April 30, 2023, respectively. Amortization expense associated with internal-use software and website development costs totaled $12.8 million and $7.5 million during the three months ended April 30, 2024 and April 30, 2023, respectively. The net book value of capitalized internal-use software and website development costs was $111.6 million and $106.9 million as of April 30, 2024 and January 31, 2024, respectively.</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intangible assets, net consisted of the following (dollars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85"/>
        </w:trPr>
        <w:tc>
          <w:tcPr>
            <w:tcW w:w="4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tcPr>
          <w:p>
            <w:pPr>
              <w:spacing w:after="0"/>
              <w:rPr>
                <w:sz w:val="7"/>
                <w:szCs w:val="7"/>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60" w:type="dxa"/>
            <w:vAlign w:val="bottom"/>
          </w:tcPr>
          <w:p>
            <w:pPr>
              <w:spacing w:after="0"/>
              <w:rPr>
                <w:sz w:val="7"/>
                <w:szCs w:val="7"/>
                <w:color w:val="auto"/>
              </w:rPr>
            </w:pPr>
          </w:p>
        </w:tc>
        <w:tc>
          <w:tcPr>
            <w:tcW w:w="1240" w:type="dxa"/>
            <w:vAlign w:val="bottom"/>
            <w:vMerge w:val="restart"/>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00" w:type="dxa"/>
            <w:vAlign w:val="bottom"/>
          </w:tcPr>
          <w:p>
            <w:pPr>
              <w:spacing w:after="0"/>
              <w:rPr>
                <w:sz w:val="7"/>
                <w:szCs w:val="7"/>
                <w:color w:val="auto"/>
              </w:rPr>
            </w:pPr>
          </w:p>
        </w:tc>
        <w:tc>
          <w:tcPr>
            <w:tcW w:w="150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Useful</w:t>
            </w: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Life</w:t>
            </w: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 months)</w:t>
            </w:r>
          </w:p>
        </w:tc>
        <w:tc>
          <w:tcPr>
            <w:tcW w:w="0" w:type="dxa"/>
            <w:vAlign w:val="bottom"/>
          </w:tcPr>
          <w:p>
            <w:pPr>
              <w:spacing w:after="0"/>
              <w:rPr>
                <w:sz w:val="1"/>
                <w:szCs w:val="1"/>
                <w:color w:val="auto"/>
              </w:rPr>
            </w:pPr>
          </w:p>
        </w:tc>
      </w:tr>
      <w:tr>
        <w:trPr>
          <w:trHeight w:val="18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97,951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Intellectual property and other acquired intangible assets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71"/>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177,703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55,679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5"/>
        </w:trPr>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jc w:val="center"/>
              <w:ind w:right="154"/>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center"/>
              <w:ind w:right="134"/>
              <w:spacing w:after="0" w:line="108" w:lineRule="exact"/>
              <w:rPr>
                <w:sz w:val="20"/>
                <w:szCs w:val="20"/>
                <w:color w:val="auto"/>
              </w:rPr>
            </w:pPr>
            <w:r>
              <w:rPr>
                <w:rFonts w:ascii="Times New Roman" w:cs="Times New Roman" w:eastAsia="Times New Roman" w:hAnsi="Times New Roman"/>
                <w:sz w:val="11"/>
                <w:szCs w:val="11"/>
                <w:b w:val="1"/>
                <w:bCs w:val="1"/>
                <w:color w:val="auto"/>
              </w:rPr>
              <w:t>Useful</w:t>
            </w:r>
          </w:p>
        </w:tc>
        <w:tc>
          <w:tcPr>
            <w:tcW w:w="0" w:type="dxa"/>
            <w:vAlign w:val="bottom"/>
          </w:tcPr>
          <w:p>
            <w:pPr>
              <w:spacing w:after="0"/>
              <w:rPr>
                <w:sz w:val="1"/>
                <w:szCs w:val="1"/>
                <w:color w:val="auto"/>
              </w:rPr>
            </w:pPr>
          </w:p>
        </w:tc>
      </w:tr>
      <w:tr>
        <w:trPr>
          <w:trHeight w:val="67"/>
        </w:trPr>
        <w:tc>
          <w:tcPr>
            <w:tcW w:w="4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tcPr>
          <w:p>
            <w:pPr>
              <w:spacing w:after="0"/>
              <w:rPr>
                <w:sz w:val="5"/>
                <w:szCs w:val="5"/>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60" w:type="dxa"/>
            <w:vAlign w:val="bottom"/>
          </w:tcPr>
          <w:p>
            <w:pPr>
              <w:spacing w:after="0"/>
              <w:rPr>
                <w:sz w:val="5"/>
                <w:szCs w:val="5"/>
                <w:color w:val="auto"/>
              </w:rPr>
            </w:pPr>
          </w:p>
        </w:tc>
        <w:tc>
          <w:tcPr>
            <w:tcW w:w="1540" w:type="dxa"/>
            <w:vAlign w:val="bottom"/>
            <w:gridSpan w:val="3"/>
            <w:vMerge w:val="restart"/>
          </w:tcPr>
          <w:p>
            <w:pPr>
              <w:jc w:val="right"/>
              <w:ind w:right="689"/>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4"/>
              </w:rPr>
              <w:t>Life</w:t>
            </w: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9"/>
              </w:rPr>
              <w:t>(in months)</w:t>
            </w:r>
          </w:p>
        </w:tc>
        <w:tc>
          <w:tcPr>
            <w:tcW w:w="0" w:type="dxa"/>
            <w:vAlign w:val="bottom"/>
          </w:tcPr>
          <w:p>
            <w:pPr>
              <w:spacing w:after="0"/>
              <w:rPr>
                <w:sz w:val="1"/>
                <w:szCs w:val="1"/>
                <w:color w:val="auto"/>
              </w:rPr>
            </w:pPr>
          </w:p>
        </w:tc>
      </w:tr>
      <w:tr>
        <w:trPr>
          <w:trHeight w:val="18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131,346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Intellectual property and other acquired intangible assets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1"/>
        </w:trPr>
        <w:tc>
          <w:tcPr>
            <w:tcW w:w="4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164,215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9980" w:type="dxa"/>
            <w:vAlign w:val="bottom"/>
            <w:gridSpan w:val="11"/>
          </w:tcPr>
          <w:p>
            <w:pPr>
              <w:ind w:left="260"/>
              <w:spacing w:after="0"/>
              <w:rPr>
                <w:sz w:val="20"/>
                <w:szCs w:val="20"/>
                <w:color w:val="auto"/>
              </w:rPr>
            </w:pPr>
            <w:r>
              <w:rPr>
                <w:rFonts w:ascii="Times New Roman" w:cs="Times New Roman" w:eastAsia="Times New Roman" w:hAnsi="Times New Roman"/>
                <w:sz w:val="14"/>
                <w:szCs w:val="14"/>
                <w:color w:val="auto"/>
              </w:rPr>
              <w:t>Amortization expense of intangible assets was $6.0 million and $4.2 million during the three months ended April 30, 2024 and April 30, 2023, respectively.</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80" w:type="dxa"/>
            <w:vAlign w:val="bottom"/>
            <w:gridSpan w:val="7"/>
          </w:tcPr>
          <w:p>
            <w:pPr>
              <w:ind w:left="260"/>
              <w:spacing w:after="0"/>
              <w:rPr>
                <w:sz w:val="20"/>
                <w:szCs w:val="20"/>
                <w:color w:val="auto"/>
              </w:rPr>
            </w:pPr>
            <w:r>
              <w:rPr>
                <w:rFonts w:ascii="Times New Roman" w:cs="Times New Roman" w:eastAsia="Times New Roman" w:hAnsi="Times New Roman"/>
                <w:sz w:val="14"/>
                <w:szCs w:val="14"/>
                <w:color w:val="auto"/>
              </w:rPr>
              <w:t>The estimated aggregate future amortization expense of intangible assets as of April 30, 2024 was as follows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 (remaining nine months)</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24,240</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22,064</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21,577</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18,823</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16,317</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Developed technology, customer relationships, intellectual property and other acquired intangible assets are amortized over their estimated useful lives, generally on a straight-line basis, for periods ranging from 2 to 20 years.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40"/>
        </w:trPr>
        <w:tc>
          <w:tcPr>
            <w:tcW w:w="9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change in goodwill during the three months ended April 30, 2024 consisted of the following (in thousands):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2"/>
        </w:trPr>
        <w:tc>
          <w:tcPr>
            <w:tcW w:w="9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71"/>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as of January 31, 2024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638,041</w:t>
            </w:r>
          </w:p>
        </w:tc>
      </w:tr>
      <w:tr>
        <w:trPr>
          <w:trHeight w:val="180"/>
        </w:trPr>
        <w:tc>
          <w:tcPr>
            <w:tcW w:w="97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Goodwill acquired</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83,982</w:t>
            </w:r>
          </w:p>
        </w:tc>
      </w:tr>
      <w:tr>
        <w:trPr>
          <w:trHeight w:val="180"/>
        </w:trPr>
        <w:tc>
          <w:tcPr>
            <w:tcW w:w="9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1"/>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as of April 30, 2024</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721,973</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Goodwill acquired resulted from the acquisition of Flow Security. Refer to Note 9 for additional information.</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20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0" w:type="dxa"/>
            <w:vAlign w:val="bottom"/>
          </w:tcPr>
          <w:p>
            <w:pPr>
              <w:spacing w:after="0"/>
              <w:rPr>
                <w:sz w:val="1"/>
                <w:szCs w:val="1"/>
                <w:color w:val="auto"/>
              </w:rPr>
            </w:pPr>
          </w:p>
        </w:tc>
      </w:tr>
      <w:tr>
        <w:trPr>
          <w:trHeight w:val="18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 hosting services</w:t>
            </w:r>
          </w:p>
        </w:tc>
        <w:tc>
          <w:tcPr>
            <w:tcW w:w="38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marketing</w:t>
            </w: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partner commissions</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health benefits and claims</w:t>
            </w: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purchases of property and equipment</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interest expense</w:t>
            </w:r>
          </w:p>
        </w:tc>
        <w:tc>
          <w:tcPr>
            <w:tcW w:w="3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38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125,896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189"/>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1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0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Accrued Payroll and Benefits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Accrued payroll and benefits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April 30, 2024</w:t>
            </w:r>
          </w:p>
        </w:tc>
        <w:tc>
          <w:tcPr>
            <w:tcW w:w="200" w:type="dxa"/>
            <w:vAlign w:val="bottom"/>
          </w:tcPr>
          <w:p>
            <w:pPr>
              <w:spacing w:after="0"/>
              <w:rPr>
                <w:sz w:val="13"/>
                <w:szCs w:val="13"/>
                <w:color w:val="auto"/>
              </w:rPr>
            </w:pP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January 31, 2024</w:t>
            </w:r>
          </w:p>
        </w:tc>
      </w:tr>
      <w:tr>
        <w:trPr>
          <w:trHeight w:val="18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commissions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116,870</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22,315</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58,579</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bonuses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35,905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36,860</w:t>
            </w:r>
          </w:p>
        </w:tc>
      </w:tr>
      <w:tr>
        <w:trPr>
          <w:trHeight w:val="19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216,695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234,624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 Debt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Facility</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2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 commitment fee of 0.15% to 0.25% per year for committed but unused amounts, depending on the senior</w:t>
      </w:r>
    </w:p>
    <w:p>
      <w:pPr>
        <w:spacing w:after="0" w:line="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April 30, 2024.</w:t>
      </w:r>
    </w:p>
    <w:p>
      <w:pPr>
        <w:spacing w:after="0" w:line="124"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amounts were outstanding under the Amended A&amp;R Credit Agreement as of April 30, 2024 or January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49"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April 30, 2024 and 2023.</w:t>
      </w:r>
    </w:p>
    <w:p>
      <w:pPr>
        <w:spacing w:after="0" w:line="13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24"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April 30, 2024, the Company was in compliance with all of its financial covenants under the Indenture associated with the Senior Notes.</w:t>
      </w:r>
    </w:p>
    <w:p>
      <w:pPr>
        <w:spacing w:after="0" w:line="179"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Based on the trading prices of the Senior Notes, the fair value of the Senior Notes was approximately $658.3 million and $671.2 million as of April 30, 2024 and January 31, 2024,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5. Income Taxes</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Company recognized income tax expense of $7.7 million and $4.4 million for the three months ended April 30, 2024 and April 30, 2023, respectively. The tax expense for the three months ended April 30, 2024 and April 30, 2023 was primarily attributable to pre-tax earnings and withholding taxes related to customer payments in certain foreign jurisdictions in which the Company conducts business. The Company’s effective tax rates of 14.2% and 89.8% for the three months ended April 30, 2024 and April 30, 2023, respectively, differ from the U.S. statutory tax rate primarily due to taxes in foreign jurisdictions and the full valuation allowance in the U.S.</w:t>
      </w:r>
    </w:p>
    <w:p>
      <w:pPr>
        <w:spacing w:after="0" w:line="140"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Total gross unrecognized tax benefits were $79.5 million and $58.9 million as of April 30, 2024 and January 31, 2024, respectively, which is primarily attributable to research and development credits. As of April 30, 2024 and January 31, 2024, approximately $13.5 million and $12.7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$1.7 million and $1.4 million of interest and penalties related to unrecognized tax benefits as of April 30, 2024 and January 31, 2024. The potential change in unrecognized tax benefits during the next 12 months is not expected to be material.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pacing w:after="0" w:line="146"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 maintains a full valuation allowance on U.S. federal and state and certain foreign deferred tax assets, including net operating loss carryforwards and tax credits, which the Company has determined are not realizable on a more-likely-than-not basis. The Company regularly evaluates the need for a valuation allowance. Due to recent profitability, a material reversal of the Company’s valuation allowance in U.S jurisdictions in the foreseeable future is reasonably possible.</w:t>
      </w:r>
    </w:p>
    <w:p>
      <w:pPr>
        <w:spacing w:after="0" w:line="134" w:lineRule="exact"/>
        <w:rPr>
          <w:sz w:val="20"/>
          <w:szCs w:val="20"/>
          <w:color w:val="auto"/>
        </w:rPr>
      </w:pPr>
    </w:p>
    <w:p>
      <w:pPr>
        <w:ind w:left="260" w:right="9540" w:hanging="255"/>
        <w:spacing w:after="0" w:line="507" w:lineRule="auto"/>
        <w:tabs>
          <w:tab w:leader="none" w:pos="147"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Stock-Based Compensation Stock Incentive Plan</w:t>
      </w:r>
    </w:p>
    <w:p>
      <w:pPr>
        <w:spacing w:after="0" w:line="1" w:lineRule="exact"/>
        <w:rPr>
          <w:sz w:val="20"/>
          <w:szCs w:val="20"/>
          <w:color w:val="auto"/>
        </w:rPr>
      </w:pPr>
    </w:p>
    <w:p>
      <w:pPr>
        <w:ind w:right="160" w:firstLine="255"/>
        <w:spacing w:after="0" w:line="259" w:lineRule="auto"/>
        <w:rPr>
          <w:sz w:val="20"/>
          <w:szCs w:val="20"/>
          <w:color w:val="auto"/>
        </w:rPr>
      </w:pPr>
      <w:r>
        <w:rPr>
          <w:rFonts w:ascii="Times New Roman" w:cs="Times New Roman" w:eastAsia="Times New Roman" w:hAnsi="Times New Roman"/>
          <w:sz w:val="14"/>
          <w:szCs w:val="14"/>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146"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records compensation expense for employee stock options based on the estimated fair value of the options on the date of grant using the Black-Scholes option-pricing model.</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 options granted during the three months ended April 30, 2024 were immaterial. There were no stock options granted during the three months ended April 30,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stock option activity for the three months ended April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0"/>
                <w:szCs w:val="10"/>
                <w:color w:val="auto"/>
              </w:rPr>
            </w:pPr>
          </w:p>
        </w:tc>
        <w:tc>
          <w:tcPr>
            <w:tcW w:w="1100" w:type="dxa"/>
            <w:vAlign w:val="bottom"/>
            <w:vMerge w:val="restart"/>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5"/>
        </w:trPr>
        <w:tc>
          <w:tcPr>
            <w:tcW w:w="8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jc w:val="center"/>
              <w:ind w:right="134"/>
              <w:spacing w:after="0" w:line="115"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0" w:type="dxa"/>
            <w:vAlign w:val="bottom"/>
          </w:tcPr>
          <w:p>
            <w:pPr>
              <w:spacing w:after="0"/>
              <w:rPr>
                <w:sz w:val="1"/>
                <w:szCs w:val="1"/>
                <w:color w:val="auto"/>
              </w:rPr>
            </w:pPr>
          </w:p>
        </w:tc>
      </w:tr>
      <w:tr>
        <w:trPr>
          <w:trHeight w:val="155"/>
        </w:trPr>
        <w:tc>
          <w:tcPr>
            <w:tcW w:w="8180" w:type="dxa"/>
            <w:vAlign w:val="bottom"/>
          </w:tcPr>
          <w:p>
            <w:pPr>
              <w:spacing w:after="0"/>
              <w:rPr>
                <w:sz w:val="13"/>
                <w:szCs w:val="13"/>
                <w:color w:val="auto"/>
              </w:rPr>
            </w:pPr>
          </w:p>
        </w:tc>
        <w:tc>
          <w:tcPr>
            <w:tcW w:w="110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100" w:type="dxa"/>
            <w:vAlign w:val="bottom"/>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January 31,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8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80"/>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8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April 30, 2024</w:t>
            </w:r>
          </w:p>
        </w:tc>
        <w:tc>
          <w:tcPr>
            <w:tcW w:w="1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8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Options vested and expected to vest at April 30, 2024</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1,670</w:t>
            </w:r>
          </w:p>
        </w:tc>
        <w:tc>
          <w:tcPr>
            <w:tcW w:w="300" w:type="dxa"/>
            <w:vAlign w:val="bottom"/>
            <w:gridSpan w:val="2"/>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April 30,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Options outstanding include 87,998 options that were unvested and exercisable as of April 30,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aggregate intrinsic value of options vested and exercisable was $437.5 million and $451.0 million as of April 30, 2024 and January 31, 2024, respectively. The weighted-average remaining contractual term of options vested and exercisable was 4.0 years and 4.2 years as of April 30, 2024 and January 31, 2024, respectively.</w:t>
      </w:r>
    </w:p>
    <w:p>
      <w:pPr>
        <w:spacing w:after="0" w:line="12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weighted-average grant date fair values of all options granted was $325.22 per share and none during the three months ended April 30, 2024 and April 30, 2023, respectively. The total intrinsic value of all options exercised was $28.5 million and $45.1 million during the three months ended April 30, 2024 and April 30, 2023, respectively.</w:t>
      </w:r>
    </w:p>
    <w:p>
      <w:pPr>
        <w:spacing w:after="0" w:line="124"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aggregate intrinsic value of stock options outstanding as of April 30, 2024 and January 31, 2024 was $473.0 million and $496.7 million, respectively, which represents the excess of the fair value of the Company’s common stock over the exercise price of the options multiplied by the number of options outstanding. The weighted-average remaining contractual term of stock options outstanding was 4.1 years and 4.3 years as of April 30, 2024 and January 31, 2024, respectively.</w:t>
      </w:r>
    </w:p>
    <w:p>
      <w:pPr>
        <w:spacing w:after="0" w:line="136"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options was $7.3 million as of April 30, 2024. This expense is expected to be amortized over a weighted-average vesting period of 1.0 year.</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Early Exercise of Employee Options</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2011 and 2019 Stock Plans allow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three months ended April 30, 2024 or April 30, 2023. As of April 30, 2024 and January 31, 2024, there were no shares of common stock related to early exercised stock options subject to repurchase.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sheets and statements of stockholders’ equity.</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8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RSUs granted under the 2019 Plan are generally subject to only a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4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RSUs was $1.7 billion as of April 30, 2024. This expense is expected to be amortized over a weighted-average vesting period of 2.8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Stock Units</w:t>
      </w:r>
    </w:p>
    <w:p>
      <w:pPr>
        <w:spacing w:after="0" w:line="18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36"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PSUs was $167.8 million as of April 30, 2024. This expense is expected to be amortized over a weighted-average vesting period of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95"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Special PSU Awards</w:t>
      </w:r>
    </w:p>
    <w:p>
      <w:pPr>
        <w:spacing w:after="0" w:line="18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February 1, 2022, February 1, 2023, February 1, 2024 and February 1, 2025) and (ii) the remaining PSUs with respect to such tranche will thereafter service vest in four equal quarterly installments of 12.5%.</w:t>
      </w:r>
    </w:p>
    <w:p>
      <w:pPr>
        <w:spacing w:after="0" w:line="14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40"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the unvested portion of the Special PSU Awards was $25.3 million as of April 30, 2024. This expense is expected to be amortized over a weighted-average vesting period of 1.0 year.</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RSUs, PSUs and the Special PSU Awards activities for the three months ended April 30,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5"/>
        </w:trPr>
        <w:tc>
          <w:tcPr>
            <w:tcW w:w="818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ind w:right="154"/>
              <w:spacing w:after="0" w:line="115" w:lineRule="exact"/>
              <w:rPr>
                <w:sz w:val="20"/>
                <w:szCs w:val="20"/>
                <w:color w:val="auto"/>
              </w:rPr>
            </w:pPr>
            <w:r>
              <w:rPr>
                <w:rFonts w:ascii="Times New Roman" w:cs="Times New Roman" w:eastAsia="Times New Roman" w:hAnsi="Times New Roman"/>
                <w:sz w:val="11"/>
                <w:szCs w:val="11"/>
                <w:b w:val="1"/>
                <w:bCs w:val="1"/>
                <w:color w:val="auto"/>
                <w:w w:val="99"/>
              </w:rPr>
              <w:t>Average Grant</w:t>
            </w:r>
          </w:p>
        </w:tc>
        <w:tc>
          <w:tcPr>
            <w:tcW w:w="0" w:type="dxa"/>
            <w:vAlign w:val="bottom"/>
          </w:tcPr>
          <w:p>
            <w:pPr>
              <w:spacing w:after="0"/>
              <w:rPr>
                <w:sz w:val="1"/>
                <w:szCs w:val="1"/>
                <w:color w:val="auto"/>
              </w:rPr>
            </w:pPr>
          </w:p>
        </w:tc>
      </w:tr>
      <w:tr>
        <w:trPr>
          <w:trHeight w:val="117"/>
        </w:trPr>
        <w:tc>
          <w:tcPr>
            <w:tcW w:w="8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center"/>
              <w:ind w:right="154"/>
              <w:spacing w:after="0" w:line="117"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5"/>
        </w:trPr>
        <w:tc>
          <w:tcPr>
            <w:tcW w:w="818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January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167.84</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302.26</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143.19</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Performance adjustment </w:t>
            </w:r>
            <w:r>
              <w:rPr>
                <w:rFonts w:ascii="Times New Roman" w:cs="Times New Roman" w:eastAsia="Times New Roman" w:hAnsi="Times New Roman"/>
                <w:sz w:val="18"/>
                <w:szCs w:val="18"/>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188.52</w:t>
            </w:r>
          </w:p>
        </w:tc>
        <w:tc>
          <w:tcPr>
            <w:tcW w:w="0" w:type="dxa"/>
            <w:vAlign w:val="bottom"/>
          </w:tcPr>
          <w:p>
            <w:pPr>
              <w:spacing w:after="0"/>
              <w:rPr>
                <w:sz w:val="1"/>
                <w:szCs w:val="1"/>
                <w:color w:val="auto"/>
              </w:rPr>
            </w:pPr>
          </w:p>
        </w:tc>
      </w:tr>
      <w:tr>
        <w:trPr>
          <w:trHeight w:val="17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April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80" w:type="dxa"/>
            <w:vAlign w:val="bottom"/>
            <w:tcBorders>
              <w:bottom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b w:val="1"/>
                <w:bCs w:val="1"/>
                <w:color w:val="auto"/>
              </w:rPr>
              <w:t xml:space="preserve">RSUs and PSUs expected to vest at April 30, 2024 </w:t>
            </w:r>
            <w:r>
              <w:rPr>
                <w:rFonts w:ascii="Times New Roman" w:cs="Times New Roman" w:eastAsia="Times New Roman" w:hAnsi="Times New Roman"/>
                <w:sz w:val="18"/>
                <w:szCs w:val="18"/>
                <w:b w:val="1"/>
                <w:bCs w:val="1"/>
                <w:color w:val="auto"/>
                <w:vertAlign w:val="superscript"/>
              </w:rPr>
              <w:t>(2)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10,719</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right="200" w:hanging="255"/>
        <w:spacing w:after="0" w:line="264" w:lineRule="auto"/>
        <w:tabs>
          <w:tab w:leader="none" w:pos="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adjustment represents adjustments in shares outstanding due to the actual achievement of performance-based awards, the achievement of which was based upon pre-defined financial performance targets.</w:t>
      </w:r>
    </w:p>
    <w:p>
      <w:pPr>
        <w:spacing w:after="0" w:line="53"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in progress PSUs and Special PSUs where pre-defined targets have not yet been achieved.</w:t>
      </w:r>
    </w:p>
    <w:p>
      <w:pPr>
        <w:spacing w:after="0" w:line="173"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1"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36"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w:t>
      </w:r>
    </w:p>
    <w:p>
      <w:pPr>
        <w:spacing w:after="0" w:line="14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Employee payroll contributions ultimately used to purchase shares are reclassified to stockholders’ equity on the purchase date. ESPP employee payroll contributions accrued as of April 30, 2024 and January 31, 2024 totaled $50.0 million and $22.3 million, respectively, and are included within accrued payroll and benefits in the condensed consolidated balance sheets.</w:t>
      </w:r>
    </w:p>
    <w:p>
      <w:pPr>
        <w:spacing w:after="0" w:line="12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assumptions used in the Black-Scholes option-pricing model to determine the fair value of employee stock purchase rights granted under the Company’s ESPP: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71"/>
        </w:trPr>
        <w:tc>
          <w:tcPr>
            <w:tcW w:w="7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2.0</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 – 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 4.7%</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40.8% – 61.2%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 61.2%</w:t>
            </w:r>
          </w:p>
        </w:tc>
      </w:tr>
      <w:tr>
        <w:trPr>
          <w:trHeight w:val="184"/>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410"/>
        </w:trPr>
        <w:tc>
          <w:tcPr>
            <w:tcW w:w="7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0"/>
        </w:trPr>
        <w:tc>
          <w:tcPr>
            <w:tcW w:w="7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 included in the condensed consolidated statements of operations is as follows (in thousands):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71"/>
        </w:trPr>
        <w:tc>
          <w:tcPr>
            <w:tcW w:w="78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13,916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cost of revenue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52,258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35,739</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66,742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44,381</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43,936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37,140</w:t>
            </w:r>
          </w:p>
        </w:tc>
      </w:tr>
      <w:tr>
        <w:trPr>
          <w:trHeight w:val="171"/>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183,125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130,856</w:t>
            </w:r>
          </w:p>
        </w:tc>
      </w:tr>
      <w:tr>
        <w:trPr>
          <w:trHeight w:val="20"/>
        </w:trPr>
        <w:tc>
          <w:tcPr>
            <w:tcW w:w="7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69"/>
        </w:trPr>
        <w:tc>
          <w:tcPr>
            <w:tcW w:w="7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7. Revenue, Deferred Revenue and Remaining Performance Obligations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revenue by region based on the shipping address of customers who have contracted to use the Company’s platform or service (in thousands, except percentages):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6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60"/>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 Revenue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 Revenue</w:t>
            </w:r>
          </w:p>
        </w:tc>
      </w:tr>
      <w:tr>
        <w:trPr>
          <w:trHeight w:val="162"/>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630,026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474,825</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r>
      <w:tr>
        <w:trPr>
          <w:trHeight w:val="168"/>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 Middle East, and Africa</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104,552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7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Asia Pacific</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72,219</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68"/>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40,984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88"/>
        </w:trPr>
        <w:tc>
          <w:tcPr>
            <w:tcW w:w="6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921,036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692,580</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single country other than the United States represented 10% or more of the Company’s total revenue during the three months ended April 30, 2024 and April 30, 2023.</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81"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Contract liabilities consist of deferred revenue and include payments received in advance of performance under the contract. Such amounts are recognized as revenue over the contractual period. The Company recognized revenue of $792.2 million and $596.4 million for the three months ended April 30, 2024 and April 30, 2023, which was included in the corresponding contract liability balance at the beginning of the period.</w:t>
      </w:r>
    </w:p>
    <w:p>
      <w:pPr>
        <w:spacing w:after="0" w:line="136"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deferred revenue were as follows (in thousands):</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72"/>
        </w:trPr>
        <w:tc>
          <w:tcPr>
            <w:tcW w:w="796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40" w:type="dxa"/>
            <w:vAlign w:val="bottom"/>
            <w:tcBorders>
              <w:bottom w:val="single" w:sz="8" w:color="auto"/>
            </w:tcBorders>
          </w:tcPr>
          <w:p>
            <w:pPr>
              <w:spacing w:after="0"/>
              <w:rPr>
                <w:sz w:val="24"/>
                <w:szCs w:val="24"/>
                <w:color w:val="auto"/>
              </w:rPr>
            </w:pPr>
          </w:p>
        </w:tc>
      </w:tr>
      <w:tr>
        <w:trPr>
          <w:trHeight w:val="171"/>
        </w:trPr>
        <w:tc>
          <w:tcPr>
            <w:tcW w:w="79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r>
      <w:tr>
        <w:trPr>
          <w:trHeight w:val="203"/>
        </w:trPr>
        <w:tc>
          <w:tcPr>
            <w:tcW w:w="7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40" w:type="dxa"/>
            <w:vAlign w:val="bottom"/>
            <w:tcBorders>
              <w:bottom w:val="single" w:sz="8" w:color="auto"/>
            </w:tcBorders>
          </w:tcPr>
          <w:p>
            <w:pPr>
              <w:spacing w:after="0"/>
              <w:rPr>
                <w:sz w:val="17"/>
                <w:szCs w:val="17"/>
                <w:color w:val="auto"/>
              </w:rPr>
            </w:pP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3,054,099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2,355,113</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deferred revenue</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936,316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741,258</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deferred revenue</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(921,036)</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(692,580)</w:t>
            </w:r>
          </w:p>
        </w:tc>
      </w:tr>
      <w:tr>
        <w:trPr>
          <w:trHeight w:val="171"/>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3,069,379</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2,403,791</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Company’s subscription contracts with its customers have a typical term of one to three years and most subscription contracts are non-cancellable. Customers generally have the right to terminate their contracts for cause as a result of the Company’s failure to perform. As of April 30, 2024, the aggregate amount of the transaction price allocated to remaining performance obligations was $4.7 billion. The Company expects to recognize approximately 60% of the remaining performance obligations in the 12 months following April 30, 2024, and 39% of the remaining performance obligations between 13 to 36 months, with the remainder to be recognized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Costs to Obtain and Fulfill a Contract</w:t>
      </w:r>
    </w:p>
    <w:p>
      <w:pPr>
        <w:spacing w:after="0" w:line="181"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36"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six months and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months ended April 30, 2024 or April 30, 2023.</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activity of deferred contract acquisition costs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600" w:type="dxa"/>
            <w:vAlign w:val="bottom"/>
            <w:tcBorders>
              <w:bottom w:val="single" w:sz="8" w:color="auto"/>
            </w:tcBorders>
          </w:tcPr>
          <w:p>
            <w:pPr>
              <w:spacing w:after="0"/>
              <w:rPr>
                <w:sz w:val="14"/>
                <w:szCs w:val="14"/>
                <w:color w:val="auto"/>
              </w:rPr>
            </w:pPr>
          </w:p>
        </w:tc>
      </w:tr>
      <w:tr>
        <w:trPr>
          <w:trHeight w:val="161"/>
        </w:trPr>
        <w:tc>
          <w:tcPr>
            <w:tcW w:w="79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582,303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447,088</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Capitalization of contract acquisition costs</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49,532</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(74,128)</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(55,322)</w:t>
            </w:r>
          </w:p>
        </w:tc>
      </w:tr>
      <w:tr>
        <w:trPr>
          <w:trHeight w:val="17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574,655</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441,298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3"/>
        </w:trPr>
        <w:tc>
          <w:tcPr>
            <w:tcW w:w="79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244,651</w:t>
            </w:r>
          </w:p>
        </w:tc>
        <w:tc>
          <w:tcPr>
            <w:tcW w:w="100" w:type="dxa"/>
            <w:vAlign w:val="bottom"/>
          </w:tcPr>
          <w:p>
            <w:pPr>
              <w:spacing w:after="0"/>
              <w:rPr>
                <w:sz w:val="15"/>
                <w:szCs w:val="15"/>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186,901</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330,004</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254,397</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deferred contract acquisition costs</w:t>
            </w:r>
          </w:p>
        </w:tc>
        <w:tc>
          <w:tcPr>
            <w:tcW w:w="10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574,655</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441,298</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07"/>
        </w:trPr>
        <w:tc>
          <w:tcPr>
            <w:tcW w:w="79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right="9200" w:hanging="255"/>
        <w:spacing w:after="0" w:line="507" w:lineRule="auto"/>
        <w:tabs>
          <w:tab w:leader="none" w:pos="147"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Commitments and Contingencies Purchase Obligations</w:t>
      </w:r>
    </w:p>
    <w:p>
      <w:pPr>
        <w:spacing w:after="0" w:line="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In the normal course of business, the Company enters into non-cancellable purchase commitments with various parties to purchase products and services such as data center capacity, advertising, technology, equipment, office renovations, corporate events, and consulting services. A summary of non-cancellable purchase obligations in excess of one year as of April 30, 2024, with expected date of payment is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9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7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 (remaining nine months)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334,375</w:t>
            </w:r>
          </w:p>
        </w:tc>
      </w:tr>
      <w:tr>
        <w:trPr>
          <w:trHeight w:val="18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473,071</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444,422</w:t>
            </w:r>
          </w:p>
        </w:tc>
      </w:tr>
      <w:tr>
        <w:trPr>
          <w:trHeight w:val="18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453,175</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440,841</w:t>
            </w:r>
          </w:p>
        </w:tc>
      </w:tr>
      <w:tr>
        <w:trPr>
          <w:trHeight w:val="18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414,827</w:t>
            </w:r>
          </w:p>
        </w:tc>
      </w:tr>
      <w:tr>
        <w:trPr>
          <w:trHeight w:val="196"/>
        </w:trPr>
        <w:tc>
          <w:tcPr>
            <w:tcW w:w="9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2,560,711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8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 and a permanent injunction. In September 2022, Webroot amended its complaint to assert six additional patents. In November 2023, CrowdStrike, Inc. entered into an agreement that provided for, among other things, the settlement and dismissal of the parties’ claims and filed for dismissal. The amount attributable to the settlement was not material.</w:t>
      </w:r>
    </w:p>
    <w:p>
      <w:pPr>
        <w:spacing w:after="0" w:line="143"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Warranties and Indemnification</w:t>
      </w:r>
    </w:p>
    <w:p>
      <w:pPr>
        <w:spacing w:after="0" w:line="181"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24"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40"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2024 or January 31, 2024.</w:t>
      </w:r>
    </w:p>
    <w:p>
      <w:pPr>
        <w:spacing w:after="0" w:line="134" w:lineRule="exact"/>
        <w:rPr>
          <w:sz w:val="20"/>
          <w:szCs w:val="20"/>
          <w:color w:val="auto"/>
        </w:rPr>
      </w:pPr>
    </w:p>
    <w:p>
      <w:pPr>
        <w:ind w:left="260" w:right="10180" w:hanging="255"/>
        <w:spacing w:after="0" w:line="523" w:lineRule="auto"/>
        <w:tabs>
          <w:tab w:leader="none" w:pos="147"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Acquisitions Flow Security</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March 26, 2024, the Company acquired 100% of the equity interest of Flow Security Ltd. (“Flow Security”), a leading provider of data security solutions.</w:t>
      </w:r>
    </w:p>
    <w:p>
      <w:pPr>
        <w:spacing w:after="0" w:line="179"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spacing w:after="0" w:line="146"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Class A common stock, subject to service-based vesting and other conditions. Further, the Company agreed to grant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54" w:lineRule="exact"/>
        <w:rPr>
          <w:sz w:val="20"/>
          <w:szCs w:val="20"/>
          <w:color w:val="auto"/>
        </w:rPr>
      </w:pPr>
    </w:p>
    <w:p>
      <w:pPr>
        <w:ind w:right="400" w:firstLine="255"/>
        <w:spacing w:after="0" w:line="271" w:lineRule="auto"/>
        <w:rPr>
          <w:sz w:val="20"/>
          <w:szCs w:val="20"/>
          <w:color w:val="auto"/>
        </w:rPr>
      </w:pPr>
      <w:r>
        <w:rPr>
          <w:rFonts w:ascii="Times New Roman" w:cs="Times New Roman" w:eastAsia="Times New Roman" w:hAnsi="Times New Roman"/>
          <w:sz w:val="14"/>
          <w:szCs w:val="14"/>
          <w:color w:val="auto"/>
        </w:rPr>
        <w:t>Acquisition costs incurred during the three months ended April 30, 2024 were $2.5 million and are primarily recorded in general and administrative expenses on the Company’s condensed consolidated statements of operations.</w:t>
      </w:r>
    </w:p>
    <w:p>
      <w:pPr>
        <w:spacing w:after="0" w:line="135"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acquisition have been included in the Company’s condensed consolidated financial statements from the date of acquisition. The acquisition of Flow Security did not have a material impact on the Company’s condensed consolidated financial statements, and therefore historical and pro forma disclosures have not been presented.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Bionic</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On September 28, 2023, the Company acquired 100% of the equity interest of Bionic Stork, Ltd. (“Bionic”), a privately-held company that provides an Application Security Posture Management platform designed to proactively reduce and mitigate security, data privacy, and operational risks by analyzing application architecture and dependencies that run in production.</w:t>
      </w:r>
    </w:p>
    <w:p>
      <w:pPr>
        <w:spacing w:after="0" w:line="124"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The acquisition has been accounted for as a business combination. The total consideration transferred consisted of $239.0 million in cash, net of $25.7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identified intangible assets, which include developed technology and customer relationships of $34.9 million, net tangible liabilities acquired of $2.7 million, and goodwill of $207.5 million, which was allocated to the Company’s one reporting unit and represents the excess of the purchase price over the fair value of net tangible and intangible assets acquired. The goodwill was primarily attributable to the assembled workforce of Bionic, planned growth in new markets, and synergies expected to be achieved from the integration of Bionic. Goodwill is not deductible for income tax purposes.</w:t>
      </w:r>
    </w:p>
    <w:p>
      <w:pPr>
        <w:spacing w:after="0" w:line="146"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Per the terms of the share purchase agreement with Bionic, certain unvested stock options held by Bionic employees were canceled and exchanged for replacement stock options under the 2019 Plan. Additionally, certain shares of Bionic stock held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Bionic employees were exchanged for shares of the Company’s Class A common stock, subject to service-based vesting and other conditions. Further, the Company granted RSUs and PSUs under the 2019 Plan to certain continuing employees. The awards that are subject to continued service are recognized ratably as stock-based compensation expense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components of identifiable intangible assets acquired and their estimated useful lives as of the date of acquisition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c>
          <w:tcPr>
            <w:tcW w:w="1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7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(in months)</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 acquired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34,900</w:t>
            </w:r>
          </w:p>
        </w:tc>
        <w:tc>
          <w:tcPr>
            <w:tcW w:w="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Acquisition costs during the three months ended April 30, 2024 were immaterial.</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acquisition have been included in the Company’s condensed consolidated financial statements from the date of acquisition. The acquisition of Bionic did not have a material impact on the Company’s condensed consolidated financial statements, and therefore historical and pro forma disclosures have not been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10. Net Income Per Share Attributable to Common Stockholders</w:t>
      </w:r>
    </w:p>
    <w:p>
      <w:pPr>
        <w:spacing w:after="0" w:line="18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Basic and diluted net income per share attributable to CrowdStrike’s common stockholders is computed in conformity with the two-class method required for participating securities. Basic net income per share attributable to CrowdStrike common stockholders is computed by dividing the net income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PSUs, ESPP obligations, and founder holdbacks, and are computed using the treasury stock method. The effects of the outstanding stock options, RSUs, PSUs, Special PSUs, ESPP obligations, and founders holdbacks are excluded from the computation of the diluted net income per share in periods in which the effect would be anti-dilutive.</w:t>
      </w:r>
    </w:p>
    <w:p>
      <w:pPr>
        <w:spacing w:after="0" w:line="31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per share attributable to CrowdStrike common stockholders are the same for shares of Class A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 attributable to CrowdStrike common stockholders (in thousands,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Class A and Class B CrowdStrike common stockholders</w:t>
            </w: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42,820</w:t>
            </w:r>
          </w:p>
        </w:tc>
        <w:tc>
          <w:tcPr>
            <w:tcW w:w="100" w:type="dxa"/>
            <w:vAlign w:val="bottom"/>
          </w:tcPr>
          <w:p>
            <w:pPr>
              <w:spacing w:after="0"/>
              <w:rPr>
                <w:sz w:val="15"/>
                <w:szCs w:val="15"/>
                <w:color w:val="auto"/>
              </w:rPr>
            </w:pPr>
          </w:p>
        </w:tc>
        <w:tc>
          <w:tcPr>
            <w:tcW w:w="1020" w:type="dxa"/>
            <w:vAlign w:val="bottom"/>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94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Weighted-average shares used in computing net income per share attributable to Class A and Class B of CrowdStrike common</w:t>
            </w: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stockholders, basic</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242,389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236,414</w:t>
            </w: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Dilutive effect of common stock equivalents</w:t>
            </w: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0" w:type="dxa"/>
            <w:vAlign w:val="bottom"/>
          </w:tcPr>
          <w:p>
            <w:pPr>
              <w:spacing w:after="0"/>
              <w:rPr>
                <w:sz w:val="1"/>
                <w:szCs w:val="1"/>
                <w:color w:val="auto"/>
              </w:rPr>
            </w:pPr>
          </w:p>
        </w:tc>
      </w:tr>
      <w:tr>
        <w:trPr>
          <w:trHeight w:val="118"/>
        </w:trPr>
        <w:tc>
          <w:tcPr>
            <w:tcW w:w="794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 Class A and Class B of CrowdStrike common</w:t>
            </w:r>
          </w:p>
        </w:tc>
        <w:tc>
          <w:tcPr>
            <w:tcW w:w="10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250,164</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240,598</w:t>
            </w:r>
          </w:p>
        </w:tc>
        <w:tc>
          <w:tcPr>
            <w:tcW w:w="0" w:type="dxa"/>
            <w:vAlign w:val="bottom"/>
          </w:tcPr>
          <w:p>
            <w:pPr>
              <w:spacing w:after="0"/>
              <w:rPr>
                <w:sz w:val="1"/>
                <w:szCs w:val="1"/>
                <w:color w:val="auto"/>
              </w:rPr>
            </w:pPr>
          </w:p>
        </w:tc>
      </w:tr>
      <w:tr>
        <w:trPr>
          <w:trHeight w:val="170"/>
        </w:trPr>
        <w:tc>
          <w:tcPr>
            <w:tcW w:w="7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stockholders, dilutive</w:t>
            </w: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 attributable to Class A and Class B CrowdStrike common stockholders, basic</w:t>
            </w:r>
          </w:p>
        </w:tc>
        <w:tc>
          <w:tcPr>
            <w:tcW w:w="102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income per share attributable to Class A and Class B CrowdStrike common stockholders, diluted</w:t>
            </w:r>
          </w:p>
        </w:tc>
        <w:tc>
          <w:tcPr>
            <w:tcW w:w="1020" w:type="dxa"/>
            <w:vAlign w:val="bottom"/>
            <w:tcBorders>
              <w:bottom w:val="single" w:sz="8" w:color="auto"/>
            </w:tcBorders>
          </w:tcPr>
          <w:p>
            <w:pPr>
              <w:jc w:val="right"/>
              <w:ind w:right="871"/>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right"/>
              <w:ind w:right="87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255"/>
        <w:spacing w:after="0" w:line="275" w:lineRule="auto"/>
        <w:rPr>
          <w:sz w:val="20"/>
          <w:szCs w:val="20"/>
          <w:color w:val="auto"/>
        </w:rPr>
      </w:pPr>
      <w:r>
        <w:rPr>
          <w:rFonts w:ascii="Times New Roman" w:cs="Times New Roman" w:eastAsia="Times New Roman" w:hAnsi="Times New Roman"/>
          <w:sz w:val="14"/>
          <w:szCs w:val="14"/>
          <w:color w:val="auto"/>
        </w:rPr>
        <w:t>The potential shares of common stock that were excluded from the computation of diluted net income per share attributable to common stockholders for the periods presented because including them would have been antidilutive are as follows (in thousands):</w:t>
      </w:r>
    </w:p>
    <w:tbl>
      <w:tblPr>
        <w:tblLayout w:type="fixed"/>
        <w:tblInd w:w="0" w:type="dxa"/>
        <w:tblCellMar>
          <w:top w:w="0" w:type="dxa"/>
          <w:left w:w="0" w:type="dxa"/>
          <w:bottom w:w="0" w:type="dxa"/>
          <w:right w:w="0" w:type="dxa"/>
        </w:tblCellMar>
      </w:tblPr>
      <w:tr>
        <w:trPr>
          <w:trHeight w:val="186"/>
        </w:trPr>
        <w:tc>
          <w:tcPr>
            <w:tcW w:w="79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and PSUs subject to future vesting</w:t>
            </w: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w:t>
            </w:r>
          </w:p>
        </w:tc>
      </w:tr>
      <w:tr>
        <w:trPr>
          <w:trHeight w:val="180"/>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of common stock issuable from stock options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purchase rights under the Employee Stock Purchase Plan</w:t>
            </w:r>
          </w:p>
        </w:tc>
        <w:tc>
          <w:tcPr>
            <w:tcW w:w="13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r>
      <w:tr>
        <w:trPr>
          <w:trHeight w:val="171"/>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Potential common shares excluded from diluted net income per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6,855</w:t>
            </w:r>
          </w:p>
        </w:tc>
      </w:tr>
      <w:tr>
        <w:trPr>
          <w:trHeight w:val="20"/>
        </w:trPr>
        <w:tc>
          <w:tcPr>
            <w:tcW w:w="7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above table excludes founder holdbacks related to business combinations where a variable number of shares will be issued upon vesting to settle a fixed monetary amount of $21.1 million, contingent upon continued employment with the Company. The share price will be determined based on the Company’s average stock price or the volume weighted average stock price five days prior to each vesting date. During the three months ended April 30, 2024, 2,745 shares were issued to settle founder holdbacks at a weighted average price of $296.33 per share.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April 30, 2024, the above table also excludes 636,595 weighted average shares of in progress PSUs and Special PSUs where pre-defined targets have not yet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2024,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CrowdStrike Holdings Inc. is a global cybersecurity leader that delivers cybersecurity’s AI-native platform for the XDR era, purpose-built to stop breaches. 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XDR platform – the first, true cloud-native unified platform built with AI at the core, capable of harnessing vast amounts of security and enterprise data to deliver highly modular solutions through a single lightweight agent.</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4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Our Go-To-Market Strategy</w:t>
      </w:r>
    </w:p>
    <w:p>
      <w:pPr>
        <w:spacing w:after="0" w:line="18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3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40"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24"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Certain Factors Affecting Our Performance</w:t>
      </w:r>
    </w:p>
    <w:p>
      <w:pPr>
        <w:spacing w:after="0" w:line="179"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Adoption of Our Solutions. </w:t>
      </w:r>
      <w:r>
        <w:rPr>
          <w:rFonts w:ascii="Times New Roman" w:cs="Times New Roman" w:eastAsia="Times New Roman" w:hAnsi="Times New Roman"/>
          <w:sz w:val="14"/>
          <w:szCs w:val="14"/>
          <w:color w:val="auto"/>
        </w:rPr>
        <w:t>We believe our future success depends in large part on the growth in the market for cloud-based SaaS-delivered endpoint security solutions. Many organizations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34" w:lineRule="exact"/>
        <w:rPr>
          <w:sz w:val="20"/>
          <w:szCs w:val="20"/>
          <w:color w:val="auto"/>
        </w:rPr>
      </w:pPr>
    </w:p>
    <w:p>
      <w:pPr>
        <w:ind w:right="12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Customer Acquisition. </w:t>
      </w:r>
      <w:r>
        <w:rPr>
          <w:rFonts w:ascii="Times New Roman" w:cs="Times New Roman" w:eastAsia="Times New Roman" w:hAnsi="Times New Roman"/>
          <w:sz w:val="14"/>
          <w:szCs w:val="14"/>
          <w:color w:val="auto"/>
        </w:rPr>
        <w:t>Our future growth depends in large part on our ability to acquire new customers. If our efforts to attract new customers are not successful, our revenue and rate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40" w:lineRule="exact"/>
        <w:rPr>
          <w:sz w:val="20"/>
          <w:szCs w:val="20"/>
          <w:color w:val="auto"/>
        </w:rPr>
      </w:pPr>
    </w:p>
    <w:p>
      <w:pPr>
        <w:ind w:right="18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Customer Retention and Increase Sales. </w:t>
      </w:r>
      <w:r>
        <w:rPr>
          <w:rFonts w:ascii="Times New Roman" w:cs="Times New Roman" w:eastAsia="Times New Roman" w:hAnsi="Times New Roman"/>
          <w:sz w:val="14"/>
          <w:szCs w:val="14"/>
          <w:color w:val="auto"/>
        </w:rPr>
        <w:t>Our ability to increase revenue depends in large part on our ability to retain our existing customers and increase the ARR of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34"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 in Growth. </w:t>
      </w:r>
      <w:r>
        <w:rPr>
          <w:rFonts w:ascii="Times New Roman" w:cs="Times New Roman" w:eastAsia="Times New Roman" w:hAnsi="Times New Roman"/>
          <w:sz w:val="14"/>
          <w:szCs w:val="14"/>
          <w:color w:val="auto"/>
        </w:rPr>
        <w:t>We believe that our market opportunity is large and requires us to continue to invest significantly in sales and marketing efforts to further grow our customer base, both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4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Key Metrics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monitor the following key metrics to help us evaluate our business, identify trends affecting our business, formulate business plans, and make strategic decisions.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Annual Recurring Revenue (“ARR”)</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ARR as of the dates presented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1080" w:type="dxa"/>
            <w:vAlign w:val="bottom"/>
            <w:tcBorders>
              <w:bottom w:val="single" w:sz="8" w:color="auto"/>
            </w:tcBorders>
          </w:tcPr>
          <w:p>
            <w:pPr>
              <w:spacing w:after="0"/>
              <w:rPr>
                <w:sz w:val="16"/>
                <w:szCs w:val="16"/>
                <w:color w:val="auto"/>
              </w:rPr>
            </w:pPr>
          </w:p>
        </w:tc>
      </w:tr>
      <w:tr>
        <w:trPr>
          <w:trHeight w:val="171"/>
        </w:trPr>
        <w:tc>
          <w:tcPr>
            <w:tcW w:w="79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recurring revenue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3,646,881</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2,733,931</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growth</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r>
    </w:tbl>
    <w:p>
      <w:pPr>
        <w:spacing w:after="0" w:line="226"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ARR grew to $3.6 billion as of April 30, 2024, of which $211.7 million was net new ARR added for the three months ended April 30, 2024. ARR grew to $2.7 billion as of April 30, 2023, of which $174.2 million was net new ARR added for the three months ended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Dollar-Based Net Retention Rate</w:t>
      </w:r>
    </w:p>
    <w:p>
      <w:pPr>
        <w:spacing w:after="0" w:line="181"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49"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Our dollar-based net retention rate was consistent with our expectations as of April 30, 2024. Our dollar-based net retention rate can fluctuate from period to period due to large customer contracts in a given period, which may reduce our dollar-based net retention rate in subsequent periods if the customer makes a larger upfront purchase and does not continue to increase the size of their purchases.</w:t>
      </w:r>
    </w:p>
    <w:p>
      <w:pPr>
        <w:spacing w:after="0" w:line="1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Subscription Revenue. </w:t>
      </w:r>
      <w:r>
        <w:rPr>
          <w:rFonts w:ascii="Times New Roman" w:cs="Times New Roman" w:eastAsia="Times New Roman" w:hAnsi="Times New Roman"/>
          <w:sz w:val="14"/>
          <w:szCs w:val="14"/>
          <w:color w:val="auto"/>
        </w:rPr>
        <w:t>Subscription revenue primarily consists of subscription fees for our Falcon platform and additional cloud modules that are supported by our cloud-based platform.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40"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Revenue. </w:t>
      </w:r>
      <w:r>
        <w:rPr>
          <w:rFonts w:ascii="Times New Roman" w:cs="Times New Roman" w:eastAsia="Times New Roman" w:hAnsi="Times New Roman"/>
          <w:sz w:val="14"/>
          <w:szCs w:val="14"/>
          <w:color w:val="auto"/>
        </w:rPr>
        <w:t>Professional services revenue includes incident response and proactive services, forensic and malware analysis, and attribution analysis. Professional services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79"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Subscription Cost of Revenue. </w:t>
      </w:r>
      <w:r>
        <w:rPr>
          <w:rFonts w:ascii="Times New Roman" w:cs="Times New Roman" w:eastAsia="Times New Roman" w:hAnsi="Times New Roman"/>
          <w:sz w:val="14"/>
          <w:szCs w:val="14"/>
          <w:color w:val="auto"/>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3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38" w:lineRule="exact"/>
        <w:rPr>
          <w:sz w:val="20"/>
          <w:szCs w:val="20"/>
          <w:color w:val="auto"/>
        </w:rPr>
      </w:pPr>
    </w:p>
    <w:p>
      <w:pPr>
        <w:ind w:right="3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Cost of Revenue. </w:t>
      </w:r>
      <w:r>
        <w:rPr>
          <w:rFonts w:ascii="Times New Roman" w:cs="Times New Roman" w:eastAsia="Times New Roman" w:hAnsi="Times New Roman"/>
          <w:sz w:val="14"/>
          <w:szCs w:val="14"/>
          <w:color w:val="auto"/>
        </w:rPr>
        <w:t>Professional services cost of revenue consists primarily of employee-related costs, such as salaries and bonuses, stock-based compensation expense,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technology, property and equipment depreciation, and an allocated portion of facilities and administrative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424815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1"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34"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expenses primarily consist of employee-related expenses such as salaries, commissions, and bonuses. 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4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 to period depending on the timing of these expenses.</w:t>
      </w:r>
    </w:p>
    <w:p>
      <w:pPr>
        <w:spacing w:after="0" w:line="134" w:lineRule="exact"/>
        <w:rPr>
          <w:sz w:val="20"/>
          <w:szCs w:val="20"/>
          <w:color w:val="auto"/>
        </w:rPr>
      </w:pPr>
    </w:p>
    <w:p>
      <w:pPr>
        <w:jc w:val="both"/>
        <w:ind w:right="3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expenses primarily consist of employee-related expenses such as salaries and bonuses; stock-based compensation; cloud hosting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3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spacing w:after="0" w:line="134"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consist of employee-related expenses such as salaries and bonuses; stock-based compensation; and related expenses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finance, human resources, and legal organizations. In addition, general and administrative expenses include outside legal, accounting, and other professional fees; and an allocated portion of facilities and administrative expenses.</w:t>
      </w:r>
    </w:p>
    <w:p>
      <w:pPr>
        <w:spacing w:after="0" w:line="136"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 to period depending on the timing of these expenses.</w:t>
      </w:r>
    </w:p>
    <w:p>
      <w:pPr>
        <w:spacing w:after="0" w:line="122" w:lineRule="exact"/>
        <w:rPr>
          <w:sz w:val="20"/>
          <w:szCs w:val="20"/>
          <w:color w:val="auto"/>
        </w:rPr>
      </w:pPr>
    </w:p>
    <w:p>
      <w:pPr>
        <w:ind w:right="2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consists primarily of amortization of debt issuance costs, contractual interest expense for our Senior Notes issued in January 2021, and amortization of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costs on our secured revolving credit facility.</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consists primarily of income earned on our cash, cash equivalents,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461645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Other income, net consists primarily of gains and losses on strategic investments and foreign currency transaction gains and losses.</w:t>
      </w:r>
    </w:p>
    <w:p>
      <w:pPr>
        <w:spacing w:after="0" w:line="179"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Provision for income taxes consists of state income taxes in the United States, foreign income taxes, and withholding taxes related to customer payments in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 Due to recent profitability, a material reversal of our valuation allowance in U.S. jurisdictions in the foreseeable future is reasonably possible.</w:t>
      </w:r>
    </w:p>
    <w:p>
      <w:pPr>
        <w:spacing w:after="0" w:line="138"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Net Income Attributable to Non-controlling Interest</w:t>
      </w:r>
      <w:r>
        <w:rPr>
          <w:rFonts w:ascii="Times New Roman" w:cs="Times New Roman" w:eastAsia="Times New Roman" w:hAnsi="Times New Roman"/>
          <w:sz w:val="14"/>
          <w:szCs w:val="14"/>
          <w:color w:val="auto"/>
        </w:rPr>
        <w:t>. Net income attributable to non-controlling interest consists of the Falcon Funds’ non-controlling interest share of gains and losses and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from our strategic investments.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set forth our condensed consolidated statements of operations for each period presented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7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7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Revenue</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7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Subscription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872,172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651,175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220,997</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72"/>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Professional services</w:t>
            </w: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48,864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58"/>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921,036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692,580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228,456</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52"/>
        </w:trPr>
        <w:tc>
          <w:tcPr>
            <w:tcW w:w="7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Cost of revenue</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7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Subscription</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47,557</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72"/>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Professional services</w:t>
            </w: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8,216</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58"/>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cost of revenue</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225,003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169,230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55,773</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696,033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523,350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172,683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6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Sales and marketing</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350,114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69,007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168"/>
        </w:trPr>
        <w:tc>
          <w:tcPr>
            <w:tcW w:w="7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235,249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56,184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72"/>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103,734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21,100</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15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689,097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542,806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146,291</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68"/>
        </w:trPr>
        <w:tc>
          <w:tcPr>
            <w:tcW w:w="7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r>
      <w:tr>
        <w:trPr>
          <w:trHeight w:val="168"/>
        </w:trPr>
        <w:tc>
          <w:tcPr>
            <w:tcW w:w="7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7,426</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3,229 %</w:t>
            </w: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49,023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999 %</w:t>
            </w:r>
          </w:p>
        </w:tc>
      </w:tr>
      <w:tr>
        <w:trPr>
          <w:trHeight w:val="168"/>
        </w:trPr>
        <w:tc>
          <w:tcPr>
            <w:tcW w:w="7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3,258</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74 %</w:t>
            </w: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45,765</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9,171 %</w:t>
            </w:r>
          </w:p>
        </w:tc>
      </w:tr>
      <w:tr>
        <w:trPr>
          <w:trHeight w:val="16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3,436</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42,950 %</w:t>
            </w:r>
          </w:p>
        </w:tc>
      </w:tr>
      <w:tr>
        <w:trPr>
          <w:trHeight w:val="18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CrowdStrike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42,329</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8,621 %</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950"/>
        </w:trPr>
        <w:tc>
          <w:tcPr>
            <w:tcW w:w="7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components of our condensed consolidated statements of operations as a percentage of total revenue for the periods presented:</w:t>
      </w:r>
    </w:p>
    <w:p>
      <w:pPr>
        <w:spacing w:after="0" w:line="4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6"/>
        </w:trPr>
        <w:tc>
          <w:tcPr>
            <w:tcW w:w="7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Pr>
          <w:p>
            <w:pPr>
              <w:spacing w:after="0"/>
              <w:rPr>
                <w:sz w:val="17"/>
                <w:szCs w:val="17"/>
                <w:color w:val="auto"/>
              </w:rPr>
            </w:pPr>
          </w:p>
        </w:tc>
      </w:tr>
      <w:tr>
        <w:trPr>
          <w:trHeight w:val="18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0"/>
        </w:trPr>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Subscription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180"/>
        </w:trPr>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9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Subscription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9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cost of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8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18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80"/>
        </w:trPr>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0"/>
        </w:trPr>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8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CrowdStrike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April 30, 2024 and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total revenue from subscriptions and professional services for the three months ended April 30, 2024 as compared to the three months ended April 30,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49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2"/>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872,172</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220,997</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48,864</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41,405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921,036</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692,580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228,456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Total revenue increased by $228.5 million, or 33%, for the three months ended April 30, 2024 compared to the three months ended April 30, 2023. Subscription revenue accounted for 95% and 94% of our total revenue for the three months ended April 30, 2024 and April 30, 2023, respectively. Professional services revenue accounted for 5% and 6% of our total revenue for the three months ended April 30, 2024 and April 30, 2023, respectively.</w:t>
      </w:r>
    </w:p>
    <w:p>
      <w:pPr>
        <w:spacing w:after="0" w:line="136"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Subscription revenue increased by $221.0 million, or 34%, for the three months ended April 30, 2024 compared to the three months ended April 30, 2023, which was primarily driven by a combination of the addition of new customers and the sale of additional sensors and modules to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revenue increased by $7.5 million, or 18%, for the three months ended April 30, 2024, compared to the three months ended April 30, 2023, which was primarily attributable to an increase in the number of professional service hours performed.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Gross Profit, and Gross Margin</w:t>
      </w:r>
    </w:p>
    <w:p>
      <w:pPr>
        <w:spacing w:after="0" w:line="181"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cost of revenue related to subscriptions and professional services for the three months ended April 30, 2024 as compared to the three months ended April 30,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49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2"/>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189,657</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47,557</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35,346</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27,130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cost of revenue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225,003</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right="120" w:firstLine="255"/>
        <w:spacing w:after="0" w:line="235" w:lineRule="auto"/>
        <w:rPr>
          <w:sz w:val="20"/>
          <w:szCs w:val="20"/>
          <w:color w:val="auto"/>
        </w:rPr>
      </w:pPr>
      <w:r>
        <w:rPr>
          <w:rFonts w:ascii="Times New Roman" w:cs="Times New Roman" w:eastAsia="Times New Roman" w:hAnsi="Times New Roman"/>
          <w:sz w:val="14"/>
          <w:szCs w:val="14"/>
          <w:color w:val="auto"/>
        </w:rPr>
        <w:t>Total cost of revenue increased by $55.8 million, or 33%, for the three months ended April 30, 2024 compared to the three months ended April 30, 2023. Subscription cost of revenue increased by $47.6 million, or 33%, for the three months ended April 30, 2024, compared to the three months ended April 30, 2023. The increase in subscription cost of revenue was primarily due to an increase in employee-related expenses of $14.5 million driven by a 28% increase in average headcount, an increase in depreciation of data center equipment of $8.1 million, an increase in cloud hosting and related services cost of $6.4 million, an increase in amortization of internal-use software of $5.4 million, an increase in stock-based compensation expense of $4.9 million, an increase in allocated overhead costs of $4.5 million, an increase in hardware maintenance costs of $1.9 million, and an increase in employee health benefits of $1.4 million.</w:t>
      </w:r>
    </w:p>
    <w:p>
      <w:pPr>
        <w:spacing w:after="0" w:line="146"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Professional services cost of revenue increased by $8.2 million, or 30%, for the three months ended April 30, 2024, compared to the three months ended April 30, 2023. The increase in professional services cost of revenue was primarily due to an increase in employee-related expenses of $3.4 million driven by a 14% increase in average headcount, an increase in consulting expense of $1.8 million, an increase in stock-based compensation expense of $1.6 million, and an increase in allocated overhead costs of $1.0 million.</w:t>
      </w:r>
    </w:p>
    <w:p>
      <w:pPr>
        <w:spacing w:after="0" w:line="136"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gross profit and gross margin for subscriptions and professional services for the three months ended April 30, 2024 as compared to the three months ended April 30,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520" w:type="dxa"/>
            <w:vAlign w:val="bottom"/>
            <w:tcBorders>
              <w:bottom w:val="single" w:sz="8" w:color="auto"/>
            </w:tcBorders>
            <w:gridSpan w:val="5"/>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5"/>
        </w:trPr>
        <w:tc>
          <w:tcPr>
            <w:tcW w:w="49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profit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509,075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 gross profit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13,518</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14,275</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gross profit</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696,033</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523,350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172,683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427"/>
        </w:trPr>
        <w:tc>
          <w:tcPr>
            <w:tcW w:w="4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margin</w:t>
            </w:r>
          </w:p>
        </w:tc>
        <w:tc>
          <w:tcPr>
            <w:tcW w:w="9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 gross margin</w:t>
            </w:r>
          </w:p>
        </w:tc>
        <w:tc>
          <w:tcPr>
            <w:tcW w:w="9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gross margin</w:t>
            </w: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Subscription gross margin was relatively flat for the three months ended April 30, 2024, compared to the three months ended April 30, 2023.</w:t>
      </w:r>
    </w:p>
    <w:p>
      <w:pPr>
        <w:spacing w:after="0" w:line="179"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gross margin decreased by 6% for the three months ended April 30, 2024 compared to the three months ended April 30, 2023. The decrease in professional services gross margin was primarily due to decreased utilization during the three months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sales and marketing expenses for the three months ended April 30, 2024 as compared to the three months ended April 30, 2023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69,007</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bl>
    <w:p>
      <w:pPr>
        <w:spacing w:after="0" w:line="282" w:lineRule="exact"/>
        <w:rPr>
          <w:sz w:val="20"/>
          <w:szCs w:val="20"/>
          <w:color w:val="auto"/>
        </w:rPr>
      </w:pPr>
    </w:p>
    <w:p>
      <w:pPr>
        <w:ind w:right="60" w:firstLine="255"/>
        <w:spacing w:after="0" w:line="235" w:lineRule="auto"/>
        <w:rPr>
          <w:sz w:val="20"/>
          <w:szCs w:val="20"/>
          <w:color w:val="auto"/>
        </w:rPr>
      </w:pPr>
      <w:r>
        <w:rPr>
          <w:rFonts w:ascii="Times New Roman" w:cs="Times New Roman" w:eastAsia="Times New Roman" w:hAnsi="Times New Roman"/>
          <w:sz w:val="14"/>
          <w:szCs w:val="14"/>
          <w:color w:val="auto"/>
        </w:rPr>
        <w:t>Sales and marketing expenses increased by $69.0 million, or 25%, for the three months ended April 30, 2024 compared to the three months ended April 30, 2023. The increase in sales and marketing expenses was primarily due to an increase in employee-related expenses of $26.8 million driven by a 6% increase in sales and marketing average headcount, an increase in stock-based compensation of $16.5 million, an increase in marketing programs of $9.4 million, an increase in allocated overhead costs of $4.8 million, an increase in company events expenses of $3.3 million, an increase in travel expenses of $2.5 million, an increase in employee health benefits of $1.3 million, and an increase in term-based software licenses of $1.0 million, partially offset by a decrease in taxes and licenses of $1.4 million.</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research and development expenses for the three months ended April 30, 2024 as compared to the three months ended April 30, 2023 (in thousands, except percentages):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59"/>
        </w:trPr>
        <w:tc>
          <w:tcPr>
            <w:tcW w:w="49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235,249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56,184</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bl>
    <w:p>
      <w:pPr>
        <w:spacing w:after="0" w:line="219" w:lineRule="exact"/>
        <w:rPr>
          <w:sz w:val="20"/>
          <w:szCs w:val="20"/>
          <w:color w:val="auto"/>
        </w:rPr>
      </w:pPr>
    </w:p>
    <w:p>
      <w:pPr>
        <w:ind w:right="260" w:firstLine="255"/>
        <w:spacing w:after="0" w:line="234" w:lineRule="auto"/>
        <w:rPr>
          <w:sz w:val="20"/>
          <w:szCs w:val="20"/>
          <w:color w:val="auto"/>
        </w:rPr>
      </w:pPr>
      <w:r>
        <w:rPr>
          <w:rFonts w:ascii="Times New Roman" w:cs="Times New Roman" w:eastAsia="Times New Roman" w:hAnsi="Times New Roman"/>
          <w:sz w:val="14"/>
          <w:szCs w:val="14"/>
          <w:color w:val="auto"/>
        </w:rPr>
        <w:t>Research and development expenses increased by $56.2 million, or 31%, for the three months ended April 30, 2024 compared to the three months ended April 30, 2023. This increase was primarily due an increase in stock-based compensation of $22.4 million, an increase in employee-related expenses of $21.4 million driven by a 10% increase in research and development average headcount, an increase in allocated overhead costs of $4.8 million, an increase in cloud hosting and related costs of $4.4 million, and an increase in depreciation of data center equipment of $0.9 million.</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general and administrative expenses for the three months ended April 30, 2024 as compared to the three months ended April 30, 2023 (in thousands, except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82,634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bl>
    <w:p>
      <w:pPr>
        <w:spacing w:after="0" w:line="219"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increased by $21.1 million, or 26%, for the three months ended April 30, 2024 compared to the three months ended April 30, 2023. The increase in general and administrative expenses was primarily due to an increase in stock-based compensation expense of $6.8 million, an increase in employee-related expenses of $6.3 million driven by an 11% increase in general and administrative average headcount, an increase in consulting expense of $3.4 million, an increase in allocated overhead costs of $1.0 million, an increase in legal expense of $0.8 million, an increase in company events expense of $0.6 million, and an increase in travel expense of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Interest Income, and Other Income, Net</w:t>
      </w:r>
    </w:p>
    <w:p>
      <w:pPr>
        <w:spacing w:after="0" w:line="181"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interest expense, interest income, and other income, net for the three months ended April 30, 2024 as compared to the three months ended April 30, 2023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9"/>
        </w:trPr>
        <w:tc>
          <w:tcPr>
            <w:tcW w:w="49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45,850</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30,521</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15,329</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3,229 %</w:t>
            </w:r>
          </w:p>
        </w:tc>
      </w:tr>
    </w:tbl>
    <w:p>
      <w:pPr>
        <w:spacing w:after="0" w:line="229"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Interest expense consists primarily of amortization of debt issuance costs, contractual interest expense, accretion of debt discount for our Senior Notes issued in January 2021, and amortization of debt issuance costs on our secured revolving credit facility.</w:t>
      </w:r>
    </w:p>
    <w:p>
      <w:pPr>
        <w:spacing w:after="0" w:line="124"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increase in interest income for the three months ended April 30, 2024 compared to the three months ended April 30, 2023 was driven by increases in market interest rates and an increase in our cash and cash equivalents.</w:t>
      </w:r>
    </w:p>
    <w:p>
      <w:pPr>
        <w:spacing w:after="0" w:line="124"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increase in other income, net for the three months ended April 30, 2024 compared to the three months ended April 30, 2023 was primarily due to an increase in gains on sales of our strategic investments of $6.9 million.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the provision for income taxes for the three months ended April 30, 2024 as compared to the three months ended April 30, 2023 (in thousands, except percentage):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Three Months Ended April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59"/>
        </w:trPr>
        <w:tc>
          <w:tcPr>
            <w:tcW w:w="49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bl>
    <w:p>
      <w:pPr>
        <w:spacing w:after="0" w:line="219"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The increase in provision for income taxes of $3.3 million during the three months ended April 30, 2024 compared to the three months ended April 30, 2023 was primarily attributable to an increase in withholding taxes related to customer payments in certain foreign jurisdictions in which the Company conducts business.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jc w:val="both"/>
        <w:ind w:right="180" w:firstLine="255"/>
        <w:spacing w:after="0" w:line="264" w:lineRule="auto"/>
        <w:rPr>
          <w:sz w:val="20"/>
          <w:szCs w:val="20"/>
          <w:color w:val="auto"/>
        </w:rPr>
      </w:pPr>
      <w:r>
        <w:rPr>
          <w:rFonts w:ascii="Times New Roman" w:cs="Times New Roman" w:eastAsia="Times New Roman" w:hAnsi="Times New Roman"/>
          <w:sz w:val="14"/>
          <w:szCs w:val="14"/>
          <w:color w:val="auto"/>
        </w:rPr>
        <w:t>Our primary sources of liquidity as of April 30, 2024, consisted of: (i) $3.7 billion in cash and cash equivalents, which mainly consists of cash on hand and highly liquid investments in money market funds and U.S. Treasury bills, (ii) cash we expect to generate from operations, and (iii) available capacity under our $750.0 million senior secured revolving credit facility (the “A&amp;R Credit Agreement”). We expect that the combination of our existing cash and cash equivalents, cash flows from operations, and the A&amp;R Credit Agreement will be sufficient to meet our anticipated cash needs for working capital and capital expenditures for at least the next 12 months.</w:t>
      </w:r>
    </w:p>
    <w:p>
      <w:pPr>
        <w:spacing w:after="0" w:line="140"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40"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We have historically generated operating losses prior to fiscal 2024, as reflected in our accumulated deficit of $1.0 billion as of April 30, 2024. We expect to continue to make investments, particularly in sales and marketing and research and development. As a result, we may require additional capital resources in the future to execute strategic initiatives to grow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April 30, 2024, we had deferred revenue of $3.1 billion, of which $2.3 billion was recorded as a current liability and is expected to be recorded as revenue in the next 12 months, provided all other revenue recognition criteria have been met.</w:t>
      </w:r>
    </w:p>
    <w:p>
      <w:pPr>
        <w:spacing w:after="0" w:line="140"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40"/>
        </w:trPr>
        <w:tc>
          <w:tcPr>
            <w:tcW w:w="7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72"/>
        </w:trPr>
        <w:tc>
          <w:tcPr>
            <w:tcW w:w="79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24"/>
                <w:szCs w:val="24"/>
                <w:color w:val="auto"/>
              </w:rPr>
            </w:pPr>
          </w:p>
        </w:tc>
      </w:tr>
      <w:tr>
        <w:trPr>
          <w:trHeight w:val="171"/>
        </w:trPr>
        <w:tc>
          <w:tcPr>
            <w:tcW w:w="79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383,228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300,892</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(51,098)</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66,031</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r>
      <w:tr>
        <w:trPr>
          <w:trHeight w:val="184"/>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327,695</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374,641</w:t>
            </w:r>
          </w:p>
        </w:tc>
      </w:tr>
    </w:tbl>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91" w:lineRule="exact"/>
        <w:rPr>
          <w:sz w:val="20"/>
          <w:szCs w:val="20"/>
          <w:color w:val="auto"/>
        </w:rPr>
      </w:pPr>
    </w:p>
    <w:p>
      <w:pPr>
        <w:ind w:right="160" w:firstLine="255"/>
        <w:spacing w:after="0" w:line="231" w:lineRule="auto"/>
        <w:rPr>
          <w:sz w:val="20"/>
          <w:szCs w:val="20"/>
          <w:color w:val="auto"/>
        </w:rPr>
      </w:pPr>
      <w:r>
        <w:rPr>
          <w:rFonts w:ascii="Times New Roman" w:cs="Times New Roman" w:eastAsia="Times New Roman" w:hAnsi="Times New Roman"/>
          <w:sz w:val="14"/>
          <w:szCs w:val="14"/>
          <w:color w:val="auto"/>
        </w:rPr>
        <w:t>Net cash provided by operating activities during the three months ended April 30, 2024 was $383.2 million, which resulted from net income of $46.3 million, adjusted for non-cash charges of $305.3 million and net cash inflow of $31.6 million from changes in operating assets and liabilities. Non-cash charges primarily consisted of $183.1 million in stock-based compensation expense, $74.1 million of amortization of deferred contract acquisition costs, $42.7 million of depreciation and amortization, $6.0 million of amortization of intangibles assets, $3.4 million of non-cash operating lease costs, $2.3 million of accretion of short-term investments purchased at a discount, and $0.9 million of non-cash interest expense, partially offset by $6.9 million of realized gains on strategic investments. The net cash inflow from changes in operating assets and liabilities was primarily due to a $150.2 million decrease in accounts receivable and a $15.0 million increase in deferred revenue, partially offset by a $66.5 million increase in deferred contract acquisition costs, a $28.6 million increase in prepaid expenses and other assets, a $17.7 million decrease in accrued payroll and benefits, a $16.6 million decrease in accrued expenses and other liabilities, and a $4.5 million decrease in operating lease liabilities.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of $51.1 million during the three months ended April 30, 2024 was primarily due to business acquisitions, net of cash acquired, of $96.4 million, which was related to the Flow Security acquisition, purchases of property and equipment of $49.7 million, capitalized internal-use software and website development costs of $10.5 million, purchases of strategic investments of $1.7 million, and purchases of deferred compensation investments of $0.6 million, partially offset by proceeds from maturities of short-term investments of $97.3 million, and proceeds from sales of strategic investments of $10.4 million.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of $2.5 million during the three months ended April 30, 2024 was primarily due to distributions to non-controlling interest holders of $3.8 million, partially offset by proceeds from the exercise of stock options of $0.8 million, and capital contributions from non-controlling interest holders of $0.5 million.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Guarantor Financial Information</w:t>
      </w:r>
    </w:p>
    <w:p>
      <w:pPr>
        <w:spacing w:after="0" w:line="181"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our Notes to Condensed Consolidated Financial Statements in Part I, Item 1 of this Quarterly Report on Form 10-Q, for a brief description of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3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40" w:type="dxa"/>
            <w:vAlign w:val="bottom"/>
          </w:tcPr>
          <w:p>
            <w:pPr>
              <w:spacing w:after="0"/>
              <w:rPr>
                <w:sz w:val="13"/>
                <w:szCs w:val="13"/>
                <w:color w:val="auto"/>
              </w:rPr>
            </w:pPr>
          </w:p>
        </w:tc>
        <w:tc>
          <w:tcPr>
            <w:tcW w:w="1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92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919,867</w:t>
            </w:r>
          </w:p>
        </w:tc>
        <w:tc>
          <w:tcPr>
            <w:tcW w:w="0" w:type="dxa"/>
            <w:vAlign w:val="bottom"/>
          </w:tcPr>
          <w:p>
            <w:pPr>
              <w:spacing w:after="0"/>
              <w:rPr>
                <w:sz w:val="1"/>
                <w:szCs w:val="1"/>
                <w:color w:val="auto"/>
              </w:rPr>
            </w:pP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232,309</w:t>
            </w:r>
          </w:p>
        </w:tc>
        <w:tc>
          <w:tcPr>
            <w:tcW w:w="0" w:type="dxa"/>
            <w:vAlign w:val="bottom"/>
          </w:tcPr>
          <w:p>
            <w:pPr>
              <w:spacing w:after="0"/>
              <w:rPr>
                <w:sz w:val="1"/>
                <w:szCs w:val="1"/>
                <w:color w:val="auto"/>
              </w:rPr>
            </w:pP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682,674</w:t>
            </w:r>
          </w:p>
        </w:tc>
        <w:tc>
          <w:tcPr>
            <w:tcW w:w="0" w:type="dxa"/>
            <w:vAlign w:val="bottom"/>
          </w:tcPr>
          <w:p>
            <w:pPr>
              <w:spacing w:after="0"/>
              <w:rPr>
                <w:sz w:val="1"/>
                <w:szCs w:val="1"/>
                <w:color w:val="auto"/>
              </w:rPr>
            </w:pP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0" w:type="dxa"/>
            <w:vAlign w:val="bottom"/>
          </w:tcPr>
          <w:p>
            <w:pPr>
              <w:spacing w:after="0"/>
              <w:rPr>
                <w:sz w:val="1"/>
                <w:szCs w:val="1"/>
                <w:color w:val="auto"/>
              </w:rPr>
            </w:pP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38,526</w:t>
            </w:r>
          </w:p>
        </w:tc>
        <w:tc>
          <w:tcPr>
            <w:tcW w:w="0" w:type="dxa"/>
            <w:vAlign w:val="bottom"/>
          </w:tcPr>
          <w:p>
            <w:pPr>
              <w:spacing w:after="0"/>
              <w:rPr>
                <w:sz w:val="1"/>
                <w:szCs w:val="1"/>
                <w:color w:val="auto"/>
              </w:rPr>
            </w:pPr>
          </w:p>
        </w:tc>
      </w:tr>
      <w:tr>
        <w:trPr>
          <w:trHeight w:val="184"/>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CrowdStrike</w:t>
            </w:r>
          </w:p>
        </w:tc>
        <w:tc>
          <w:tcPr>
            <w:tcW w:w="2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38,526</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9"/>
              </w:rPr>
              <w:t>January 31, 2024</w:t>
            </w:r>
          </w:p>
        </w:tc>
      </w:tr>
      <w:tr>
        <w:trPr>
          <w:trHeight w:val="203"/>
        </w:trPr>
        <w:tc>
          <w:tcPr>
            <w:tcW w:w="7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7"/>
                <w:szCs w:val="17"/>
                <w:color w:val="auto"/>
              </w:rPr>
            </w:pPr>
          </w:p>
        </w:tc>
      </w:tr>
      <w:tr>
        <w:trPr>
          <w:trHeight w:val="18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 (excluding current intercompany receivables from non-Guarantors)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4,670,257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4,563,521</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intercompany receivables from non-Guarantors</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24,716</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(excluding noncurrent intercompany receivables from non-Guarantors)</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1,611,767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1,605,308</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intercompany receivables from non-Guarantors</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280,426</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2,591,588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2,605,892</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intercompany payables to non-Guarantors</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(excluding noncurrent intercompany payables to non-Guarantors)</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1,565,135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1,586,566</w:t>
            </w:r>
          </w:p>
        </w:tc>
      </w:tr>
    </w:tbl>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1"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1"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During the three months ended April 30, 2024, there were no significant changes to our debt obligations related to the Senior Notes or our contractual obligations under our non-cancelable real estate arrangements, as presented in Part II, Item 7, Management’s Discussion and Analysis of Financial Condition and Results of Operations included in our Annual Report on Form 10-K for the fiscal year ended January 31, 2024.</w:t>
      </w:r>
    </w:p>
    <w:p>
      <w:pPr>
        <w:spacing w:after="0" w:line="136"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We have non-cancellable purchase commitments with various parties to purchase products and services entered in the normal course of business totaling $2.6 billion as of April 30, 2024, with remaining terms in excess of 12 months. We expect to fund these obligations with cash flows from operations and cash and cash equivalents on our balance sheet.</w:t>
      </w:r>
    </w:p>
    <w:p>
      <w:pPr>
        <w:spacing w:after="0" w:line="124"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As of April 30, 2024, our unrecognized tax benefits included $13.5 million, which were classified as long-term liabilities due to the inherent uncertainty with respect to the timing of future cash outflows associated with our unrecognized tax benefits.</w:t>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condensed consolidated financial statements were prepared in accordance with U.S GAAP. The preparation of the condensed consolidated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36"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40"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There have been no significant changes in our critical accounting policies and estimates during the three months ended April 30, 2024, as compared to the critical accounting policies and estimates disclosed in Management’s Discussion and Analysis of Financial Condition and Results of Operations included in our Annual Report on Form 10-K for the year ended January 31, 2024, filed with the SEC on March 6, 2024.</w:t>
      </w:r>
    </w:p>
    <w:p>
      <w:pPr>
        <w:spacing w:after="0" w:line="1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81"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April 30, 2024, we had backlog of approximately $1.7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81" w:lineRule="exact"/>
        <w:rPr>
          <w:sz w:val="20"/>
          <w:szCs w:val="20"/>
          <w:color w:val="auto"/>
        </w:rPr>
      </w:pPr>
    </w:p>
    <w:p>
      <w:pPr>
        <w:ind w:right="320" w:firstLine="255"/>
        <w:spacing w:after="0" w:line="270" w:lineRule="auto"/>
        <w:rPr>
          <w:sz w:val="20"/>
          <w:szCs w:val="20"/>
          <w:color w:val="auto"/>
        </w:rPr>
      </w:pPr>
      <w:r>
        <w:rPr>
          <w:rFonts w:ascii="Times New Roman" w:cs="Times New Roman" w:eastAsia="Times New Roman" w:hAnsi="Times New Roman"/>
          <w:sz w:val="14"/>
          <w:szCs w:val="14"/>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81"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As of April 30, 2024, we had 8,429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8" w:lineRule="exact"/>
        <w:rPr>
          <w:sz w:val="20"/>
          <w:szCs w:val="20"/>
          <w:color w:val="auto"/>
        </w:rPr>
      </w:pPr>
    </w:p>
    <w:p>
      <w:pPr>
        <w:jc w:val="both"/>
        <w:ind w:right="100" w:firstLine="255"/>
        <w:spacing w:after="0" w:line="238" w:lineRule="auto"/>
        <w:rPr>
          <w:sz w:val="20"/>
          <w:szCs w:val="20"/>
          <w:color w:val="auto"/>
        </w:rPr>
      </w:pPr>
      <w:r>
        <w:rPr>
          <w:rFonts w:ascii="Times New Roman" w:cs="Times New Roman" w:eastAsia="Times New Roman" w:hAnsi="Times New Roman"/>
          <w:sz w:val="14"/>
          <w:szCs w:val="14"/>
          <w:color w:val="auto"/>
        </w:rPr>
        <w:t>Our principal executive offices are located at 206 E. 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pacing w:after="0" w:line="1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8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See Note 1, “Description of Business and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our market risks during the three months ended April 30, 2024 compared to our disclosures in Part II, Item 7A of our Annual Report on Form 10-K for the fiscal year ended January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43"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of April 30, 2024. Based on such evaluation of our disclosure controls and procedures as of April 30, 2024, our Chief Executive Officer and Chief Financial Officer concluded that, as of such date, our disclosure controls and procedures were effective at the reasonable assurance level.</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1"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18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8, “Commitments and Contingencies” in our Notes to Condensed Consolidated Financial Statements in Part I, Item 1 of this Quarterly Report on Form 10-Q.</w:t>
      </w:r>
    </w:p>
    <w:p>
      <w:pPr>
        <w:spacing w:after="0" w:line="13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business and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experienced rapid growth in recent periods, and if we do not manage our future growth, our business and results of operations will be adversely affected.</w:t>
      </w:r>
    </w:p>
    <w:p>
      <w:pPr>
        <w:spacing w:after="0" w:line="181"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We have experienced rapid revenue growth in recent periods and we expect to continue to invest broadly across our organization to support our growth. For example, our headcount grew from 4,965 employees as of January 31, 2022, to 8,429 employees as of April 30, 2024.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40" w:lineRule="exact"/>
        <w:rPr>
          <w:sz w:val="20"/>
          <w:szCs w:val="20"/>
          <w:color w:val="auto"/>
        </w:rPr>
      </w:pPr>
    </w:p>
    <w:p>
      <w:pPr>
        <w:ind w:left="900" w:hanging="259"/>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attract, integrate, and retain a large number of new employees, particularly members of our sales and marketing and research and development teams;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improve our Falcon platform, including our cloud modules, and IT infrastructure, including expanding and optimizing our data centers, to support our business needs;</w:t>
      </w:r>
    </w:p>
    <w:p>
      <w:pPr>
        <w:spacing w:after="0" w:line="178"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our financial, management, and compliance systems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and while we have achieved profitability in fiscal 2024, we may not be able to achieve or sustain profitability in the future.</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have incurred net losses each year prior to fiscal 2024, and we may not achieve or maintain profitability in the future. We experienced net gains of $89.3 million for fiscal 2024, and net losses of $183.2 million, and $234.8 million for fiscal 2023, and fiscal 2022, respectively. As of April 30, 2024, we had an accumulated deficit of $1.0 billion. While we have experienced significant growth in revenue in recent periods, and have achieved profitability during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organizations do not adopt cloud-based SaaS-delivered endpoint security solutions, our ability to grow our business and results of operations may be adversely affected.</w:t>
      </w:r>
    </w:p>
    <w:p>
      <w:pPr>
        <w:spacing w:after="0" w:line="18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4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2"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4"/>
          <w:szCs w:val="14"/>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4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may erode our competitive position, significantly impair our revenue growth, and negatively impact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our future results of operations could be harmed.</w:t>
      </w:r>
    </w:p>
    <w:p>
      <w:pPr>
        <w:spacing w:after="0" w:line="18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and constrained spending on security and IT operations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customers do not renew their subscriptions for our products and add additional cloud modules to their subscriptions, our future results of operations could be harmed.</w:t>
      </w:r>
    </w:p>
    <w:p>
      <w:pPr>
        <w:spacing w:after="0" w:line="18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and geopolitical conditions. If our efforts to maintain and expand our relationships with our existing customers are not successful, our business, results of operations, and financial condition may materially suffer.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cycles can be long and unpredictable, and our sales efforts require considerable time and expense.</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w:t>
      </w:r>
    </w:p>
    <w:p>
      <w:pPr>
        <w:spacing w:after="0" w:line="143"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and could lose market share to our competitors, which could adversely affect our business, financial condition, and results of operations.</w:t>
      </w:r>
    </w:p>
    <w:p>
      <w:pPr>
        <w:spacing w:after="0" w:line="18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43" w:lineRule="exact"/>
        <w:rPr>
          <w:sz w:val="20"/>
          <w:szCs w:val="20"/>
          <w:color w:val="auto"/>
        </w:rPr>
      </w:pPr>
    </w:p>
    <w:p>
      <w:pPr>
        <w:ind w:left="900" w:hanging="259"/>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capabilities, including performance and reliability, of our Falcon platform, including our cloud modules, services, and features compared to those of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competitors, to improve existing products, services, and features, or to develop new ones to address evolving customer needs;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retain, and motivate talented employees;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relationships with channel partners;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sales and marketing efforts;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or consolidation within our industry, which may result in more formidable competitors.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competitors include the following by general category:</w:t>
      </w:r>
    </w:p>
    <w:p>
      <w:pPr>
        <w:spacing w:after="0" w:line="179" w:lineRule="exact"/>
        <w:rPr>
          <w:sz w:val="20"/>
          <w:szCs w:val="20"/>
          <w:color w:val="auto"/>
        </w:rPr>
      </w:pPr>
    </w:p>
    <w:p>
      <w:pPr>
        <w:ind w:left="900" w:hanging="259"/>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antivirus product providers who offer a broad range of approaches and solutions including traditional signature-based anti-virus protection;</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endpoint security providers who generally offer a mix of on-premise and cloud-hosted products that rely heavily on malware-only or application whitelisting techniques;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security vendors who are supplementing their core perimeter-based offerings with endpoint or cloud security solutions;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 security vendors, including those who focus on public cloud infrastructure and services;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security vendors that seek to identify and secure user accounts and related activities;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service providers who offer cybersecurity response services.</w:t>
      </w:r>
    </w:p>
    <w:p>
      <w:pPr>
        <w:spacing w:after="0" w:line="17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pricing pressure may reduce our gross profits and adversely affect our financial results.</w:t>
      </w:r>
    </w:p>
    <w:p>
      <w:pPr>
        <w:spacing w:after="0" w:line="18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3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2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318"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4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2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 cybersecurity provider, we have been, and expect to continue to be, a target of cyberattacks. If our or our service providers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internal networks, systems, or data are or are perceived to have been compromised, our reputation may be damaged and our financial results may be negatively affected.</w:t>
      </w:r>
    </w:p>
    <w:p>
      <w:pPr>
        <w:spacing w:after="0" w:line="12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48"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46"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38"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2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factors, many of which are beyond our control, can affect the delivery, availability, and the performance of our Falcon platform:</w:t>
      </w:r>
    </w:p>
    <w:p>
      <w:pPr>
        <w:spacing w:after="0" w:line="179" w:lineRule="exact"/>
        <w:rPr>
          <w:sz w:val="20"/>
          <w:szCs w:val="20"/>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maintenance of the infrastructure of the internet;</w:t>
      </w:r>
    </w:p>
    <w:p>
      <w:pPr>
        <w:spacing w:after="0" w:line="178" w:lineRule="exact"/>
        <w:rPr>
          <w:rFonts w:ascii="Times New Roman" w:cs="Times New Roman" w:eastAsia="Times New Roman" w:hAnsi="Times New Roman"/>
          <w:sz w:val="14"/>
          <w:szCs w:val="14"/>
          <w:color w:val="auto"/>
        </w:rPr>
      </w:pPr>
    </w:p>
    <w:p>
      <w:pPr>
        <w:ind w:left="900" w:right="180" w:hanging="259"/>
        <w:spacing w:after="0" w:line="287" w:lineRule="auto"/>
        <w:tabs>
          <w:tab w:leader="none" w:pos="8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availability of third-party providers of cloud infrastructure services, such as AWS, with the necessary speed, data capacity and security for providing reliable internet access and services;</w:t>
      </w:r>
    </w:p>
    <w:p>
      <w:pPr>
        <w:spacing w:after="0" w:line="124" w:lineRule="exact"/>
        <w:rPr>
          <w:rFonts w:ascii="Times New Roman" w:cs="Times New Roman" w:eastAsia="Times New Roman" w:hAnsi="Times New Roman"/>
          <w:sz w:val="14"/>
          <w:szCs w:val="14"/>
          <w:color w:val="auto"/>
        </w:rPr>
      </w:pPr>
    </w:p>
    <w:p>
      <w:pPr>
        <w:ind w:left="900" w:right="160" w:hanging="259"/>
        <w:spacing w:after="0" w:line="287" w:lineRule="auto"/>
        <w:tabs>
          <w:tab w:leader="none" w:pos="8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24" w:lineRule="exact"/>
        <w:rPr>
          <w:rFonts w:ascii="Times New Roman" w:cs="Times New Roman" w:eastAsia="Times New Roman" w:hAnsi="Times New Roman"/>
          <w:sz w:val="14"/>
          <w:szCs w:val="14"/>
          <w:color w:val="auto"/>
        </w:rPr>
      </w:pPr>
    </w:p>
    <w:p>
      <w:pPr>
        <w:ind w:left="900" w:right="100" w:hanging="259"/>
        <w:spacing w:after="0" w:line="287" w:lineRule="auto"/>
        <w:tabs>
          <w:tab w:leader="none" w:pos="8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physical or electronic break-ins, acts of war or terrorism, human error or interference (including by disgruntled employees, former employees or contractors) and other catastrophic events;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including denial of service attacks, targeted at us, our data centers, or the infrastructure of the internet;</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to maintain and update our cloud infrastructure to meet our data capacity requirements;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errors, defects or performance problems in our software, including third-party software incorporated in our software;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improper deployment or configuration of our solutions;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redundancy systems, in the event of a service disruption at one of our data centers, to provide failover to other data centers in our data center network;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disaster recovery and business continuity arrangements.</w:t>
      </w:r>
    </w:p>
    <w:p>
      <w:pPr>
        <w:spacing w:after="0" w:line="17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key technical, sales and management personnel to grow our business, and the loss of one or more key employees could harm our business.</w:t>
      </w:r>
    </w:p>
    <w:p>
      <w:pPr>
        <w:spacing w:after="0" w:line="18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29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qualified personnel, our business could be harmed.</w:t>
      </w:r>
    </w:p>
    <w:p>
      <w:pPr>
        <w:spacing w:after="0" w:line="18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4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8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4"/>
          <w:szCs w:val="14"/>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48"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2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81"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36" w:lineRule="exact"/>
        <w:rPr>
          <w:sz w:val="20"/>
          <w:szCs w:val="20"/>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and retain existing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budgeting cycles, seasonal buying patterns, and purchasing practices of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difficulties confronting our customers, which may impact the number of modules or endpoint deployments they are willing or able to purchase;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insolvency or credit difficulties confronting our customers, affecting their ability to purchase or pay for our solutions;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length of our sales cycles;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or channel partner requirements or market needs;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 in our relationship with channel partners;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growth rate of the cloud-based SaaS-delivered endpoint security solutions market;</w:t>
      </w:r>
    </w:p>
    <w:p>
      <w:pPr>
        <w:spacing w:after="0" w:line="178" w:lineRule="exact"/>
        <w:rPr>
          <w:rFonts w:ascii="Times New Roman" w:cs="Times New Roman" w:eastAsia="Times New Roman" w:hAnsi="Times New Roman"/>
          <w:sz w:val="14"/>
          <w:szCs w:val="14"/>
          <w:color w:val="auto"/>
        </w:rPr>
      </w:pPr>
    </w:p>
    <w:p>
      <w:pPr>
        <w:ind w:left="900" w:right="240" w:hanging="259"/>
        <w:spacing w:after="0" w:line="287" w:lineRule="auto"/>
        <w:tabs>
          <w:tab w:leader="none" w:pos="89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 and service introductions by us or our competitors or any other competitive developments, including consolidation among our customers or competitors;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organizations to purchase security solutions from larger, more established security vendors or from their primary IT equipment vendors;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awareness of cybersecurity threats, particularly advanced cyberattacks, and the market adoption of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security breaches of, technical difficulties with or interruptions to, the use of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media coverage or publicity;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our business domestically and internationally;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costs (including new hires), tightening of labor markets and capital expenditures related to the expansion of our business;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expenses such as litigation or other dispute-related settlement payments or outcomes;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decreases in our expenses caused by fluctuations in foreign currency exchange rates;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 or practices;</w:t>
      </w:r>
    </w:p>
    <w:p>
      <w:pPr>
        <w:spacing w:after="0" w:line="178"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deteriorating or volatile conditions in the global economy and financial markets, including as a result of weak or negative gross domestic product growth, uncertainty or disruptions in the capital and credit markets, changing interest rates, inflation, bank failures or adverse conditions impacting financial institutions, and supply-chain disruptions; and</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events, geopolitical unrest or tension, acts of war and terrorism.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4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2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4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4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2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operations and plans for future international expansion expose us to significant risks, and failure to manage those risks could adversely impact our business.</w:t>
      </w:r>
    </w:p>
    <w:p>
      <w:pPr>
        <w:spacing w:after="0" w:line="181"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We derived approximately 28%, 30%, 32% and 32% of our total revenue from our international customers for fiscal 2022, fiscal 2023, fiscal 2024 and the three months ended April 30, 2024,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40" w:lineRule="exact"/>
        <w:rPr>
          <w:sz w:val="20"/>
          <w:szCs w:val="20"/>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greater difficulty in negotiating contracts with standard terms, enforcing contracts and managing collections, and longer collection periods;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 including costs incurred in establishing and maintaining office space and equipment for our international operations;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communication and integration problems resulting from cultural and geographic dispersion;</w:t>
      </w:r>
    </w:p>
    <w:p>
      <w:pPr>
        <w:spacing w:after="0" w:line="178"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trade restrictions and foreign legal requirements, including any importation, certification, and localization of our Falcon platform that may be required in foreign countries;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risk of unexpected changes in regulatory practices, tariffs, and tax laws and treaties;</w:t>
      </w:r>
    </w:p>
    <w:p>
      <w:pPr>
        <w:spacing w:after="0" w:line="178" w:lineRule="exact"/>
        <w:rPr>
          <w:rFonts w:ascii="Times New Roman" w:cs="Times New Roman" w:eastAsia="Times New Roman" w:hAnsi="Times New Roman"/>
          <w:sz w:val="14"/>
          <w:szCs w:val="14"/>
          <w:color w:val="auto"/>
        </w:rPr>
      </w:pPr>
    </w:p>
    <w:p>
      <w:pPr>
        <w:ind w:left="900" w:right="40" w:hanging="259"/>
        <w:spacing w:after="0" w:line="287" w:lineRule="auto"/>
        <w:tabs>
          <w:tab w:leader="none" w:pos="8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24" w:lineRule="exact"/>
        <w:rPr>
          <w:rFonts w:ascii="Times New Roman" w:cs="Times New Roman" w:eastAsia="Times New Roman" w:hAnsi="Times New Roman"/>
          <w:sz w:val="14"/>
          <w:szCs w:val="14"/>
          <w:color w:val="auto"/>
        </w:rPr>
      </w:pPr>
    </w:p>
    <w:p>
      <w:pPr>
        <w:ind w:left="900" w:right="520" w:hanging="259"/>
        <w:spacing w:after="0" w:line="286" w:lineRule="auto"/>
        <w:tabs>
          <w:tab w:leader="none" w:pos="896"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24"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the uncertainty of protection for intellectual property rights in some countries;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general economic and political conditions in these foreign markets;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foreign exchange controls or tax regulations that might prevent us from repatriating cash earned outside the United States;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political and economic instability in some countries;</w:t>
      </w:r>
    </w:p>
    <w:p>
      <w:pPr>
        <w:spacing w:after="0" w:line="177" w:lineRule="exact"/>
        <w:rPr>
          <w:rFonts w:ascii="Arial" w:cs="Arial" w:eastAsia="Arial" w:hAnsi="Arial"/>
          <w:sz w:val="14"/>
          <w:szCs w:val="14"/>
          <w:color w:val="auto"/>
        </w:rPr>
      </w:pPr>
    </w:p>
    <w:p>
      <w:pPr>
        <w:ind w:left="900" w:right="260" w:hanging="259"/>
        <w:spacing w:after="0" w:line="286" w:lineRule="auto"/>
        <w:tabs>
          <w:tab w:leader="none" w:pos="896"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tax laws of the United States or the foreign jurisdictions in which we operate;</w:t>
      </w:r>
    </w:p>
    <w:p>
      <w:pPr>
        <w:spacing w:after="0" w:line="124" w:lineRule="exact"/>
        <w:rPr>
          <w:rFonts w:ascii="Arial" w:cs="Arial" w:eastAsia="Arial" w:hAnsi="Arial"/>
          <w:sz w:val="14"/>
          <w:szCs w:val="14"/>
          <w:color w:val="auto"/>
        </w:rPr>
      </w:pPr>
    </w:p>
    <w:p>
      <w:pPr>
        <w:ind w:left="900" w:right="200" w:hanging="259"/>
        <w:spacing w:after="0" w:line="286" w:lineRule="auto"/>
        <w:tabs>
          <w:tab w:leader="none" w:pos="896"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24"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requirements to comply with foreign privacy, data protection, and information security laws and regulations and the risks and costs of noncompliance;</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greater difficulty in identifying, attracting and retaining local qualified personnel, and the costs and expenses associated with such activities;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greater difficulty identifying qualified channel partners and maintaining successful relationships with such partners;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differing employment practices and labor relations issues;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295"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and staffing international offices and increased travel, infrastructure, and legal compliance costs associated with multiple international locations.</w:t>
      </w:r>
    </w:p>
    <w:p>
      <w:pPr>
        <w:spacing w:after="0" w:line="179" w:lineRule="exact"/>
        <w:rPr>
          <w:sz w:val="20"/>
          <w:szCs w:val="20"/>
          <w:color w:val="auto"/>
        </w:rPr>
      </w:pPr>
    </w:p>
    <w:p>
      <w:pPr>
        <w:jc w:val="both"/>
        <w:ind w:right="140" w:firstLine="255"/>
        <w:spacing w:after="0" w:line="261" w:lineRule="auto"/>
        <w:rPr>
          <w:sz w:val="20"/>
          <w:szCs w:val="20"/>
          <w:color w:val="auto"/>
        </w:rPr>
      </w:pPr>
      <w:r>
        <w:rPr>
          <w:rFonts w:ascii="Times New Roman" w:cs="Times New Roman" w:eastAsia="Times New Roman" w:hAnsi="Times New Roman"/>
          <w:sz w:val="14"/>
          <w:szCs w:val="14"/>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43" w:lineRule="exact"/>
        <w:rPr>
          <w:sz w:val="20"/>
          <w:szCs w:val="20"/>
          <w:color w:val="auto"/>
        </w:rPr>
      </w:pPr>
    </w:p>
    <w:p>
      <w:pPr>
        <w:jc w:val="both"/>
        <w:ind w:right="300" w:firstLine="255"/>
        <w:spacing w:after="0" w:line="270" w:lineRule="auto"/>
        <w:rPr>
          <w:sz w:val="20"/>
          <w:szCs w:val="20"/>
          <w:color w:val="auto"/>
        </w:rPr>
      </w:pPr>
      <w:r>
        <w:rPr>
          <w:rFonts w:ascii="Times New Roman" w:cs="Times New Roman" w:eastAsia="Times New Roman" w:hAnsi="Times New Roman"/>
          <w:sz w:val="14"/>
          <w:szCs w:val="14"/>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3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2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Sales to such government entities include, but are not limited to, the following risks:</w:t>
      </w:r>
    </w:p>
    <w:p>
      <w:pPr>
        <w:spacing w:after="0" w:line="210" w:lineRule="exact"/>
        <w:rPr>
          <w:sz w:val="20"/>
          <w:szCs w:val="20"/>
          <w:color w:val="auto"/>
        </w:rPr>
      </w:pPr>
    </w:p>
    <w:p>
      <w:pPr>
        <w:ind w:left="900" w:right="340" w:hanging="259"/>
        <w:spacing w:after="0" w:line="238" w:lineRule="auto"/>
        <w:tabs>
          <w:tab w:leader="none" w:pos="89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selling to governmental agencies can be highly competitive, expensive and time consuming, often requiring significant upfront time and expense without any assurance that such efforts will generate a sale;</w:t>
      </w:r>
    </w:p>
    <w:p>
      <w:pPr>
        <w:spacing w:after="0" w:line="187" w:lineRule="exact"/>
        <w:rPr>
          <w:rFonts w:ascii="Arial" w:cs="Arial" w:eastAsia="Arial" w:hAnsi="Arial"/>
          <w:sz w:val="17"/>
          <w:szCs w:val="17"/>
          <w:color w:val="auto"/>
        </w:rPr>
      </w:pPr>
    </w:p>
    <w:p>
      <w:pPr>
        <w:ind w:left="900" w:hanging="259"/>
        <w:spacing w:after="0" w:line="238" w:lineRule="auto"/>
        <w:tabs>
          <w:tab w:leader="none" w:pos="89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187" w:lineRule="exact"/>
        <w:rPr>
          <w:rFonts w:ascii="Arial" w:cs="Arial" w:eastAsia="Arial" w:hAnsi="Arial"/>
          <w:sz w:val="17"/>
          <w:szCs w:val="17"/>
          <w:color w:val="auto"/>
        </w:rPr>
      </w:pPr>
    </w:p>
    <w:p>
      <w:pPr>
        <w:ind w:left="900" w:right="40" w:hanging="259"/>
        <w:spacing w:after="0" w:line="251" w:lineRule="auto"/>
        <w:tabs>
          <w:tab w:leader="none" w:pos="89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181" w:lineRule="exact"/>
        <w:rPr>
          <w:rFonts w:ascii="Arial" w:cs="Arial" w:eastAsia="Arial" w:hAnsi="Arial"/>
          <w:sz w:val="17"/>
          <w:szCs w:val="17"/>
          <w:color w:val="auto"/>
        </w:rPr>
      </w:pPr>
    </w:p>
    <w:p>
      <w:pPr>
        <w:ind w:left="900" w:right="20" w:hanging="259"/>
        <w:spacing w:after="0" w:line="238" w:lineRule="auto"/>
        <w:tabs>
          <w:tab w:leader="none" w:pos="89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product requirements are often technically complex and assessors may require us to make costly changes to our products to meet such requirements without any assurance that such changes will generate a sale;</w:t>
      </w:r>
    </w:p>
    <w:p>
      <w:pPr>
        <w:spacing w:after="0" w:line="187" w:lineRule="exact"/>
        <w:rPr>
          <w:rFonts w:ascii="Arial" w:cs="Arial" w:eastAsia="Arial" w:hAnsi="Arial"/>
          <w:sz w:val="17"/>
          <w:szCs w:val="17"/>
          <w:color w:val="auto"/>
        </w:rPr>
      </w:pPr>
    </w:p>
    <w:p>
      <w:pPr>
        <w:ind w:left="900" w:right="60" w:hanging="259"/>
        <w:spacing w:after="0" w:line="244" w:lineRule="auto"/>
        <w:tabs>
          <w:tab w:leader="none" w:pos="89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184" w:lineRule="exact"/>
        <w:rPr>
          <w:rFonts w:ascii="Arial" w:cs="Arial" w:eastAsia="Arial" w:hAnsi="Arial"/>
          <w:sz w:val="17"/>
          <w:szCs w:val="17"/>
          <w:color w:val="auto"/>
        </w:rPr>
      </w:pPr>
    </w:p>
    <w:p>
      <w:pPr>
        <w:ind w:left="900" w:right="40" w:hanging="259"/>
        <w:spacing w:after="0" w:line="238" w:lineRule="auto"/>
        <w:tabs>
          <w:tab w:leader="none" w:pos="89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attitudes towards us as a company, our platform or the capabilities that we offer as a viable software solution may change, and reduce interest in our products and services as acceptable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445770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00" w:hanging="259"/>
        <w:spacing w:after="0" w:line="238" w:lineRule="auto"/>
        <w:tabs>
          <w:tab w:leader="none" w:pos="89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187" w:lineRule="exact"/>
        <w:rPr>
          <w:rFonts w:ascii="Arial" w:cs="Arial" w:eastAsia="Arial" w:hAnsi="Arial"/>
          <w:sz w:val="17"/>
          <w:szCs w:val="17"/>
          <w:color w:val="auto"/>
        </w:rPr>
      </w:pPr>
    </w:p>
    <w:p>
      <w:pPr>
        <w:jc w:val="both"/>
        <w:ind w:left="900" w:right="560" w:hanging="259"/>
        <w:spacing w:after="0" w:line="238" w:lineRule="auto"/>
        <w:tabs>
          <w:tab w:leader="none" w:pos="89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176" w:lineRule="exact"/>
        <w:rPr>
          <w:rFonts w:ascii="Arial" w:cs="Arial" w:eastAsia="Arial" w:hAnsi="Arial"/>
          <w:sz w:val="17"/>
          <w:szCs w:val="17"/>
          <w:color w:val="auto"/>
        </w:rPr>
      </w:pPr>
    </w:p>
    <w:p>
      <w:pPr>
        <w:ind w:left="900" w:hanging="259"/>
        <w:spacing w:after="0"/>
        <w:tabs>
          <w:tab w:leader="none" w:pos="9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even if we are awarded a sale, the terms of such contracts may be unusually burdensome;</w:t>
      </w:r>
    </w:p>
    <w:p>
      <w:pPr>
        <w:spacing w:after="0" w:line="197" w:lineRule="exact"/>
        <w:rPr>
          <w:rFonts w:ascii="Arial" w:cs="Arial" w:eastAsia="Arial" w:hAnsi="Arial"/>
          <w:sz w:val="17"/>
          <w:szCs w:val="17"/>
          <w:color w:val="auto"/>
        </w:rPr>
      </w:pPr>
    </w:p>
    <w:p>
      <w:pPr>
        <w:ind w:left="900" w:right="40" w:hanging="259"/>
        <w:spacing w:after="0" w:line="244" w:lineRule="auto"/>
        <w:tabs>
          <w:tab w:leader="none" w:pos="89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84" w:lineRule="exact"/>
        <w:rPr>
          <w:rFonts w:ascii="Arial" w:cs="Arial" w:eastAsia="Arial" w:hAnsi="Arial"/>
          <w:sz w:val="17"/>
          <w:szCs w:val="17"/>
          <w:color w:val="auto"/>
        </w:rPr>
      </w:pPr>
    </w:p>
    <w:p>
      <w:pPr>
        <w:ind w:left="900" w:right="280" w:hanging="259"/>
        <w:spacing w:after="0" w:line="238" w:lineRule="auto"/>
        <w:tabs>
          <w:tab w:leader="none" w:pos="896"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56"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timely and cost-effectively scale and adapt our existing technology to meet our customers’ performance and other requirements.</w:t>
      </w:r>
    </w:p>
    <w:p>
      <w:pPr>
        <w:spacing w:after="0" w:line="18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4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maintain customer satisfaction depends in part on the quality of our customer support.</w:t>
      </w:r>
    </w:p>
    <w:p>
      <w:pPr>
        <w:spacing w:after="0" w:line="1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4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2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We expect that our existing cash and cash equivalents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4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2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4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2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public health crises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 Legal, and Regulatory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depends in part on our ability to protect and enforce our intellectual property rights.</w:t>
      </w:r>
    </w:p>
    <w:p>
      <w:pPr>
        <w:spacing w:after="0" w:line="18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48"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47"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2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4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4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license technology from third parties, and our inability to maintain those licenses could harm our business.</w:t>
      </w:r>
    </w:p>
    <w:p>
      <w:pPr>
        <w:spacing w:after="0" w:line="181"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47"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22"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36"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46"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4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Legal developments in the European Economic Area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5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certifications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44"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2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technologies like AI becoming subject to new laws and regulations, such as the AI Act in the EU, or new applications of existing laws and regulations. Noncompliance by us, our employees, representatives, contractors, channel partners, agents, intermediaries, or other third parties with applicable regulations or requirements could subject us to:</w:t>
      </w:r>
    </w:p>
    <w:p>
      <w:pPr>
        <w:spacing w:after="0" w:line="143" w:lineRule="exact"/>
        <w:rPr>
          <w:sz w:val="20"/>
          <w:szCs w:val="20"/>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investigations, enforcement actions and sanctions;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changes to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disgorgement of profits, fines and damages;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 or injunctions;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for damages by our customers or channel partners;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contracts;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intellectual property rights;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our license to do business in the jurisdictions in which we operate; or</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or permanent debarment from sales to government organizations.</w:t>
      </w:r>
    </w:p>
    <w:p>
      <w:pPr>
        <w:spacing w:after="0" w:line="179" w:lineRule="exact"/>
        <w:rPr>
          <w:sz w:val="20"/>
          <w:szCs w:val="20"/>
          <w:color w:val="auto"/>
        </w:rPr>
      </w:pPr>
    </w:p>
    <w:p>
      <w:pPr>
        <w:jc w:val="both"/>
        <w:ind w:right="400" w:firstLine="255"/>
        <w:spacing w:after="0" w:line="270" w:lineRule="auto"/>
        <w:rPr>
          <w:sz w:val="20"/>
          <w:szCs w:val="20"/>
          <w:color w:val="auto"/>
        </w:rPr>
      </w:pPr>
      <w:r>
        <w:rPr>
          <w:rFonts w:ascii="Times New Roman" w:cs="Times New Roman" w:eastAsia="Times New Roman" w:hAnsi="Times New Roman"/>
          <w:sz w:val="14"/>
          <w:szCs w:val="14"/>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36"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41"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22"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4"/>
          <w:szCs w:val="14"/>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151"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22"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140"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4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Some of our technology incorporates “open source” software, which could negatively affect our ability to sell our Falcon platform and subject us to possible litigation.</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4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47" w:lineRule="exact"/>
        <w:rPr>
          <w:sz w:val="20"/>
          <w:szCs w:val="20"/>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resulting in time-consuming and costly litigation;</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diverting management’s time and attention from developing our business;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pay monetary damages or enter into royalty and licensing agreements that we would not normally find acceptable;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delays in the deployment of our Falcon platform or service offerings to our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stop offering certain services or features of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redesign certain components of our Falcon platform using alternative non-infringing or non-open source technology, which could require significant effort and expense;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disclose our software source code and the detailed program commands for our software;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satisfy indemnification obligations to our customers.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utilize AI, which could expose us to liability or adversely affect our business.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may result in new or enhanced governmental or regulatory scrutiny, litigation, confidentiality, ethical concerns, or other complications that could adversely affect our business, reputation, or financial results. For example, generative AI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been known to produce a false or “hallucinatory” interferences or output,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Further, the use of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spacing w:after="0" w:line="140"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such as the AI Act. For example, in Europe, on March 13, 2024, the European Parliament formally adopted a draft of the EU’s AI Act which is currently expected to be enacted in mid-2024, pending formal endorsement by the Council of the European Union and publication in the Official Journal of the EU. The current draft of the AI Act, if enacted, would establish, among other things, a risk-based governance framework for regulating AI systems in the EU by categorizing AI systems, based on the risks associated with such AI systems’ intended purposes, as creating unacceptable or high risks, with all other AI systems being considered low risk. If enacted in this form or a similar form, this regulatory framework is expected to have a material impact on the way AI is regulated in the EU and beyond.</w:t>
      </w:r>
    </w:p>
    <w:p>
      <w:pPr>
        <w:spacing w:after="0" w:line="159" w:lineRule="exact"/>
        <w:rPr>
          <w:sz w:val="20"/>
          <w:szCs w:val="20"/>
          <w:color w:val="auto"/>
        </w:rPr>
      </w:pPr>
    </w:p>
    <w:p>
      <w:pPr>
        <w:ind w:right="80" w:firstLine="255"/>
        <w:spacing w:after="0" w:line="244" w:lineRule="auto"/>
        <w:rPr>
          <w:sz w:val="20"/>
          <w:szCs w:val="20"/>
          <w:color w:val="auto"/>
        </w:rPr>
      </w:pPr>
      <w:r>
        <w:rPr>
          <w:rFonts w:ascii="Times New Roman" w:cs="Times New Roman" w:eastAsia="Times New Roman" w:hAnsi="Times New Roman"/>
          <w:sz w:val="14"/>
          <w:szCs w:val="14"/>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Because AI technology itself is highly complex and rapidly developing, it is not possible to predict all of the legal, operational or technological risks that may arise relating to the use of AI.</w:t>
      </w:r>
    </w:p>
    <w:p>
      <w:pPr>
        <w:spacing w:after="0" w:line="15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2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in the future become, involved in litigation that may adversely affect us.</w:t>
      </w:r>
    </w:p>
    <w:p>
      <w:pPr>
        <w:spacing w:after="0" w:line="181"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3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22"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40"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4"/>
          <w:szCs w:val="14"/>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4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43"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24"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3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may be volatile regardless of our operating performance, and you could lose all or part of your investment.</w:t>
      </w:r>
    </w:p>
    <w:p>
      <w:pPr>
        <w:spacing w:after="0" w:line="181"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36" w:lineRule="exact"/>
        <w:rPr>
          <w:sz w:val="20"/>
          <w:szCs w:val="20"/>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these projections or our failure to meet these projections;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or services or new or terminated significant contracts, commercial relationships or capital commitments;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or financial analyst or investor reaction to our press releases, other public announcements and filings with the SEC;</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178"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or our competitors’ businesses or the competitive landscape generally;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rights or our solutions, or third-party proprietary rights;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or technologies by us or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changes in our management or our board of directors, particularly with respect to Mr. Kurtz;</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public health crises, pandemics and epidemics;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slow or negative growth of our markets;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4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2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May 30, 2024, we had 230,883,142 shares of Class A common stock outstanding and 12,477,497 shares of Class B common stock outstanding.</w:t>
      </w:r>
    </w:p>
    <w:p>
      <w:pPr>
        <w:spacing w:after="0" w:line="136"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36"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2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2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4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36"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As of April 30, 2024, our executive officers, directors, one of our current stockholders and its respective affiliates held, in aggregate, 35%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4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8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38"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2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36" w:lineRule="exact"/>
        <w:rPr>
          <w:sz w:val="20"/>
          <w:szCs w:val="20"/>
          <w:color w:val="auto"/>
        </w:rPr>
      </w:pPr>
    </w:p>
    <w:p>
      <w:pPr>
        <w:ind w:left="900" w:right="180" w:hanging="259"/>
        <w:spacing w:after="0" w:line="287" w:lineRule="auto"/>
        <w:tabs>
          <w:tab w:leader="none" w:pos="8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178" w:lineRule="exact"/>
        <w:rPr>
          <w:rFonts w:ascii="Times New Roman" w:cs="Times New Roman" w:eastAsia="Times New Roman" w:hAnsi="Times New Roman"/>
          <w:sz w:val="14"/>
          <w:szCs w:val="14"/>
          <w:color w:val="auto"/>
        </w:rPr>
      </w:pPr>
    </w:p>
    <w:p>
      <w:pPr>
        <w:ind w:left="900" w:right="420" w:hanging="259"/>
        <w:spacing w:after="0" w:line="287" w:lineRule="auto"/>
        <w:tabs>
          <w:tab w:leader="none" w:pos="8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4" w:lineRule="exact"/>
        <w:rPr>
          <w:rFonts w:ascii="Times New Roman" w:cs="Times New Roman" w:eastAsia="Times New Roman" w:hAnsi="Times New Roman"/>
          <w:sz w:val="14"/>
          <w:szCs w:val="14"/>
          <w:color w:val="auto"/>
        </w:rPr>
      </w:pPr>
    </w:p>
    <w:p>
      <w:pPr>
        <w:ind w:left="900" w:right="300" w:hanging="259"/>
        <w:spacing w:after="0" w:line="287" w:lineRule="auto"/>
        <w:tabs>
          <w:tab w:leader="none" w:pos="8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4" w:lineRule="exact"/>
        <w:rPr>
          <w:rFonts w:ascii="Times New Roman" w:cs="Times New Roman" w:eastAsia="Times New Roman" w:hAnsi="Times New Roman"/>
          <w:sz w:val="14"/>
          <w:szCs w:val="14"/>
          <w:color w:val="auto"/>
        </w:rPr>
      </w:pPr>
    </w:p>
    <w:p>
      <w:pPr>
        <w:ind w:left="900" w:right="20" w:hanging="259"/>
        <w:spacing w:after="0" w:line="270" w:lineRule="auto"/>
        <w:tabs>
          <w:tab w:leader="none" w:pos="8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35" w:lineRule="exact"/>
        <w:rPr>
          <w:rFonts w:ascii="Times New Roman" w:cs="Times New Roman" w:eastAsia="Times New Roman" w:hAnsi="Times New Roman"/>
          <w:sz w:val="14"/>
          <w:szCs w:val="14"/>
          <w:color w:val="auto"/>
        </w:rPr>
      </w:pPr>
    </w:p>
    <w:p>
      <w:pPr>
        <w:ind w:left="900" w:right="420" w:hanging="259"/>
        <w:spacing w:after="0" w:line="270" w:lineRule="auto"/>
        <w:tabs>
          <w:tab w:leader="none" w:pos="8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amendments to our amended and restated certificate of incorporation require the approval of two-thirds of the then-outstanding voting power of our capital stock; and</w:t>
      </w:r>
    </w:p>
    <w:p>
      <w:pPr>
        <w:spacing w:after="0" w:line="178" w:lineRule="exact"/>
        <w:rPr>
          <w:rFonts w:ascii="Times New Roman" w:cs="Times New Roman" w:eastAsia="Times New Roman" w:hAnsi="Times New Roman"/>
          <w:sz w:val="14"/>
          <w:szCs w:val="14"/>
          <w:color w:val="auto"/>
        </w:rPr>
      </w:pPr>
    </w:p>
    <w:p>
      <w:pPr>
        <w:jc w:val="both"/>
        <w:ind w:left="900" w:right="120" w:hanging="259"/>
        <w:spacing w:after="0" w:line="270" w:lineRule="auto"/>
        <w:tabs>
          <w:tab w:leader="none" w:pos="8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provisions may prohibit large stockholders, in particular those owning 15% or more of our outstanding voting stock, from merging or combining with us for a certain period of time.</w:t>
      </w:r>
    </w:p>
    <w:p>
      <w:pPr>
        <w:spacing w:after="0" w:line="17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amended and restated bylaws provide that the Court of Chancery of the State of Delaware is the exclusive forum for:</w:t>
      </w:r>
    </w:p>
    <w:p>
      <w:pPr>
        <w:spacing w:after="0" w:line="179" w:lineRule="exact"/>
        <w:rPr>
          <w:sz w:val="20"/>
          <w:szCs w:val="20"/>
          <w:color w:val="auto"/>
        </w:rPr>
      </w:pPr>
    </w:p>
    <w:p>
      <w:pPr>
        <w:ind w:left="900" w:hanging="259"/>
        <w:spacing w:after="0"/>
        <w:tabs>
          <w:tab w:leader="none" w:pos="9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breach of fiduciary duty;</w:t>
      </w:r>
    </w:p>
    <w:p>
      <w:pPr>
        <w:spacing w:after="0" w:line="178" w:lineRule="exact"/>
        <w:rPr>
          <w:rFonts w:ascii="Times New Roman" w:cs="Times New Roman" w:eastAsia="Times New Roman" w:hAnsi="Times New Roman"/>
          <w:sz w:val="14"/>
          <w:szCs w:val="14"/>
          <w:color w:val="auto"/>
        </w:rPr>
      </w:pPr>
    </w:p>
    <w:p>
      <w:pPr>
        <w:ind w:left="900" w:right="440" w:hanging="259"/>
        <w:spacing w:after="0" w:line="287" w:lineRule="auto"/>
        <w:tabs>
          <w:tab w:leader="none" w:pos="89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Delaware General Corporation Law, our amended and restated certificate of incorporation or our amended and restated bylaws;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to interpret, apply, enforce or determine the validity of our amended and restated certificate of incorporation or our amended and restated bylaws;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179"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36"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indebtedness could adversely affect our financial condition.</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April 30, 2024,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24" w:lineRule="exact"/>
        <w:rPr>
          <w:sz w:val="20"/>
          <w:szCs w:val="20"/>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to fund future working capital, capital expenditures, acquisitions or other general corporate requirements;</w:t>
      </w:r>
    </w:p>
    <w:p>
      <w:pPr>
        <w:spacing w:after="0" w:line="178" w:lineRule="exact"/>
        <w:rPr>
          <w:rFonts w:ascii="Times New Roman" w:cs="Times New Roman" w:eastAsia="Times New Roman" w:hAnsi="Times New Roman"/>
          <w:sz w:val="14"/>
          <w:szCs w:val="14"/>
          <w:color w:val="auto"/>
        </w:rPr>
      </w:pPr>
    </w:p>
    <w:p>
      <w:pPr>
        <w:ind w:left="900" w:right="320" w:hanging="259"/>
        <w:spacing w:after="0" w:line="287" w:lineRule="auto"/>
        <w:tabs>
          <w:tab w:leader="none" w:pos="8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changes in general economic, industry and competitive conditions; and</w:t>
      </w:r>
    </w:p>
    <w:p>
      <w:pPr>
        <w:spacing w:after="0" w:line="178" w:lineRule="exact"/>
        <w:rPr>
          <w:rFonts w:ascii="Times New Roman" w:cs="Times New Roman" w:eastAsia="Times New Roman" w:hAnsi="Times New Roman"/>
          <w:sz w:val="14"/>
          <w:szCs w:val="14"/>
          <w:color w:val="auto"/>
        </w:rPr>
      </w:pPr>
    </w:p>
    <w:p>
      <w:pPr>
        <w:ind w:left="900" w:right="200" w:hanging="259"/>
        <w:spacing w:after="0" w:line="287" w:lineRule="auto"/>
        <w:tabs>
          <w:tab w:leader="none" w:pos="8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the risk of increased interest rates as certain of our borrowings, including borrowings under our revolving facility, are at variable rates of interest; and increasing our cost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2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36"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4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36"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3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22"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24" w:lineRule="exact"/>
        <w:rPr>
          <w:sz w:val="20"/>
          <w:szCs w:val="20"/>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indebtedness;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the businesses we conduct;</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restricting our subsidiaries’ ability to pay dividends;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merge with, or sell all or substantially all of our assets to, another person.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covenants in the indenture and supplemental indenture that govern the Senior Notes are subject to exceptions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24" w:lineRule="exact"/>
        <w:rPr>
          <w:sz w:val="20"/>
          <w:szCs w:val="20"/>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our operations;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needed capital expenditures;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strategic acquisitions or investments or enter into joint ventures;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withstand a future downturn in our business, the industry or the economy in general;</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business activities, including future opportunities, that may be in our best interest;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or react to market conditions or otherwise execute our business strategies.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restrictions may affect our ability to expand our business, which could have a material adverse effect on our business, financial condition and results of operations.</w:t>
      </w:r>
    </w:p>
    <w:p>
      <w:pPr>
        <w:spacing w:after="0" w:line="179" w:lineRule="exact"/>
        <w:rPr>
          <w:sz w:val="20"/>
          <w:szCs w:val="20"/>
          <w:color w:val="auto"/>
        </w:rPr>
      </w:pPr>
    </w:p>
    <w:p>
      <w:pPr>
        <w:jc w:val="both"/>
        <w:ind w:right="540" w:firstLine="255"/>
        <w:spacing w:after="0" w:line="270" w:lineRule="auto"/>
        <w:rPr>
          <w:sz w:val="20"/>
          <w:szCs w:val="20"/>
          <w:color w:val="auto"/>
        </w:rPr>
      </w:pPr>
      <w:r>
        <w:rPr>
          <w:rFonts w:ascii="Times New Roman" w:cs="Times New Roman" w:eastAsia="Times New Roman" w:hAnsi="Times New Roman"/>
          <w:sz w:val="14"/>
          <w:szCs w:val="14"/>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3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revolving facility and the indenture that governs our Senior Notes contain cross-default provisions that could result in the acceleration of all of our indebtedness.</w:t>
      </w:r>
    </w:p>
    <w:p>
      <w:pPr>
        <w:spacing w:after="0" w:line="181"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8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within the time periods specified in SEC rules and forms, and information required to be disclosed in reports under the Exchange Act is accumulated and communicated to our principal executive and financial officers.</w:t>
      </w:r>
    </w:p>
    <w:p>
      <w:pPr>
        <w:spacing w:after="0" w:line="124"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4"/>
          <w:szCs w:val="14"/>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4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43"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22"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2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4"/>
          <w:szCs w:val="14"/>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risks we may face in connection with acquisitions include:</w:t>
      </w:r>
    </w:p>
    <w:p>
      <w:pPr>
        <w:spacing w:after="0" w:line="179" w:lineRule="exact"/>
        <w:rPr>
          <w:sz w:val="20"/>
          <w:szCs w:val="20"/>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addressing acquisition integration challenges;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and sales and marketing functions;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administrative systems, employee, product and service offerings;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key employees from the acquired company;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strategic partners as a result of product acquisitions or strategic positioning resulting from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or improve controls, procedures, and policies at a business that prior to the acquisition may have lacked sufficiently effective controls, procedures and policies;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legal, regulatory or compliance requirements;</w:t>
      </w:r>
    </w:p>
    <w:p>
      <w:pPr>
        <w:spacing w:after="0" w:line="178" w:lineRule="exact"/>
        <w:rPr>
          <w:rFonts w:ascii="Times New Roman" w:cs="Times New Roman" w:eastAsia="Times New Roman" w:hAnsi="Times New Roman"/>
          <w:sz w:val="14"/>
          <w:szCs w:val="14"/>
          <w:color w:val="auto"/>
        </w:rPr>
      </w:pPr>
    </w:p>
    <w:p>
      <w:pPr>
        <w:ind w:left="900" w:right="160" w:hanging="259"/>
        <w:spacing w:after="0" w:line="287" w:lineRule="auto"/>
        <w:tabs>
          <w:tab w:leader="none" w:pos="8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reporting, revenue recognition or other financial or control deficiencies of the acquired company that we do not adequately address and that cause our reported results to be incorrect;</w:t>
      </w:r>
    </w:p>
    <w:p>
      <w:pPr>
        <w:spacing w:after="0" w:line="124" w:lineRule="exact"/>
        <w:rPr>
          <w:rFonts w:ascii="Times New Roman" w:cs="Times New Roman" w:eastAsia="Times New Roman" w:hAnsi="Times New Roman"/>
          <w:sz w:val="14"/>
          <w:szCs w:val="14"/>
          <w:color w:val="auto"/>
        </w:rPr>
      </w:pPr>
    </w:p>
    <w:p>
      <w:pPr>
        <w:ind w:left="900" w:right="200" w:hanging="259"/>
        <w:spacing w:after="0" w:line="287" w:lineRule="auto"/>
        <w:tabs>
          <w:tab w:leader="none" w:pos="8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customers, former stockholders or other third parties.</w:t>
      </w:r>
    </w:p>
    <w:p>
      <w:pPr>
        <w:spacing w:after="0" w:line="17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2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70"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2023. The timetable for implementation has since been extended to 2024 and, with respect to certain components of the plan, to 2025. Under Pillar Two, the Inclusive Framework has agreed on a 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("FASB") indicated that they believe the minimum tax imposed under Pillar Two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 We have analyzed jurisdictional Pillar Two regulations, as well as the OECD Model Rules, and have assessed no material Pillar Two impact on the income tax provision for the three months ended April 30,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may be limited.</w:t>
      </w:r>
    </w:p>
    <w:p>
      <w:pPr>
        <w:spacing w:after="0" w:line="18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As of January 31, 2024, we had aggregate U.S. federal and California net operating loss carryforwards of $1.5 billion and $243.9 million, respectively, which may be available to offset future taxable income for income tax purposes. The federal net operating losses are carried forward indefinitely, and California net operating loss carryforwards will begin to expire in fiscal 2032. As of January 31, 2024, we had net operating loss carryforwards for other states of $0.8 billion that will begin to expire in fiscal 2025. As of January 31, 2024, we had federal and California research and development credit carryforwards of $113.9 million and $27.4 million, respectively. The federal research and development credit carryforwards will begin to expire in fiscal 2036, and the California carryforwards are carried forward indefinitely. As of January 31, 2024, we had aggregate United Kingdom net operating loss carryforwards of $78.0 million and Israel net operating loss carryforwards of $51.5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4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38"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2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41"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316"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of our performance relating to environmental, social and governance factors may impose additional costs and expose us to new risks.</w:t>
      </w:r>
    </w:p>
    <w:p>
      <w:pPr>
        <w:spacing w:after="0" w:line="181"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There is an increasing focus from regulators, certain investors, and other stakeholders concerning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 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47"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2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91"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color w:val="auto"/>
        </w:rPr>
        <w:t>In connection with our acquisition of Flow Security on March 26, 2024, we agreed to issue approximately $18.4 million of shares of our Class A common stock, subject to service-based vesting and other conditions, to certain stockholders of Flow Security. The transaction was exempt from registration under Section 4(a)(2) of the Securities 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filed the exhibits listed on the accompanying Exhibit Index,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40" w:type="dxa"/>
            <w:vAlign w:val="bottom"/>
            <w:gridSpan w:val="8"/>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13"/>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Filing</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040" w:type="dxa"/>
            <w:vAlign w:val="bottom"/>
            <w:gridSpan w:val="8"/>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gridSpan w:val="13"/>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3"/>
        </w:trPr>
        <w:tc>
          <w:tcPr>
            <w:tcW w:w="560" w:type="dxa"/>
            <w:vAlign w:val="bottom"/>
            <w:tcBorders>
              <w:top w:val="single" w:sz="8" w:color="auto"/>
            </w:tcBorders>
            <w:gridSpan w:val="4"/>
          </w:tcPr>
          <w:p>
            <w:pPr>
              <w:jc w:val="center"/>
              <w:ind w:left="312"/>
              <w:spacing w:after="0" w:line="143" w:lineRule="exact"/>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14"/>
          </w:tcPr>
          <w:p>
            <w:pPr>
              <w:spacing w:after="0" w:line="143" w:lineRule="exact"/>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Amended and Restated Certificate of Incorporation of the Registrant, as</w:t>
              </w:r>
            </w:hyperlink>
          </w:p>
        </w:tc>
        <w:tc>
          <w:tcPr>
            <w:tcW w:w="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8-K</w:t>
            </w:r>
          </w:p>
        </w:tc>
        <w:tc>
          <w:tcPr>
            <w:tcW w:w="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001-38933</w:t>
            </w:r>
          </w:p>
        </w:tc>
        <w:tc>
          <w:tcPr>
            <w:tcW w:w="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186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June 14, 2019</w:t>
            </w: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91">
              <w:r>
                <w:rPr>
                  <w:rFonts w:ascii="Times New Roman" w:cs="Times New Roman" w:eastAsia="Times New Roman" w:hAnsi="Times New Roman"/>
                  <w:sz w:val="13"/>
                  <w:szCs w:val="13"/>
                  <w:color w:val="0000FF"/>
                </w:rPr>
                <w:t>currently in effect.</w:t>
              </w:r>
            </w:hyperlink>
          </w:p>
        </w:tc>
        <w:tc>
          <w:tcPr>
            <w:tcW w:w="302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gridSpan w:val="3"/>
          </w:tcPr>
          <w:p>
            <w:pPr>
              <w:spacing w:after="0"/>
              <w:rPr>
                <w:sz w:val="14"/>
                <w:szCs w:val="14"/>
                <w:color w:val="auto"/>
              </w:rPr>
            </w:pPr>
          </w:p>
        </w:tc>
        <w:tc>
          <w:tcPr>
            <w:tcW w:w="180" w:type="dxa"/>
            <w:vAlign w:val="bottom"/>
            <w:tcBorders>
              <w:bottom w:val="single" w:sz="8" w:color="0000FF"/>
            </w:tcBorders>
          </w:tcPr>
          <w:p>
            <w:pPr>
              <w:jc w:val="cente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Amended and Restated Bylaws of the Registrant, as currently in effect.</w:t>
              </w:r>
            </w:hyperlink>
          </w:p>
        </w:tc>
        <w:tc>
          <w:tcPr>
            <w:tcW w:w="200" w:type="dxa"/>
            <w:vAlign w:val="bottom"/>
            <w:gridSpan w:val="6"/>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001-38933</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03, 2023</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72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20" w:type="dxa"/>
            <w:vAlign w:val="bottom"/>
          </w:tcPr>
          <w:p>
            <w:pPr>
              <w:spacing w:after="0"/>
              <w:rPr>
                <w:sz w:val="13"/>
                <w:szCs w:val="13"/>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Offer Letter between CrowdStrike, Inc. and Michael Sentonas, dated as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of March 22, 2021.</w:t>
            </w:r>
          </w:p>
        </w:tc>
        <w:tc>
          <w:tcPr>
            <w:tcW w:w="294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gridSpan w:val="2"/>
          </w:tcPr>
          <w:p>
            <w:pPr>
              <w:spacing w:after="0"/>
              <w:rPr>
                <w:sz w:val="14"/>
                <w:szCs w:val="14"/>
                <w:color w:val="auto"/>
              </w:rPr>
            </w:pPr>
          </w:p>
        </w:tc>
        <w:tc>
          <w:tcPr>
            <w:tcW w:w="260" w:type="dxa"/>
            <w:vAlign w:val="bottom"/>
            <w:gridSpan w:val="3"/>
          </w:tcPr>
          <w:p>
            <w:pPr>
              <w:jc w:val="cente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22.</w:t>
              </w:r>
              <w:r>
                <w:rPr>
                  <w:rFonts w:ascii="Times New Roman" w:cs="Times New Roman" w:eastAsia="Times New Roman" w:hAnsi="Times New Roman"/>
                  <w:sz w:val="14"/>
                  <w:szCs w:val="14"/>
                  <w:u w:val="single" w:color="auto"/>
                  <w:color w:val="0000FF"/>
                </w:rPr>
                <w:t>1</w:t>
              </w:r>
            </w:hyperlink>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gridSpan w:val="15"/>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List of Subsidiary Guarantors</w:t>
              </w:r>
            </w:hyperlink>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S-3ASR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333-252007</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4"/>
                <w:szCs w:val="14"/>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11, 2021</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gridSpan w:val="2"/>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Exchange</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20" w:type="dxa"/>
            <w:vAlign w:val="bottom"/>
            <w:tcBorders>
              <w:top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Act Rules 13a14(a) and 15d14(a), as adopted pursuant to Section 302</w:t>
            </w:r>
          </w:p>
        </w:tc>
        <w:tc>
          <w:tcPr>
            <w:tcW w:w="300" w:type="dxa"/>
            <w:vAlign w:val="bottom"/>
            <w:gridSpan w:val="8"/>
          </w:tcPr>
          <w:p>
            <w:pPr>
              <w:ind w:left="40"/>
              <w:spacing w:after="0" w:line="118" w:lineRule="exact"/>
              <w:rPr>
                <w:sz w:val="20"/>
                <w:szCs w:val="20"/>
                <w:color w:val="auto"/>
              </w:rPr>
            </w:pPr>
            <w:r>
              <w:rPr>
                <w:rFonts w:ascii="Times New Roman" w:cs="Times New Roman" w:eastAsia="Times New Roman" w:hAnsi="Times New Roman"/>
                <w:sz w:val="13"/>
                <w:szCs w:val="13"/>
                <w:color w:val="0000FF"/>
              </w:rPr>
              <w:t>of</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0" w:type="dxa"/>
            <w:vAlign w:val="bottom"/>
            <w:gridSpan w:val="5"/>
          </w:tcPr>
          <w:p>
            <w:pPr>
              <w:jc w:val="center"/>
              <w:ind w:left="272"/>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Exchange Act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20" w:type="dxa"/>
            <w:vAlign w:val="bottom"/>
            <w:tcBorders>
              <w:top w:val="single" w:sz="8" w:color="0000FF"/>
            </w:tcBorders>
            <w:gridSpan w:val="13"/>
          </w:tcPr>
          <w:p>
            <w:pPr>
              <w:spacing w:after="0" w:line="118" w:lineRule="exact"/>
              <w:rPr>
                <w:sz w:val="20"/>
                <w:szCs w:val="20"/>
                <w:color w:val="auto"/>
              </w:rPr>
            </w:pPr>
            <w:r>
              <w:rPr>
                <w:rFonts w:ascii="Times New Roman" w:cs="Times New Roman" w:eastAsia="Times New Roman" w:hAnsi="Times New Roman"/>
                <w:sz w:val="13"/>
                <w:szCs w:val="13"/>
                <w:color w:val="0000FF"/>
              </w:rPr>
              <w:t>Rules 13a14(a) and 15d14(a), as adopted pursuant to Section 302 of the</w:t>
            </w:r>
          </w:p>
        </w:tc>
        <w:tc>
          <w:tcPr>
            <w:tcW w:w="10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w w:val="99"/>
              </w:rPr>
              <w:t>Sarbanes-Oxley Act of 2002.</w:t>
            </w:r>
          </w:p>
        </w:tc>
        <w:tc>
          <w:tcPr>
            <w:tcW w:w="2380" w:type="dxa"/>
            <w:vAlign w:val="bottom"/>
            <w:tcBorders>
              <w:top w:val="single" w:sz="8" w:color="0000FF"/>
            </w:tcBorders>
            <w:gridSpan w:val="7"/>
          </w:tcPr>
          <w:p>
            <w:pPr>
              <w:spacing w:after="0"/>
              <w:rPr>
                <w:sz w:val="11"/>
                <w:szCs w:val="11"/>
                <w:color w:val="auto"/>
              </w:rPr>
            </w:pPr>
          </w:p>
        </w:tc>
        <w:tc>
          <w:tcPr>
            <w:tcW w:w="180" w:type="dxa"/>
            <w:vAlign w:val="bottom"/>
            <w:gridSpan w:val="5"/>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and Principal Financial</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0" w:type="dxa"/>
            <w:vAlign w:val="bottom"/>
            <w:tcBorders>
              <w:top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Officer pursuant to 18 U.S.C. Section 1350, as adopted pursuant to</w:t>
            </w:r>
          </w:p>
        </w:tc>
        <w:tc>
          <w:tcPr>
            <w:tcW w:w="220" w:type="dxa"/>
            <w:vAlign w:val="bottom"/>
            <w:gridSpan w:val="7"/>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440" w:type="dxa"/>
            <w:vAlign w:val="bottom"/>
            <w:gridSpan w:val="9"/>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101.INS</w:t>
            </w:r>
          </w:p>
        </w:tc>
        <w:tc>
          <w:tcPr>
            <w:tcW w:w="20" w:type="dxa"/>
            <w:vAlign w:val="bottom"/>
          </w:tcPr>
          <w:p>
            <w:pPr>
              <w:spacing w:after="0"/>
              <w:rPr>
                <w:sz w:val="16"/>
                <w:szCs w:val="16"/>
                <w:color w:val="auto"/>
              </w:rPr>
            </w:pPr>
          </w:p>
        </w:tc>
        <w:tc>
          <w:tcPr>
            <w:tcW w:w="2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520" w:type="dxa"/>
            <w:vAlign w:val="bottom"/>
            <w:gridSpan w:val="10"/>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5"/>
                <w:szCs w:val="15"/>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101.DEF</w:t>
            </w:r>
          </w:p>
        </w:tc>
        <w:tc>
          <w:tcPr>
            <w:tcW w:w="20" w:type="dxa"/>
            <w:vAlign w:val="bottom"/>
          </w:tcPr>
          <w:p>
            <w:pPr>
              <w:spacing w:after="0"/>
              <w:rPr>
                <w:sz w:val="15"/>
                <w:szCs w:val="15"/>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5"/>
                <w:szCs w:val="15"/>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4"/>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6"/>
                <w:szCs w:val="16"/>
                <w:color w:val="auto"/>
              </w:rPr>
            </w:pPr>
          </w:p>
        </w:tc>
        <w:tc>
          <w:tcPr>
            <w:tcW w:w="42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ind w:left="1040" w:right="6520" w:hanging="674"/>
        <w:spacing w:after="0" w:line="237" w:lineRule="auto"/>
        <w:tabs>
          <w:tab w:leader="none" w:pos="10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 the cover page XBRL tags are embedded within the Inline Instance XBRL document</w:t>
      </w:r>
    </w:p>
    <w:p>
      <w:pPr>
        <w:spacing w:after="0" w:line="145" w:lineRule="exact"/>
        <w:rPr>
          <w:rFonts w:ascii="Times New Roman" w:cs="Times New Roman" w:eastAsia="Times New Roman" w:hAnsi="Times New Roman"/>
          <w:sz w:val="14"/>
          <w:szCs w:val="14"/>
          <w:color w:val="auto"/>
        </w:rPr>
      </w:pPr>
    </w:p>
    <w:p>
      <w:pPr>
        <w:ind w:left="1060" w:hanging="1020"/>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w:t>
      </w:r>
    </w:p>
    <w:p>
      <w:pPr>
        <w:spacing w:after="0" w:line="62" w:lineRule="exact"/>
        <w:rPr>
          <w:sz w:val="20"/>
          <w:szCs w:val="20"/>
          <w:color w:val="auto"/>
        </w:rPr>
      </w:pPr>
    </w:p>
    <w:p>
      <w:pPr>
        <w:ind w:left="1060" w:right="180" w:hanging="1020"/>
        <w:spacing w:after="0" w:line="228" w:lineRule="auto"/>
        <w:tabs>
          <w:tab w:leader="none" w:pos="10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493395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SIGNATURES</w:t>
      </w:r>
    </w:p>
    <w:p>
      <w:pPr>
        <w:spacing w:after="0" w:line="17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 on the day of June 4, 2024.</w:t>
      </w:r>
    </w:p>
    <w:p>
      <w:pPr>
        <w:spacing w:after="0" w:line="1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64" w:lineRule="exact"/>
        <w:rPr>
          <w:sz w:val="20"/>
          <w:szCs w:val="20"/>
          <w:color w:val="auto"/>
        </w:rPr>
      </w:pPr>
    </w:p>
    <w:p>
      <w:pPr>
        <w:ind w:left="548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14605</wp:posOffset>
            </wp:positionV>
            <wp:extent cx="33616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Burt W. Podbere</w:t>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i w:val="1"/>
          <w:iCs w:val="1"/>
          <w:color w:val="auto"/>
        </w:rPr>
        <w:t>Chief Financial Officer (Principal Financial Officer)</w:t>
      </w:r>
    </w:p>
    <w:p>
      <w:pPr>
        <w:spacing w:after="0" w:line="237" w:lineRule="exact"/>
        <w:rPr>
          <w:sz w:val="20"/>
          <w:szCs w:val="20"/>
          <w:color w:val="auto"/>
        </w:rPr>
      </w:pPr>
    </w:p>
    <w:p>
      <w:pPr>
        <w:ind w:left="548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14605</wp:posOffset>
            </wp:positionV>
            <wp:extent cx="33616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Anurag Saha</w:t>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i w:val="1"/>
          <w:iCs w:val="1"/>
          <w:color w:val="auto"/>
        </w:rPr>
        <w:t>Chief Accounting Officer (Principal Accounting Officer)</w:t>
      </w:r>
    </w:p>
    <w:p>
      <w:pPr>
        <w:sectPr>
          <w:pgSz w:w="11900" w:h="16838" w:orient="portrait"/>
          <w:cols w:equalWidth="0" w:num="1">
            <w:col w:w="11260"/>
          </w:cols>
          <w:pgMar w:left="300" w:top="294" w:right="339" w:bottom="1440"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RULES 13a-14(a) AND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George Kurtz, certify that:</w:t>
      </w:r>
    </w:p>
    <w:p>
      <w:pPr>
        <w:spacing w:after="0" w:line="179" w:lineRule="exact"/>
        <w:rPr>
          <w:sz w:val="20"/>
          <w:szCs w:val="20"/>
          <w:color w:val="auto"/>
        </w:rPr>
      </w:pPr>
    </w:p>
    <w:p>
      <w:pPr>
        <w:ind w:left="500" w:hanging="240"/>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CrowdStrike Holdings, Inc.;</w:t>
      </w:r>
    </w:p>
    <w:p>
      <w:pPr>
        <w:spacing w:after="0" w:line="178"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8"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5"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8"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5"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20" w:hanging="260"/>
        <w:spacing w:after="0" w:line="287" w:lineRule="auto"/>
        <w:tabs>
          <w:tab w:leader="none" w:pos="51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8"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897"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color w:val="auto"/>
        </w:rPr>
        <w:t>Date: June 4, 2024</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CROWDSTRIKE HOLDINGS,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r>
      <w:tr>
        <w:trPr>
          <w:trHeight w:val="16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r>
      <w:tr>
        <w:trPr>
          <w:trHeight w:val="142"/>
        </w:trPr>
        <w:tc>
          <w:tcPr>
            <w:tcW w:w="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10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4"/>
        </w:trPr>
        <w:tc>
          <w:tcPr>
            <w:tcW w:w="840" w:type="dxa"/>
            <w:vAlign w:val="bottom"/>
          </w:tcPr>
          <w:p>
            <w:pPr>
              <w:spacing w:after="0"/>
              <w:rPr>
                <w:sz w:val="16"/>
                <w:szCs w:val="16"/>
                <w:color w:val="auto"/>
              </w:rPr>
            </w:pP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899"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RULES 13a-14(a) AND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Burt W. Podbere, certify that:</w:t>
      </w:r>
    </w:p>
    <w:p>
      <w:pPr>
        <w:spacing w:after="0" w:line="179"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CrowdStrike Holdings, Inc.;</w:t>
      </w:r>
    </w:p>
    <w:p>
      <w:pPr>
        <w:spacing w:after="0" w:line="178"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75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Date: June 4, 2024</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CROWDSTRIKE HOLDINGS, INC.</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17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r>
      <w:tr>
        <w:trPr>
          <w:trHeight w:val="198"/>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Officer)</w:t>
            </w:r>
          </w:p>
        </w:tc>
      </w:tr>
    </w:tbl>
    <w:p>
      <w:pPr>
        <w:sectPr>
          <w:pgSz w:w="11900" w:h="16838" w:orient="portrait"/>
          <w:cols w:equalWidth="0" w:num="1">
            <w:col w:w="11280"/>
          </w:cols>
          <w:pgMar w:left="300" w:top="931" w:right="3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2024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June 4, 2024</w:t>
      </w:r>
    </w:p>
    <w:p>
      <w:pPr>
        <w:spacing w:after="0" w:line="23" w:lineRule="exact"/>
        <w:rPr>
          <w:sz w:val="20"/>
          <w:szCs w:val="20"/>
          <w:color w:val="auto"/>
        </w:rPr>
      </w:pPr>
    </w:p>
    <w:tbl>
      <w:tblPr>
        <w:tblLayout w:type="fixed"/>
        <w:tblInd w:w="6760" w:type="dxa"/>
        <w:tblCellMar>
          <w:top w:w="0" w:type="dxa"/>
          <w:left w:w="0" w:type="dxa"/>
          <w:bottom w:w="0" w:type="dxa"/>
          <w:right w:w="0" w:type="dxa"/>
        </w:tblCellMar>
      </w:tblPr>
      <w:tr>
        <w:trPr>
          <w:trHeight w:val="18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r>
      <w:tr>
        <w:trPr>
          <w:trHeight w:val="142"/>
        </w:trPr>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3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4"/>
        </w:trPr>
        <w:tc>
          <w:tcPr>
            <w:tcW w:w="760" w:type="dxa"/>
            <w:vAlign w:val="bottom"/>
          </w:tcPr>
          <w:p>
            <w:pPr>
              <w:spacing w:after="0"/>
              <w:rPr>
                <w:sz w:val="16"/>
                <w:szCs w:val="16"/>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2024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June 4, 2024</w:t>
      </w:r>
    </w:p>
    <w:p>
      <w:pPr>
        <w:spacing w:after="0" w:line="23" w:lineRule="exact"/>
        <w:rPr>
          <w:sz w:val="20"/>
          <w:szCs w:val="20"/>
          <w:color w:val="auto"/>
        </w:rPr>
      </w:pPr>
    </w:p>
    <w:tbl>
      <w:tblPr>
        <w:tblLayout w:type="fixed"/>
        <w:tblInd w:w="6760" w:type="dxa"/>
        <w:tblCellMar>
          <w:top w:w="0" w:type="dxa"/>
          <w:left w:w="0" w:type="dxa"/>
          <w:bottom w:w="0" w:type="dxa"/>
          <w:right w:w="0" w:type="dxa"/>
        </w:tblCellMar>
      </w:tblPr>
      <w:tr>
        <w:trPr>
          <w:trHeight w:val="18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r>
      <w:tr>
        <w:trPr>
          <w:trHeight w:val="142"/>
        </w:trPr>
        <w:tc>
          <w:tcPr>
            <w:tcW w:w="760" w:type="dxa"/>
            <w:vAlign w:val="bottom"/>
          </w:tcPr>
          <w:p>
            <w:pPr>
              <w:spacing w:after="0"/>
              <w:rPr>
                <w:sz w:val="12"/>
                <w:szCs w:val="12"/>
                <w:color w:val="auto"/>
              </w:rPr>
            </w:pPr>
          </w:p>
        </w:tc>
        <w:tc>
          <w:tcPr>
            <w:tcW w:w="3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Chief Financial Officer</w:t>
            </w:r>
          </w:p>
        </w:tc>
      </w:tr>
      <w:tr>
        <w:trPr>
          <w:trHeight w:val="19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lvl w:ilvl="1">
      <w:lvlJc w:val="left"/>
      <w:lvlText w:val="%2"/>
      <w:numFmt w:val="decimal"/>
      <w:start w:val="104"/>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91" Type="http://schemas.openxmlformats.org/officeDocument/2006/relationships/hyperlink" Target="https://www.sec.gov/Archives/edgar/data/1535527/000110465919035685/a19-11597_1ex3d1.htm" TargetMode="External"/><Relationship Id="rId92" Type="http://schemas.openxmlformats.org/officeDocument/2006/relationships/hyperlink" Target="https://www.sec.gov/Archives/edgar/data/1535527/000110465919035685/a19-11597_1ex3d2.htm" TargetMode="External"/><Relationship Id="rId93" Type="http://schemas.openxmlformats.org/officeDocument/2006/relationships/hyperlink" Target="https://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2024-06-05T05:20:48Z</dcterms:created>
  <dcterms:modified xsi:type="dcterms:W3CDTF">2024-06-05T05:20:48Z</dcterms:modified>
</cp:coreProperties>
</file>