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 STE.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160" w:space="6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4"/>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7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42</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653.94</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2,129,651</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26</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654.76</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2,129,625</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20</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656.29</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2,129,605</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45</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658.79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2,129,560</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4</w:t>
            </w:r>
            <w:r>
              <w:rPr>
                <w:rFonts w:ascii="Times New Roman" w:cs="Times New Roman" w:eastAsia="Times New Roman" w:hAnsi="Times New Roman"/>
                <w:sz w:val="11"/>
                <w:szCs w:val="11"/>
                <w:color w:val="008000"/>
                <w:w w:val="90"/>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660.89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2,129,556</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34</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662.65</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2,129,522</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26</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636.64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2,129,565</w:t>
            </w:r>
            <w:r>
              <w:rPr>
                <w:rFonts w:ascii="Times New Roman" w:cs="Times New Roman" w:eastAsia="Times New Roman" w:hAnsi="Times New Roman"/>
                <w:sz w:val="22"/>
                <w:szCs w:val="22"/>
                <w:color w:val="008000"/>
                <w:w w:val="96"/>
                <w:vertAlign w:val="superscript"/>
              </w:rPr>
              <w:t>(7)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26</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638.86</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2,129,539</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26</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2,129,513</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26</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641.47</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2,129,487</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91</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644.53</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2,129,396</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52</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645.03</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2,129,344</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232</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646.69</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2,129,112</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174</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647.93</w:t>
            </w:r>
            <w:r>
              <w:rPr>
                <w:rFonts w:ascii="Times New Roman" w:cs="Times New Roman" w:eastAsia="Times New Roman" w:hAnsi="Times New Roman"/>
                <w:sz w:val="22"/>
                <w:szCs w:val="22"/>
                <w:color w:val="008000"/>
                <w:w w:val="94"/>
                <w:vertAlign w:val="superscript"/>
              </w:rPr>
              <w:t>(13)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2,128,938</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209</w:t>
            </w:r>
            <w:r>
              <w:rPr>
                <w:rFonts w:ascii="Times New Roman" w:cs="Times New Roman" w:eastAsia="Times New Roman" w:hAnsi="Times New Roman"/>
                <w:sz w:val="22"/>
                <w:szCs w:val="22"/>
                <w:color w:val="008000"/>
                <w:w w:val="93"/>
                <w:vertAlign w:val="superscript"/>
              </w:rPr>
              <w:t>(3)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648.69</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2,128,729</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117</w:t>
            </w:r>
            <w:r>
              <w:rPr>
                <w:rFonts w:ascii="Times New Roman" w:cs="Times New Roman" w:eastAsia="Times New Roman" w:hAnsi="Times New Roman"/>
                <w:sz w:val="22"/>
                <w:szCs w:val="22"/>
                <w:color w:val="008000"/>
                <w:w w:val="89"/>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649.93</w:t>
            </w:r>
            <w:r>
              <w:rPr>
                <w:rFonts w:ascii="Times New Roman" w:cs="Times New Roman" w:eastAsia="Times New Roman" w:hAnsi="Times New Roman"/>
                <w:sz w:val="22"/>
                <w:szCs w:val="22"/>
                <w:color w:val="008000"/>
                <w:w w:val="94"/>
                <w:vertAlign w:val="superscript"/>
              </w:rPr>
              <w:t>(15)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2,128,612</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131</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650.9</w:t>
            </w:r>
            <w:r>
              <w:rPr>
                <w:rFonts w:ascii="Times New Roman" w:cs="Times New Roman" w:eastAsia="Times New Roman" w:hAnsi="Times New Roman"/>
                <w:sz w:val="22"/>
                <w:szCs w:val="22"/>
                <w:color w:val="008000"/>
                <w:w w:val="94"/>
                <w:vertAlign w:val="superscript"/>
              </w:rPr>
              <w:t>(16)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2,128,481</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203</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652.4</w:t>
            </w:r>
            <w:r>
              <w:rPr>
                <w:rFonts w:ascii="Times New Roman" w:cs="Times New Roman" w:eastAsia="Times New Roman" w:hAnsi="Times New Roman"/>
                <w:sz w:val="22"/>
                <w:szCs w:val="22"/>
                <w:color w:val="008000"/>
                <w:w w:val="94"/>
                <w:vertAlign w:val="superscript"/>
              </w:rPr>
              <w:t>(17)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2,128,278</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277</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653.37</w:t>
            </w:r>
            <w:r>
              <w:rPr>
                <w:rFonts w:ascii="Times New Roman" w:cs="Times New Roman" w:eastAsia="Times New Roman" w:hAnsi="Times New Roman"/>
                <w:sz w:val="22"/>
                <w:szCs w:val="22"/>
                <w:color w:val="008000"/>
                <w:w w:val="94"/>
                <w:vertAlign w:val="superscript"/>
              </w:rPr>
              <w:t>(18)</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2,128,001</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288</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654.39</w:t>
            </w:r>
            <w:r>
              <w:rPr>
                <w:rFonts w:ascii="Times New Roman" w:cs="Times New Roman" w:eastAsia="Times New Roman" w:hAnsi="Times New Roman"/>
                <w:sz w:val="22"/>
                <w:szCs w:val="22"/>
                <w:color w:val="008000"/>
                <w:w w:val="94"/>
                <w:vertAlign w:val="superscript"/>
              </w:rPr>
              <w:t>(19)</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2,127,713</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154</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655.42</w:t>
            </w:r>
            <w:r>
              <w:rPr>
                <w:rFonts w:ascii="Times New Roman" w:cs="Times New Roman" w:eastAsia="Times New Roman" w:hAnsi="Times New Roman"/>
                <w:sz w:val="22"/>
                <w:szCs w:val="22"/>
                <w:color w:val="008000"/>
                <w:w w:val="94"/>
                <w:vertAlign w:val="superscript"/>
              </w:rPr>
              <w:t>(20)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2,127,559</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130</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656.6</w:t>
            </w:r>
            <w:r>
              <w:rPr>
                <w:rFonts w:ascii="Times New Roman" w:cs="Times New Roman" w:eastAsia="Times New Roman" w:hAnsi="Times New Roman"/>
                <w:sz w:val="22"/>
                <w:szCs w:val="22"/>
                <w:color w:val="008000"/>
                <w:w w:val="94"/>
                <w:vertAlign w:val="superscript"/>
              </w:rPr>
              <w:t>(21)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2,127,429</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117</w:t>
            </w:r>
            <w:r>
              <w:rPr>
                <w:rFonts w:ascii="Times New Roman" w:cs="Times New Roman" w:eastAsia="Times New Roman" w:hAnsi="Times New Roman"/>
                <w:sz w:val="22"/>
                <w:szCs w:val="22"/>
                <w:color w:val="008000"/>
                <w:w w:val="89"/>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657.77</w:t>
            </w:r>
            <w:r>
              <w:rPr>
                <w:rFonts w:ascii="Times New Roman" w:cs="Times New Roman" w:eastAsia="Times New Roman" w:hAnsi="Times New Roman"/>
                <w:sz w:val="22"/>
                <w:szCs w:val="22"/>
                <w:color w:val="008000"/>
                <w:w w:val="94"/>
                <w:vertAlign w:val="superscript"/>
              </w:rPr>
              <w:t>(22)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2,127,312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117</w:t>
            </w:r>
            <w:r>
              <w:rPr>
                <w:rFonts w:ascii="Times New Roman" w:cs="Times New Roman" w:eastAsia="Times New Roman" w:hAnsi="Times New Roman"/>
                <w:sz w:val="11"/>
                <w:szCs w:val="11"/>
                <w:color w:val="008000"/>
                <w:w w:val="81"/>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658.8</w:t>
            </w:r>
            <w:r>
              <w:rPr>
                <w:rFonts w:ascii="Times New Roman" w:cs="Times New Roman" w:eastAsia="Times New Roman" w:hAnsi="Times New Roman"/>
                <w:sz w:val="22"/>
                <w:szCs w:val="22"/>
                <w:color w:val="008000"/>
                <w:w w:val="94"/>
                <w:vertAlign w:val="superscript"/>
              </w:rPr>
              <w:t>(23)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2,127,195</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78</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659.81</w:t>
            </w:r>
            <w:r>
              <w:rPr>
                <w:rFonts w:ascii="Times New Roman" w:cs="Times New Roman" w:eastAsia="Times New Roman" w:hAnsi="Times New Roman"/>
                <w:sz w:val="22"/>
                <w:szCs w:val="22"/>
                <w:color w:val="008000"/>
                <w:w w:val="94"/>
                <w:vertAlign w:val="superscript"/>
              </w:rPr>
              <w:t>(24)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2,127,117</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6"/>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26</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661.4</w:t>
            </w:r>
            <w:r>
              <w:rPr>
                <w:rFonts w:ascii="Times New Roman" w:cs="Times New Roman" w:eastAsia="Times New Roman" w:hAnsi="Times New Roman"/>
                <w:sz w:val="22"/>
                <w:szCs w:val="22"/>
                <w:color w:val="008000"/>
                <w:w w:val="94"/>
                <w:vertAlign w:val="superscript"/>
              </w:rPr>
              <w:t>(25)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2,127,091</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380" w:type="dxa"/>
            <w:vAlign w:val="bottom"/>
            <w:shd w:val="clear" w:color="auto" w:fill="808080"/>
          </w:tcPr>
          <w:p>
            <w:pPr>
              <w:spacing w:after="0" w:line="20" w:lineRule="exact"/>
              <w:rPr>
                <w:sz w:val="1"/>
                <w:szCs w:val="1"/>
                <w:color w:val="auto"/>
              </w:rPr>
            </w:pPr>
          </w:p>
        </w:tc>
        <w:tc>
          <w:tcPr>
            <w:tcW w:w="166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52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92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190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19050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798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79832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10b-1 plan adopted on January 6, 2026.</w:t>
      </w:r>
    </w:p>
    <w:p>
      <w:pPr>
        <w:spacing w:after="0" w:line="50"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$653.50 to $654.45.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w:t>
      </w:r>
    </w:p>
    <w:p>
      <w:pPr>
        <w:spacing w:after="0" w:line="50"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$654.58 to $654.90.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$655.83 to $656.77.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$662.13 to $663.00.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6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 and includes 69 shares of Class A common stock acquired on June 10, 2026, under the CrowdStrike Holdings, Inc. 2019 Employee Stock Purchase Plan.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$638.56 to $639.15.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$641.13 to $641.80.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$644.00 to $644.99.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40"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$645.00 to $645.08.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$646.22 to $647.20.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$647.30 to $648.29.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$648.40 to $649.32.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$649.46 to $650.41.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$650.49 to $651.43.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$651.88 to $652.87.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$652.99 to $653.97.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$654.00 to $654.98.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$655.07 to $656.00.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$656.23 to $657.12.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$657.28 to $658.23.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$658.30 to $659.26.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$659.60 to $659.97.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$661.04 to $661.75.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June 9, 2026 and June 10,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2026-06-11T19:36:12Z</dcterms:created>
  <dcterms:modified xsi:type="dcterms:W3CDTF">2026-06-11T19:36:12Z</dcterms:modified>
</cp:coreProperties>
</file>