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302026_080701.xml.htm"/>
      <w:bookmarkStart w:id="1" w:name="ksform407302026_0807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Kurtz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ST., STE.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1"/>
        <w:gridCol w:w="772"/>
        <w:gridCol w:w="598"/>
        <w:gridCol w:w="341"/>
        <w:gridCol w:w="868"/>
        <w:gridCol w:w="436"/>
        <w:gridCol w:w="879"/>
        <w:gridCol w:w="1299"/>
        <w:gridCol w:w="974"/>
        <w:gridCol w:w="9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174.7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8,123,384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175.86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8,122,504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176.8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8,121,744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178.04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8,121,104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179.04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8,120,424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179.94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8,120,064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181.34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8,118,826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182.08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8,116,064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183.24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8,114,464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183.97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8,113,544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178.38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8,112,984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179.44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8,109,708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180.23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8,106,390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181.19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8,104,944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182.31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8,104,264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183.21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8,103,944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184.82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8,103,704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185.77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8,103,544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Kurtz Family Dynasty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(21)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10b-1 plan adopted on January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$174.27 to $175.06.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$175.35 to $176.33.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$176.38 to $177.30.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$177.42 to $178.41.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$178.55 to $179.49.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$179.56 to $180.32.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$180.72 to $181.71.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$181.73 to $182.72.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$182.76 to $183.73.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$183.77 to $184.29.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This transaction was executed in multiple trades at prices ranging from $177.75 to $178.73.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This transaction was executed in multiple trades at prices ranging from $178.80 to $179.79.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This transaction was executed in multiple trades at prices ranging from $179.80 to $180.79.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This transaction was executed in multiple trades at prices ranging from $180.81 to $181.76.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This transaction was executed in multiple trades at prices ranging from $181.82 to $182.74.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This transaction was executed in multiple trades at prices ranging from $182.84 to $183.69.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This transaction was executed in multiple trades at prices ranging from $184.40 to $185.38.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20. This transaction was executed in multiple trades at prices ranging from $185.57 to $185.98.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21. The Reporting Person disclaims beneficial ownership of these shares except to the extent of his pecuniary interest in such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Remie Solano,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8564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1937</Words>
  <Characters>10297</Characters>
  <CharactersWithSpaces>12006</CharactersWithSpaces>
  <Paragraphs>257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